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Cs/>
          <w:color w:val="auto"/>
          <w:sz w:val="44"/>
          <w:szCs w:val="44"/>
          <w:lang w:val="en-US" w:eastAsia="zh-CN"/>
        </w:rPr>
      </w:pPr>
      <w:r>
        <w:rPr>
          <w:rFonts w:hint="eastAsia" w:ascii="方正小标宋_GBK" w:hAnsi="方正小标宋_GBK" w:eastAsia="方正小标宋_GBK" w:cs="方正小标宋_GBK"/>
          <w:bCs/>
          <w:color w:val="auto"/>
          <w:sz w:val="44"/>
          <w:szCs w:val="44"/>
          <w:lang w:val="en-US" w:eastAsia="zh-CN"/>
        </w:rPr>
        <w:t>珠海市金湾区2024年度第五十一批次城镇</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Cs/>
          <w:color w:val="auto"/>
          <w:sz w:val="44"/>
          <w:szCs w:val="44"/>
          <w:lang w:val="en-US" w:eastAsia="zh-CN"/>
        </w:rPr>
        <w:t>建设用地项目</w:t>
      </w:r>
      <w:r>
        <w:rPr>
          <w:rFonts w:hint="eastAsia" w:ascii="方正小标宋_GBK" w:hAnsi="方正小标宋_GBK" w:eastAsia="方正小标宋_GBK" w:cs="方正小标宋_GBK"/>
          <w:b w:val="0"/>
          <w:bCs/>
          <w:color w:val="auto"/>
          <w:sz w:val="44"/>
          <w:szCs w:val="44"/>
          <w:lang w:eastAsia="zh-CN"/>
        </w:rPr>
        <w:t>征</w:t>
      </w:r>
      <w:r>
        <w:rPr>
          <w:rFonts w:hint="eastAsia" w:ascii="方正小标宋_GBK" w:hAnsi="方正小标宋_GBK" w:eastAsia="方正小标宋_GBK" w:cs="方正小标宋_GBK"/>
          <w:b w:val="0"/>
          <w:bCs w:val="0"/>
          <w:color w:val="auto"/>
          <w:sz w:val="44"/>
          <w:szCs w:val="44"/>
          <w:lang w:eastAsia="zh-CN"/>
        </w:rPr>
        <w:t>地</w:t>
      </w:r>
      <w:r>
        <w:rPr>
          <w:rFonts w:hint="eastAsia" w:ascii="方正小标宋_GBK" w:hAnsi="方正小标宋_GBK" w:eastAsia="方正小标宋_GBK" w:cs="方正小标宋_GBK"/>
          <w:b w:val="0"/>
          <w:bCs/>
          <w:color w:val="auto"/>
          <w:sz w:val="44"/>
          <w:szCs w:val="44"/>
        </w:rPr>
        <w:t>补偿安置方案</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20" w:firstLineChars="200"/>
        <w:jc w:val="both"/>
        <w:textAlignment w:val="auto"/>
        <w:rPr>
          <w:rFonts w:hint="default" w:ascii="Times New Roman" w:hAnsi="Times New Roman" w:eastAsia="方正仿宋_GBK" w:cs="Times New Roman"/>
          <w:color w:val="auto"/>
          <w:sz w:val="31"/>
          <w:szCs w:val="31"/>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7" w:firstLineChars="183"/>
        <w:jc w:val="both"/>
        <w:textAlignment w:val="auto"/>
        <w:rPr>
          <w:rFonts w:hint="default" w:ascii="Times New Roman" w:hAnsi="Times New Roman" w:eastAsia="方正仿宋_GBK" w:cs="Times New Roman"/>
          <w:color w:val="auto"/>
          <w:kern w:val="2"/>
          <w:sz w:val="31"/>
          <w:szCs w:val="31"/>
          <w:lang w:val="en-US" w:eastAsia="zh-CN" w:bidi="ar-SA"/>
        </w:rPr>
      </w:pPr>
      <w:r>
        <w:rPr>
          <w:rFonts w:hint="default" w:ascii="Times New Roman" w:hAnsi="Times New Roman" w:eastAsia="方正仿宋_GBK" w:cs="Times New Roman"/>
          <w:color w:val="auto"/>
          <w:kern w:val="2"/>
          <w:sz w:val="31"/>
          <w:szCs w:val="31"/>
          <w:lang w:val="en-US" w:eastAsia="zh-CN" w:bidi="ar-SA"/>
        </w:rPr>
        <w:t>为顺利推进珠海市金湾区2024年度第五十一批次城镇建设用地征地（三灶科技工业园-三锐精工厂后配套市政道路工程）项目的征收补偿工作，确保项目顺利建设，按照《中华人民共和国土地管理法》《中华人民共和国土地管理法实施条例》《广东省土地管理条例》《珠海经济特区土地管理条例》《珠海市人民政府关于委托组织实施征收土地工作的规定》以及我市其他相关现行政策、征地补偿标准的规定，结合金湾区实际，制定本方案。</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20" w:firstLineChars="200"/>
        <w:jc w:val="both"/>
        <w:textAlignment w:val="auto"/>
        <w:rPr>
          <w:rFonts w:hint="eastAsia" w:ascii="CESI黑体-GB13000" w:hAnsi="CESI黑体-GB13000" w:eastAsia="CESI黑体-GB13000" w:cs="CESI黑体-GB13000"/>
          <w:b w:val="0"/>
          <w:bCs w:val="0"/>
          <w:color w:val="auto"/>
          <w:sz w:val="31"/>
          <w:szCs w:val="31"/>
        </w:rPr>
      </w:pPr>
      <w:r>
        <w:rPr>
          <w:rFonts w:hint="eastAsia" w:ascii="CESI黑体-GB13000" w:hAnsi="CESI黑体-GB13000" w:eastAsia="CESI黑体-GB13000" w:cs="CESI黑体-GB13000"/>
          <w:b w:val="0"/>
          <w:bCs w:val="0"/>
          <w:color w:val="auto"/>
          <w:sz w:val="31"/>
          <w:szCs w:val="31"/>
        </w:rPr>
        <w:t xml:space="preserve">第一条  </w:t>
      </w:r>
      <w:r>
        <w:rPr>
          <w:rFonts w:hint="eastAsia" w:ascii="CESI黑体-GB13000" w:hAnsi="CESI黑体-GB13000" w:eastAsia="CESI黑体-GB13000" w:cs="CESI黑体-GB13000"/>
          <w:b w:val="0"/>
          <w:bCs w:val="0"/>
          <w:color w:val="auto"/>
          <w:sz w:val="31"/>
          <w:szCs w:val="31"/>
          <w:lang w:eastAsia="zh-CN"/>
        </w:rPr>
        <w:t>征收目的</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7" w:firstLineChars="183"/>
        <w:jc w:val="both"/>
        <w:textAlignment w:val="auto"/>
        <w:rPr>
          <w:rFonts w:hint="default" w:ascii="Times New Roman" w:hAnsi="Times New Roman" w:eastAsia="方正仿宋_GBK" w:cs="Times New Roman"/>
          <w:color w:val="auto"/>
          <w:kern w:val="2"/>
          <w:sz w:val="31"/>
          <w:szCs w:val="31"/>
          <w:lang w:val="en-US" w:eastAsia="zh-CN" w:bidi="ar-SA"/>
        </w:rPr>
      </w:pPr>
      <w:r>
        <w:rPr>
          <w:rFonts w:hint="default" w:ascii="Times New Roman" w:hAnsi="Times New Roman" w:eastAsia="方正仿宋_GBK" w:cs="Times New Roman"/>
          <w:color w:val="auto"/>
          <w:kern w:val="2"/>
          <w:sz w:val="31"/>
          <w:szCs w:val="31"/>
          <w:lang w:val="en-US" w:eastAsia="zh-CN" w:bidi="ar-SA"/>
        </w:rPr>
        <w:t>根据《中华人民共和国土地管理法》第四十五条的规定，本次征收土地目的为</w:t>
      </w:r>
      <w:r>
        <w:rPr>
          <w:rFonts w:hint="eastAsia" w:ascii="Times New Roman" w:hAnsi="Times New Roman" w:eastAsia="方正仿宋_GBK" w:cs="Times New Roman"/>
          <w:color w:val="auto"/>
          <w:kern w:val="2"/>
          <w:sz w:val="31"/>
          <w:szCs w:val="31"/>
          <w:lang w:val="en-US" w:eastAsia="zh-CN" w:bidi="ar-SA"/>
        </w:rPr>
        <w:t>“</w:t>
      </w:r>
      <w:r>
        <w:rPr>
          <w:rFonts w:hint="default" w:ascii="Times New Roman" w:hAnsi="Times New Roman" w:eastAsia="方正仿宋_GBK" w:cs="Times New Roman"/>
          <w:color w:val="auto"/>
          <w:kern w:val="2"/>
          <w:sz w:val="31"/>
          <w:szCs w:val="31"/>
          <w:lang w:val="en-US" w:eastAsia="zh-CN" w:bidi="ar-SA"/>
        </w:rPr>
        <w:t>（二）由政府组</w:t>
      </w:r>
      <w:r>
        <w:rPr>
          <w:rFonts w:hint="eastAsia" w:ascii="Times New Roman" w:hAnsi="Times New Roman" w:eastAsia="方正仿宋_GBK" w:cs="Times New Roman"/>
          <w:color w:val="auto"/>
          <w:kern w:val="2"/>
          <w:sz w:val="31"/>
          <w:szCs w:val="31"/>
          <w:lang w:val="en-US" w:eastAsia="zh-CN" w:bidi="ar-SA"/>
        </w:rPr>
        <w:t>15.5</w:t>
      </w:r>
      <w:r>
        <w:rPr>
          <w:rFonts w:hint="default" w:ascii="Times New Roman" w:hAnsi="Times New Roman" w:eastAsia="方正仿宋_GBK" w:cs="Times New Roman"/>
          <w:color w:val="auto"/>
          <w:kern w:val="2"/>
          <w:sz w:val="31"/>
          <w:szCs w:val="31"/>
          <w:lang w:val="en-US" w:eastAsia="zh-CN" w:bidi="ar-SA"/>
        </w:rPr>
        <w:t>织实施的能源、交通、水利、通信、邮政等基础设施建设需要用地的</w:t>
      </w:r>
      <w:r>
        <w:rPr>
          <w:rFonts w:hint="eastAsia" w:ascii="Times New Roman" w:hAnsi="Times New Roman" w:eastAsia="方正仿宋_GBK" w:cs="Times New Roman"/>
          <w:color w:val="auto"/>
          <w:kern w:val="2"/>
          <w:sz w:val="31"/>
          <w:szCs w:val="31"/>
          <w:lang w:val="en-US" w:eastAsia="zh-CN" w:bidi="ar-SA"/>
        </w:rPr>
        <w:t>”</w:t>
      </w:r>
      <w:r>
        <w:rPr>
          <w:rFonts w:hint="default" w:ascii="Times New Roman" w:hAnsi="Times New Roman" w:eastAsia="方正仿宋_GBK" w:cs="Times New Roman"/>
          <w:color w:val="auto"/>
          <w:kern w:val="2"/>
          <w:sz w:val="31"/>
          <w:szCs w:val="31"/>
          <w:lang w:val="en-US" w:eastAsia="zh-CN" w:bidi="ar-SA"/>
        </w:rPr>
        <w:t>中的交通基础设施建设项目。为加快推进珠海市金湾区2024年度第五十一批次城镇建设用地（三灶科技工业园-三锐精工厂后配套市政道路工程）项目建设，珠海市人民政府决定对项目用地范围内涉及的土地和青苗及地上附着物进行现场调查、丈量确认、征收补偿。</w:t>
      </w:r>
    </w:p>
    <w:p>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CESI黑体-GB13000" w:hAnsi="CESI黑体-GB13000" w:eastAsia="CESI黑体-GB13000" w:cs="CESI黑体-GB13000"/>
          <w:b w:val="0"/>
          <w:bCs w:val="0"/>
          <w:color w:val="auto"/>
          <w:sz w:val="31"/>
          <w:szCs w:val="31"/>
          <w:lang w:val="en-US" w:eastAsia="zh-CN"/>
        </w:rPr>
      </w:pPr>
      <w:r>
        <w:rPr>
          <w:rFonts w:hint="eastAsia" w:ascii="CESI黑体-GB13000" w:hAnsi="CESI黑体-GB13000" w:eastAsia="CESI黑体-GB13000" w:cs="CESI黑体-GB13000"/>
          <w:b w:val="0"/>
          <w:bCs w:val="0"/>
          <w:color w:val="auto"/>
          <w:sz w:val="31"/>
          <w:szCs w:val="31"/>
          <w:lang w:val="en-US" w:eastAsia="zh-CN"/>
        </w:rPr>
        <w:t xml:space="preserve"> 征收范围和土地现状</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b w:val="0"/>
          <w:bCs w:val="0"/>
          <w:color w:val="FF0000"/>
          <w:sz w:val="31"/>
          <w:szCs w:val="31"/>
          <w:highlight w:val="none"/>
          <w:lang w:val="en-US" w:eastAsia="zh-CN"/>
        </w:rPr>
      </w:pPr>
      <w:r>
        <w:rPr>
          <w:rFonts w:hint="default" w:ascii="Times New Roman" w:hAnsi="Times New Roman" w:eastAsia="方正仿宋_GBK" w:cs="Times New Roman"/>
          <w:b w:val="0"/>
          <w:bCs w:val="0"/>
          <w:color w:val="auto"/>
          <w:sz w:val="31"/>
          <w:szCs w:val="31"/>
          <w:lang w:val="en-US" w:eastAsia="zh-CN"/>
        </w:rPr>
        <w:t xml:space="preserve">    </w:t>
      </w:r>
      <w:r>
        <w:rPr>
          <w:rFonts w:hint="default" w:ascii="Times New Roman" w:hAnsi="Times New Roman" w:eastAsia="方正仿宋_GBK" w:cs="Times New Roman"/>
          <w:color w:val="auto"/>
          <w:kern w:val="2"/>
          <w:sz w:val="31"/>
          <w:szCs w:val="31"/>
          <w:lang w:val="en-US" w:eastAsia="zh-CN" w:bidi="ar-SA"/>
        </w:rPr>
        <w:t>本项目涉及珠海市金湾区三灶镇鱼月村定家湾组股份经济合作</w:t>
      </w:r>
      <w:r>
        <w:rPr>
          <w:rFonts w:hint="default" w:ascii="Times New Roman" w:hAnsi="Times New Roman" w:eastAsia="方正仿宋_GBK" w:cs="Times New Roman"/>
          <w:color w:val="auto"/>
          <w:kern w:val="2"/>
          <w:sz w:val="31"/>
          <w:szCs w:val="31"/>
          <w:highlight w:val="none"/>
          <w:lang w:val="en-US" w:eastAsia="zh-CN" w:bidi="ar-SA"/>
        </w:rPr>
        <w:t>社集体农用地0.1575公顷（约2.3625亩，以2000国家大地坐标计算），全部为林地0.1575公顷（约2.3635亩）。</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default" w:ascii="Times New Roman" w:hAnsi="Times New Roman" w:eastAsia="方正仿宋_GBK" w:cs="Times New Roman"/>
          <w:b w:val="0"/>
          <w:bCs/>
          <w:color w:val="auto"/>
          <w:spacing w:val="0"/>
          <w:w w:val="100"/>
          <w:sz w:val="31"/>
          <w:szCs w:val="31"/>
        </w:rPr>
      </w:pPr>
      <w:r>
        <w:rPr>
          <w:rFonts w:hint="eastAsia" w:ascii="CESI黑体-GB13000" w:hAnsi="CESI黑体-GB13000" w:eastAsia="CESI黑体-GB13000" w:cs="CESI黑体-GB13000"/>
          <w:b w:val="0"/>
          <w:bCs/>
          <w:color w:val="auto"/>
          <w:spacing w:val="0"/>
          <w:w w:val="100"/>
          <w:sz w:val="31"/>
          <w:szCs w:val="31"/>
        </w:rPr>
        <w:t>第</w:t>
      </w:r>
      <w:r>
        <w:rPr>
          <w:rFonts w:hint="eastAsia" w:ascii="CESI黑体-GB13000" w:hAnsi="CESI黑体-GB13000" w:eastAsia="CESI黑体-GB13000" w:cs="CESI黑体-GB13000"/>
          <w:b w:val="0"/>
          <w:bCs/>
          <w:color w:val="auto"/>
          <w:spacing w:val="0"/>
          <w:w w:val="100"/>
          <w:sz w:val="31"/>
          <w:szCs w:val="31"/>
          <w:lang w:eastAsia="zh-CN"/>
        </w:rPr>
        <w:t>三</w:t>
      </w:r>
      <w:r>
        <w:rPr>
          <w:rFonts w:hint="eastAsia" w:ascii="CESI黑体-GB13000" w:hAnsi="CESI黑体-GB13000" w:eastAsia="CESI黑体-GB13000" w:cs="CESI黑体-GB13000"/>
          <w:b w:val="0"/>
          <w:bCs/>
          <w:color w:val="auto"/>
          <w:spacing w:val="0"/>
          <w:w w:val="100"/>
          <w:sz w:val="31"/>
          <w:szCs w:val="31"/>
        </w:rPr>
        <w:t>条  征收集体土地涉及土地补偿</w:t>
      </w:r>
      <w:r>
        <w:rPr>
          <w:rFonts w:hint="eastAsia" w:ascii="CESI黑体-GB13000" w:hAnsi="CESI黑体-GB13000" w:eastAsia="CESI黑体-GB13000" w:cs="CESI黑体-GB13000"/>
          <w:b w:val="0"/>
          <w:bCs/>
          <w:color w:val="auto"/>
          <w:spacing w:val="0"/>
          <w:w w:val="100"/>
          <w:sz w:val="31"/>
          <w:szCs w:val="31"/>
          <w:lang w:val="en-US" w:eastAsia="zh-CN"/>
        </w:rPr>
        <w:t>费</w:t>
      </w:r>
      <w:r>
        <w:rPr>
          <w:rFonts w:hint="eastAsia" w:ascii="CESI黑体-GB13000" w:hAnsi="CESI黑体-GB13000" w:eastAsia="CESI黑体-GB13000" w:cs="CESI黑体-GB13000"/>
          <w:b w:val="0"/>
          <w:bCs/>
          <w:color w:val="auto"/>
          <w:spacing w:val="0"/>
          <w:w w:val="100"/>
          <w:sz w:val="31"/>
          <w:szCs w:val="31"/>
        </w:rPr>
        <w:t>和安置补助费补偿标准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lang w:val="en-US" w:eastAsia="zh-CN"/>
        </w:rPr>
      </w:pPr>
      <w:r>
        <w:rPr>
          <w:rFonts w:hint="default" w:ascii="Times New Roman" w:hAnsi="Times New Roman" w:eastAsia="方正仿宋_GBK" w:cs="Times New Roman"/>
          <w:color w:val="auto"/>
          <w:sz w:val="31"/>
          <w:szCs w:val="31"/>
          <w:lang w:val="en-US" w:eastAsia="zh-CN"/>
        </w:rPr>
        <w:t>本项目征收集体土地的土地补偿费和安置补助费，补偿标准按《珠海市人民政府关于公布实施征收农用地区片综合地价的公告》（珠府函〔2024〕19号）规定的标准执行。</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eastAsia" w:ascii="CESI黑体-GB13000" w:hAnsi="CESI黑体-GB13000" w:eastAsia="CESI黑体-GB13000" w:cs="CESI黑体-GB13000"/>
          <w:b w:val="0"/>
          <w:bCs/>
          <w:color w:val="auto"/>
          <w:sz w:val="31"/>
          <w:szCs w:val="31"/>
        </w:rPr>
      </w:pPr>
      <w:r>
        <w:rPr>
          <w:rFonts w:hint="eastAsia" w:ascii="CESI黑体-GB13000" w:hAnsi="CESI黑体-GB13000" w:eastAsia="CESI黑体-GB13000" w:cs="CESI黑体-GB13000"/>
          <w:b w:val="0"/>
          <w:bCs/>
          <w:color w:val="auto"/>
          <w:sz w:val="31"/>
          <w:szCs w:val="31"/>
        </w:rPr>
        <w:t>第</w:t>
      </w:r>
      <w:r>
        <w:rPr>
          <w:rFonts w:hint="eastAsia" w:ascii="CESI黑体-GB13000" w:hAnsi="CESI黑体-GB13000" w:eastAsia="CESI黑体-GB13000" w:cs="CESI黑体-GB13000"/>
          <w:b w:val="0"/>
          <w:bCs/>
          <w:color w:val="auto"/>
          <w:sz w:val="31"/>
          <w:szCs w:val="31"/>
          <w:lang w:eastAsia="zh-CN"/>
        </w:rPr>
        <w:t>四</w:t>
      </w:r>
      <w:r>
        <w:rPr>
          <w:rFonts w:hint="eastAsia" w:ascii="CESI黑体-GB13000" w:hAnsi="CESI黑体-GB13000" w:eastAsia="CESI黑体-GB13000" w:cs="CESI黑体-GB13000"/>
          <w:b w:val="0"/>
          <w:bCs/>
          <w:color w:val="auto"/>
          <w:sz w:val="31"/>
          <w:szCs w:val="31"/>
        </w:rPr>
        <w:t>条  青苗及地上附着物补偿标准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lang w:val="en-US" w:eastAsia="zh-CN"/>
        </w:rPr>
      </w:pPr>
      <w:r>
        <w:rPr>
          <w:rFonts w:hint="default" w:ascii="Times New Roman" w:hAnsi="Times New Roman" w:eastAsia="方正仿宋_GBK" w:cs="Times New Roman"/>
          <w:color w:val="auto"/>
          <w:sz w:val="31"/>
          <w:szCs w:val="31"/>
          <w:lang w:val="en-US" w:eastAsia="zh-CN"/>
        </w:rPr>
        <w:t>青苗及地上附着物（含临时设施）补偿标准按《珠海市人民政府关于印发珠海市征收（征用）土地青苗及地上附着物补偿办法的通知》（珠府〔2024〕42号）执行。</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default" w:ascii="CESI黑体-GB13000" w:hAnsi="CESI黑体-GB13000" w:eastAsia="CESI黑体-GB13000" w:cs="CESI黑体-GB13000"/>
          <w:b w:val="0"/>
          <w:bCs/>
          <w:color w:val="auto"/>
          <w:sz w:val="31"/>
          <w:szCs w:val="31"/>
        </w:rPr>
      </w:pPr>
      <w:r>
        <w:rPr>
          <w:rFonts w:hint="default" w:ascii="CESI黑体-GB13000" w:hAnsi="CESI黑体-GB13000" w:eastAsia="CESI黑体-GB13000" w:cs="CESI黑体-GB13000"/>
          <w:b w:val="0"/>
          <w:bCs/>
          <w:color w:val="auto"/>
          <w:sz w:val="31"/>
          <w:szCs w:val="31"/>
          <w:lang w:val="en-US" w:eastAsia="zh-CN"/>
        </w:rPr>
        <w:t xml:space="preserve">第五条  </w:t>
      </w:r>
      <w:r>
        <w:rPr>
          <w:rFonts w:hint="default" w:ascii="CESI黑体-GB13000" w:hAnsi="CESI黑体-GB13000" w:eastAsia="CESI黑体-GB13000" w:cs="CESI黑体-GB13000"/>
          <w:b w:val="0"/>
          <w:bCs/>
          <w:color w:val="auto"/>
          <w:sz w:val="31"/>
          <w:szCs w:val="31"/>
        </w:rPr>
        <w:t>安排留用地的标准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FF0000"/>
          <w:sz w:val="31"/>
          <w:szCs w:val="31"/>
          <w:highlight w:val="yellow"/>
          <w:lang w:val="en-US" w:eastAsia="zh-CN"/>
        </w:rPr>
      </w:pPr>
      <w:r>
        <w:rPr>
          <w:rFonts w:hint="default" w:ascii="Times New Roman" w:hAnsi="Times New Roman" w:eastAsia="方正仿宋_GBK" w:cs="Times New Roman"/>
          <w:color w:val="auto"/>
          <w:sz w:val="31"/>
          <w:szCs w:val="31"/>
          <w:lang w:val="en-US" w:eastAsia="zh-CN"/>
        </w:rPr>
        <w:t>根据《印发广东省征收农村集体土地留用地管理办法（试行）的通知》（粤府办〔2009〕41号）、《广东省人民政府办公厅关于加强征收农村集体土地留用地安置管理工作的意见》（粤府办〔2016〕30号）的规定，按实际征收土地面积的10%安排留用地。</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eastAsia" w:ascii="CESI黑体-GB13000" w:hAnsi="CESI黑体-GB13000" w:eastAsia="CESI黑体-GB13000" w:cs="CESI黑体-GB13000"/>
          <w:sz w:val="31"/>
          <w:szCs w:val="31"/>
        </w:rPr>
      </w:pPr>
      <w:r>
        <w:rPr>
          <w:rFonts w:hint="eastAsia" w:ascii="CESI黑体-GB13000" w:hAnsi="CESI黑体-GB13000" w:eastAsia="CESI黑体-GB13000" w:cs="CESI黑体-GB13000"/>
          <w:b w:val="0"/>
          <w:bCs/>
          <w:color w:val="auto"/>
          <w:sz w:val="31"/>
          <w:szCs w:val="31"/>
          <w:lang w:val="en-US" w:eastAsia="zh-CN"/>
        </w:rPr>
        <w:t>第六条  安置对象</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lang w:val="en-US" w:eastAsia="zh-CN"/>
        </w:rPr>
      </w:pPr>
      <w:r>
        <w:rPr>
          <w:rFonts w:hint="default" w:ascii="Times New Roman" w:hAnsi="Times New Roman" w:eastAsia="方正仿宋_GBK" w:cs="Times New Roman"/>
          <w:color w:val="auto"/>
          <w:sz w:val="31"/>
          <w:szCs w:val="31"/>
          <w:lang w:val="en-US" w:eastAsia="zh-CN"/>
        </w:rPr>
        <w:t>1、安置补助对象：被征地单位的安置人口数以征地预公告发布前一日的在册人口数为准；2、征地社保费补助对象：</w:t>
      </w:r>
      <w:r>
        <w:rPr>
          <w:rFonts w:hint="default" w:ascii="Times New Roman" w:hAnsi="Times New Roman" w:eastAsia="方正仿宋_GBK" w:cs="Times New Roman"/>
          <w:color w:val="auto"/>
          <w:sz w:val="31"/>
          <w:szCs w:val="31"/>
          <w:lang w:eastAsia="zh-CN"/>
        </w:rPr>
        <w:t>享有农村集体土地承包权的农户，家庭承包的土地被政府依法统一征收的，其征地安置补偿方案制定时属于农村集体经济组织成员且年满16周岁以上的家庭成员，纳入征地社保费补贴对象范围。农村集体经济组织另有规定的，可从其规定。</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0" w:firstLineChars="200"/>
        <w:jc w:val="both"/>
        <w:textAlignment w:val="auto"/>
        <w:rPr>
          <w:rFonts w:hint="default" w:ascii="Times New Roman" w:hAnsi="Times New Roman" w:eastAsia="方正仿宋_GBK" w:cs="Times New Roman"/>
          <w:b w:val="0"/>
          <w:bCs/>
          <w:color w:val="auto"/>
          <w:sz w:val="31"/>
          <w:szCs w:val="31"/>
          <w:lang w:val="en-US" w:eastAsia="zh-CN"/>
        </w:rPr>
      </w:pPr>
      <w:r>
        <w:rPr>
          <w:rFonts w:hint="eastAsia" w:ascii="CESI黑体-GB13000" w:hAnsi="CESI黑体-GB13000" w:eastAsia="CESI黑体-GB13000" w:cs="CESI黑体-GB13000"/>
          <w:b w:val="0"/>
          <w:bCs/>
          <w:color w:val="auto"/>
          <w:kern w:val="2"/>
          <w:sz w:val="31"/>
          <w:szCs w:val="31"/>
          <w:lang w:val="en-US" w:eastAsia="zh-CN" w:bidi="ar-SA"/>
        </w:rPr>
        <w:t xml:space="preserve">第七条 </w:t>
      </w:r>
      <w:r>
        <w:rPr>
          <w:rFonts w:hint="default" w:ascii="CESI黑体-GB13000" w:hAnsi="CESI黑体-GB13000" w:eastAsia="CESI黑体-GB13000" w:cs="CESI黑体-GB13000"/>
          <w:b w:val="0"/>
          <w:bCs/>
          <w:color w:val="auto"/>
          <w:kern w:val="2"/>
          <w:sz w:val="31"/>
          <w:szCs w:val="31"/>
          <w:lang w:val="en-US" w:eastAsia="zh-CN" w:bidi="ar-SA"/>
        </w:rPr>
        <w:t xml:space="preserve"> 安置方式</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rPr>
      </w:pPr>
      <w:r>
        <w:rPr>
          <w:rFonts w:hint="default" w:ascii="Times New Roman" w:hAnsi="Times New Roman" w:eastAsia="方正仿宋_GBK" w:cs="Times New Roman"/>
          <w:color w:val="auto"/>
          <w:sz w:val="31"/>
          <w:szCs w:val="31"/>
          <w:lang w:eastAsia="zh-CN"/>
        </w:rPr>
        <w:t>货币安置。所需费用已包含在土地补偿安置费和被征地农民养老保障资金中</w:t>
      </w:r>
      <w:r>
        <w:rPr>
          <w:rFonts w:hint="default" w:ascii="Times New Roman" w:hAnsi="Times New Roman" w:eastAsia="方正仿宋_GBK" w:cs="Times New Roman"/>
          <w:color w:val="auto"/>
          <w:sz w:val="31"/>
          <w:szCs w:val="31"/>
        </w:rPr>
        <w:t>。</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default" w:ascii="CESI黑体-GB13000" w:hAnsi="CESI黑体-GB13000" w:eastAsia="CESI黑体-GB13000" w:cs="CESI黑体-GB13000"/>
          <w:b w:val="0"/>
          <w:bCs/>
          <w:color w:val="auto"/>
          <w:sz w:val="31"/>
          <w:szCs w:val="31"/>
          <w:lang w:val="en-US" w:eastAsia="zh-CN"/>
        </w:rPr>
      </w:pPr>
      <w:r>
        <w:rPr>
          <w:rFonts w:hint="default" w:ascii="CESI黑体-GB13000" w:hAnsi="CESI黑体-GB13000" w:eastAsia="CESI黑体-GB13000" w:cs="CESI黑体-GB13000"/>
          <w:b w:val="0"/>
          <w:bCs/>
          <w:color w:val="auto"/>
          <w:sz w:val="31"/>
          <w:szCs w:val="31"/>
          <w:lang w:val="en-US" w:eastAsia="zh-CN"/>
        </w:rPr>
        <w:t>第八条  被征地农民养老保障资金的计提及发放</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lang w:val="en-US" w:eastAsia="zh-CN"/>
        </w:rPr>
      </w:pPr>
      <w:r>
        <w:rPr>
          <w:rFonts w:hint="default" w:ascii="Times New Roman" w:hAnsi="Times New Roman" w:eastAsia="方正仿宋_GBK" w:cs="Times New Roman"/>
          <w:color w:val="auto"/>
          <w:sz w:val="31"/>
          <w:szCs w:val="31"/>
        </w:rPr>
        <w:t>被征地农民养老保障</w:t>
      </w:r>
      <w:r>
        <w:rPr>
          <w:rFonts w:hint="default" w:ascii="Times New Roman" w:hAnsi="Times New Roman" w:eastAsia="方正仿宋_GBK" w:cs="Times New Roman"/>
          <w:color w:val="auto"/>
          <w:sz w:val="31"/>
          <w:szCs w:val="31"/>
          <w:lang w:val="en-US" w:eastAsia="zh-CN"/>
        </w:rPr>
        <w:t>资</w:t>
      </w:r>
      <w:r>
        <w:rPr>
          <w:rFonts w:hint="default" w:ascii="Times New Roman" w:hAnsi="Times New Roman" w:eastAsia="方正仿宋_GBK" w:cs="Times New Roman"/>
          <w:color w:val="auto"/>
          <w:sz w:val="31"/>
          <w:szCs w:val="31"/>
        </w:rPr>
        <w:t>金的计提及发放按《广东省人民政府办公厅转发省人力资源社会保障厅关于进一步完善我省被征地农民养老保障政策意见的通知》（粤府办〔2021〕22号）</w:t>
      </w:r>
      <w:r>
        <w:rPr>
          <w:rFonts w:hint="default" w:ascii="Times New Roman" w:hAnsi="Times New Roman" w:eastAsia="方正仿宋_GBK" w:cs="Times New Roman"/>
          <w:color w:val="auto"/>
          <w:sz w:val="31"/>
          <w:szCs w:val="31"/>
          <w:lang w:eastAsia="zh-CN"/>
        </w:rPr>
        <w:t>、</w:t>
      </w:r>
      <w:r>
        <w:rPr>
          <w:rFonts w:hint="default" w:ascii="Times New Roman" w:hAnsi="Times New Roman" w:eastAsia="方正仿宋_GBK" w:cs="Times New Roman"/>
          <w:color w:val="auto"/>
          <w:sz w:val="31"/>
          <w:szCs w:val="31"/>
        </w:rPr>
        <w:t>《珠海市人力资源和社会保障局 珠海市自然资源局关于印发珠海市被征地农民养老保障审核办理流程的通知（珠人社规〔2021〕7号）》等规定执行。</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CESI黑体-GB13000" w:hAnsi="CESI黑体-GB13000" w:eastAsia="CESI黑体-GB13000" w:cs="CESI黑体-GB13000"/>
          <w:b w:val="0"/>
          <w:bCs/>
          <w:color w:val="auto"/>
          <w:kern w:val="2"/>
          <w:sz w:val="31"/>
          <w:szCs w:val="31"/>
          <w:lang w:val="en-US" w:eastAsia="zh-CN" w:bidi="ar-SA"/>
        </w:rPr>
      </w:pPr>
      <w:r>
        <w:rPr>
          <w:rFonts w:hint="default" w:ascii="CESI黑体-GB13000" w:hAnsi="CESI黑体-GB13000" w:eastAsia="CESI黑体-GB13000" w:cs="CESI黑体-GB13000"/>
          <w:b w:val="0"/>
          <w:bCs/>
          <w:color w:val="auto"/>
          <w:kern w:val="2"/>
          <w:sz w:val="31"/>
          <w:szCs w:val="31"/>
          <w:lang w:val="en-US" w:eastAsia="zh-CN" w:bidi="ar-SA"/>
        </w:rPr>
        <w:t>第九条  土地补偿争议的解决</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5"/>
        <w:jc w:val="both"/>
        <w:textAlignment w:val="auto"/>
        <w:rPr>
          <w:rFonts w:hint="default" w:ascii="Times New Roman" w:hAnsi="Times New Roman" w:eastAsia="方正仿宋_GBK" w:cs="Times New Roman"/>
          <w:color w:val="auto"/>
          <w:sz w:val="31"/>
          <w:szCs w:val="31"/>
        </w:rPr>
      </w:pPr>
      <w:r>
        <w:rPr>
          <w:rFonts w:hint="default" w:ascii="Times New Roman" w:hAnsi="Times New Roman" w:eastAsia="方正仿宋_GBK" w:cs="Times New Roman"/>
          <w:color w:val="auto"/>
          <w:sz w:val="31"/>
          <w:szCs w:val="31"/>
        </w:rPr>
        <w:t>被征土地的单位或者个人不履行已签订的征收土地补偿、安置协议、征地青苗及地上附着物补偿协议，或者不服征地补偿决定，拒绝接受补偿费的，</w:t>
      </w:r>
      <w:r>
        <w:rPr>
          <w:rFonts w:hint="default" w:ascii="Times New Roman" w:hAnsi="Times New Roman" w:eastAsia="方正仿宋_GBK" w:cs="Times New Roman"/>
          <w:b w:val="0"/>
          <w:bCs w:val="0"/>
          <w:color w:val="auto"/>
          <w:sz w:val="31"/>
          <w:szCs w:val="31"/>
        </w:rPr>
        <w:t>按</w:t>
      </w:r>
      <w:r>
        <w:rPr>
          <w:rFonts w:hint="default" w:ascii="Times New Roman" w:hAnsi="Times New Roman" w:eastAsia="方正仿宋_GBK" w:cs="Times New Roman"/>
          <w:b w:val="0"/>
          <w:bCs w:val="0"/>
          <w:color w:val="auto"/>
          <w:sz w:val="31"/>
          <w:szCs w:val="31"/>
          <w:lang w:eastAsia="zh-CN"/>
        </w:rPr>
        <w:t>《中华人民共和国土地管理法实施条例》</w:t>
      </w:r>
      <w:r>
        <w:rPr>
          <w:rFonts w:hint="default" w:ascii="Times New Roman" w:hAnsi="Times New Roman" w:eastAsia="方正仿宋_GBK" w:cs="Times New Roman"/>
          <w:b w:val="0"/>
          <w:bCs w:val="0"/>
          <w:color w:val="auto"/>
          <w:sz w:val="31"/>
          <w:szCs w:val="31"/>
        </w:rPr>
        <w:t>《珠海经济特区土地管理条例》《珠海市人民政府关于委托组织实施征收土地工作的规定》(珠海市人民政府令第1</w:t>
      </w:r>
      <w:r>
        <w:rPr>
          <w:rFonts w:hint="default" w:ascii="Times New Roman" w:hAnsi="Times New Roman" w:eastAsia="方正仿宋_GBK" w:cs="Times New Roman"/>
          <w:b w:val="0"/>
          <w:bCs w:val="0"/>
          <w:color w:val="auto"/>
          <w:sz w:val="31"/>
          <w:szCs w:val="31"/>
          <w:lang w:val="en-US" w:eastAsia="zh-CN"/>
        </w:rPr>
        <w:t>31</w:t>
      </w:r>
      <w:r>
        <w:rPr>
          <w:rFonts w:hint="default" w:ascii="Times New Roman" w:hAnsi="Times New Roman" w:eastAsia="方正仿宋_GBK" w:cs="Times New Roman"/>
          <w:b w:val="0"/>
          <w:bCs w:val="0"/>
          <w:color w:val="auto"/>
          <w:sz w:val="31"/>
          <w:szCs w:val="31"/>
        </w:rPr>
        <w:t>号)的相关规定执行。</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default" w:ascii="CESI黑体-GB13000" w:hAnsi="CESI黑体-GB13000" w:eastAsia="CESI黑体-GB13000" w:cs="CESI黑体-GB13000"/>
          <w:b w:val="0"/>
          <w:bCs/>
          <w:color w:val="auto"/>
          <w:sz w:val="31"/>
          <w:szCs w:val="31"/>
          <w:lang w:val="en-US" w:eastAsia="zh-CN"/>
        </w:rPr>
      </w:pPr>
      <w:r>
        <w:rPr>
          <w:rFonts w:hint="default" w:ascii="CESI黑体-GB13000" w:hAnsi="CESI黑体-GB13000" w:eastAsia="CESI黑体-GB13000" w:cs="CESI黑体-GB13000"/>
          <w:b w:val="0"/>
          <w:bCs/>
          <w:color w:val="auto"/>
          <w:sz w:val="31"/>
          <w:szCs w:val="31"/>
          <w:lang w:val="en-US" w:eastAsia="zh-CN"/>
        </w:rPr>
        <w:t>第十条  本方案由金湾区人民政府负责解释。</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both"/>
        <w:textAlignment w:val="auto"/>
        <w:rPr>
          <w:rFonts w:hint="default" w:ascii="CESI黑体-GB13000" w:hAnsi="CESI黑体-GB13000" w:eastAsia="CESI黑体-GB13000" w:cs="CESI黑体-GB13000"/>
          <w:b w:val="0"/>
          <w:bCs/>
          <w:color w:val="auto"/>
          <w:sz w:val="31"/>
          <w:szCs w:val="31"/>
          <w:lang w:val="en-US" w:eastAsia="zh-CN"/>
        </w:rPr>
      </w:pPr>
      <w:r>
        <w:rPr>
          <w:rFonts w:hint="default" w:ascii="CESI黑体-GB13000" w:hAnsi="CESI黑体-GB13000" w:eastAsia="CESI黑体-GB13000" w:cs="CESI黑体-GB13000"/>
          <w:b w:val="0"/>
          <w:bCs/>
          <w:color w:val="auto"/>
          <w:sz w:val="31"/>
          <w:szCs w:val="31"/>
          <w:lang w:val="en-US" w:eastAsia="zh-CN"/>
        </w:rPr>
        <w:t>第十一条  本方案自批准之日起施行。</w:t>
      </w:r>
    </w:p>
    <w:p>
      <w:pPr>
        <w:pStyle w:val="4"/>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color w:val="auto"/>
          <w:sz w:val="31"/>
          <w:szCs w:val="31"/>
          <w:lang w:eastAsia="zh-CN"/>
        </w:rPr>
      </w:pPr>
    </w:p>
    <w:p>
      <w:pPr>
        <w:pStyle w:val="4"/>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color w:val="auto"/>
          <w:sz w:val="31"/>
          <w:szCs w:val="31"/>
          <w:lang w:eastAsia="zh-CN"/>
        </w:rPr>
      </w:pPr>
    </w:p>
    <w:p>
      <w:pPr>
        <w:pStyle w:val="4"/>
        <w:keepNext w:val="0"/>
        <w:keepLines w:val="0"/>
        <w:pageBreakBefore w:val="0"/>
        <w:widowControl w:val="0"/>
        <w:kinsoku/>
        <w:wordWrap/>
        <w:overflowPunct/>
        <w:topLinePunct w:val="0"/>
        <w:autoSpaceDE/>
        <w:autoSpaceDN/>
        <w:bidi w:val="0"/>
        <w:adjustRightInd/>
        <w:snapToGrid/>
        <w:spacing w:line="560" w:lineRule="exact"/>
        <w:ind w:right="630" w:rightChars="300"/>
        <w:jc w:val="both"/>
        <w:textAlignment w:val="auto"/>
        <w:rPr>
          <w:rFonts w:hint="default" w:ascii="Times New Roman" w:hAnsi="Times New Roman" w:eastAsia="方正仿宋_GBK" w:cs="Times New Roman"/>
          <w:b w:val="0"/>
          <w:color w:val="auto"/>
          <w:sz w:val="31"/>
          <w:szCs w:val="31"/>
          <w:lang w:eastAsia="zh-CN"/>
        </w:rPr>
      </w:pPr>
      <w:r>
        <w:rPr>
          <w:rFonts w:hint="default" w:ascii="Times New Roman" w:hAnsi="Times New Roman" w:eastAsia="方正仿宋_GBK" w:cs="Times New Roman"/>
          <w:b/>
          <w:color w:val="auto"/>
          <w:sz w:val="31"/>
          <w:szCs w:val="31"/>
          <w:lang w:val="en-US" w:eastAsia="zh-CN"/>
        </w:rPr>
        <w:t xml:space="preserve">                              </w:t>
      </w:r>
      <w:r>
        <w:rPr>
          <w:rFonts w:hint="default" w:ascii="Times New Roman" w:hAnsi="Times New Roman" w:eastAsia="方正仿宋_GBK" w:cs="Times New Roman"/>
          <w:b w:val="0"/>
          <w:color w:val="auto"/>
          <w:sz w:val="31"/>
          <w:szCs w:val="31"/>
          <w:lang w:eastAsia="zh-CN"/>
        </w:rPr>
        <w:t>珠海市自然资源局</w:t>
      </w:r>
    </w:p>
    <w:p>
      <w:pPr>
        <w:pStyle w:val="4"/>
        <w:keepNext w:val="0"/>
        <w:keepLines w:val="0"/>
        <w:pageBreakBefore w:val="0"/>
        <w:widowControl w:val="0"/>
        <w:kinsoku/>
        <w:wordWrap/>
        <w:overflowPunct/>
        <w:topLinePunct w:val="0"/>
        <w:autoSpaceDE/>
        <w:autoSpaceDN/>
        <w:bidi w:val="0"/>
        <w:adjustRightInd/>
        <w:snapToGrid/>
        <w:spacing w:line="560" w:lineRule="exact"/>
        <w:ind w:firstLine="5580" w:firstLineChars="1800"/>
        <w:jc w:val="both"/>
        <w:textAlignment w:val="auto"/>
        <w:rPr>
          <w:rFonts w:hint="default" w:ascii="Times New Roman" w:hAnsi="Times New Roman" w:eastAsia="方正仿宋_GBK" w:cs="Times New Roman"/>
          <w:b w:val="0"/>
          <w:color w:val="auto"/>
          <w:sz w:val="31"/>
          <w:szCs w:val="31"/>
          <w:lang w:val="en-US" w:eastAsia="zh-CN"/>
        </w:rPr>
      </w:pPr>
      <w:r>
        <w:rPr>
          <w:rFonts w:hint="default" w:ascii="Times New Roman" w:hAnsi="Times New Roman" w:eastAsia="方正仿宋_GBK" w:cs="Times New Roman"/>
          <w:b w:val="0"/>
          <w:color w:val="auto"/>
          <w:sz w:val="31"/>
          <w:szCs w:val="31"/>
          <w:lang w:val="en-US" w:eastAsia="zh-CN"/>
        </w:rPr>
        <w:t>2025年</w:t>
      </w:r>
      <w:r>
        <w:rPr>
          <w:rFonts w:hint="eastAsia" w:eastAsia="方正仿宋_GBK" w:cs="Times New Roman"/>
          <w:b w:val="0"/>
          <w:color w:val="auto"/>
          <w:sz w:val="31"/>
          <w:szCs w:val="31"/>
          <w:lang w:val="en-US" w:eastAsia="zh-CN"/>
        </w:rPr>
        <w:t>6</w:t>
      </w:r>
      <w:r>
        <w:rPr>
          <w:rFonts w:hint="default" w:ascii="Times New Roman" w:hAnsi="Times New Roman" w:eastAsia="方正仿宋_GBK" w:cs="Times New Roman"/>
          <w:b w:val="0"/>
          <w:color w:val="auto"/>
          <w:sz w:val="31"/>
          <w:szCs w:val="31"/>
          <w:lang w:val="en-US" w:eastAsia="zh-CN"/>
        </w:rPr>
        <w:t>月</w:t>
      </w:r>
      <w:r>
        <w:rPr>
          <w:rFonts w:hint="eastAsia" w:eastAsia="方正仿宋_GBK" w:cs="Times New Roman"/>
          <w:b w:val="0"/>
          <w:color w:val="auto"/>
          <w:sz w:val="31"/>
          <w:szCs w:val="31"/>
          <w:lang w:val="en-US" w:eastAsia="zh-CN"/>
        </w:rPr>
        <w:t>30</w:t>
      </w:r>
      <w:r>
        <w:rPr>
          <w:rFonts w:hint="default" w:ascii="Times New Roman" w:hAnsi="Times New Roman" w:eastAsia="方正仿宋_GBK" w:cs="Times New Roman"/>
          <w:b w:val="0"/>
          <w:color w:val="auto"/>
          <w:sz w:val="31"/>
          <w:szCs w:val="31"/>
          <w:lang w:val="en-US" w:eastAsia="zh-CN"/>
        </w:rPr>
        <w:t>日</w:t>
      </w:r>
    </w:p>
    <w:p>
      <w:pPr>
        <w:pStyle w:val="2"/>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both"/>
        <w:textAlignment w:val="auto"/>
        <w:rPr>
          <w:rFonts w:hint="default" w:ascii="Times New Roman" w:hAnsi="Times New Roman" w:eastAsia="方正仿宋_GBK" w:cs="Times New Roman"/>
          <w:color w:val="auto"/>
          <w:sz w:val="31"/>
          <w:szCs w:val="31"/>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Cs/>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bCs/>
          <w:color w:val="auto"/>
          <w:sz w:val="44"/>
          <w:szCs w:val="44"/>
          <w:lang w:val="en-US" w:eastAsia="zh-CN"/>
        </w:rPr>
      </w:pPr>
      <w:bookmarkStart w:id="0" w:name="_GoBack"/>
      <w:bookmarkEnd w:id="0"/>
    </w:p>
    <w:sectPr>
      <w:footerReference r:id="rId3" w:type="default"/>
      <w:pgSz w:w="11906" w:h="16838"/>
      <w:pgMar w:top="2041" w:right="1531" w:bottom="1701"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CESI黑体-GB13000">
    <w:altName w:val="黑体"/>
    <w:panose1 w:val="02000500000000000000"/>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-114935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ind w:firstLine="280" w:firstLineChars="100"/>
                          </w:pPr>
                          <w:r>
                            <w:rPr>
                              <w:rStyle w:val="10"/>
                              <w:rFonts w:hint="eastAsia" w:ascii="宋体" w:hAnsi="宋体" w:eastAsia="宋体" w:cs="宋体"/>
                              <w:sz w:val="28"/>
                              <w:szCs w:val="28"/>
                            </w:rPr>
                            <w:t>—</w:t>
                          </w:r>
                          <w:r>
                            <w:rPr>
                              <w:rStyle w:val="10"/>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10"/>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Style w:val="10"/>
                              <w:rFonts w:hint="eastAsia" w:ascii="宋体" w:hAnsi="宋体" w:eastAsia="宋体" w:cs="宋体"/>
                              <w:sz w:val="28"/>
                              <w:szCs w:val="28"/>
                            </w:rPr>
                            <w:t>—</w:t>
                          </w:r>
                          <w:r>
                            <w:rPr>
                              <w:rStyle w:val="10"/>
                              <w:rFonts w:hint="eastAsia"/>
                              <w:color w:val="FFFFFF"/>
                              <w:sz w:val="26"/>
                              <w:szCs w:val="26"/>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9.05pt;height:144pt;width:144pt;mso-position-horizontal:outside;mso-position-horizontal-relative:margin;mso-wrap-style:none;z-index:251658240;mso-width-relative:page;mso-height-relative:page;" filled="f" stroked="f" coordsize="21600,21600" o:gfxdata="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E16UkNQAAAAI&#10;AQAADwAAAAAAAAABACAAAAAiAAAAZHJzL2Rvd25yZXYueG1sUEsBAhQAFAAAAAgAh07iQPFn5OWu&#10;AQAASwMAAA4AAAAAAAAAAQAgAAAAIwEAAGRycy9lMm9Eb2MueG1sUEsFBgAAAAAGAAYAWQEAAEMF&#10;AAAAAA==&#10;">
              <v:fill on="f" focussize="0,0"/>
              <v:stroke on="f"/>
              <v:imagedata o:title=""/>
              <o:lock v:ext="edit" aspectratio="f"/>
              <v:textbox inset="0mm,0mm,0mm,0mm" style="mso-fit-shape-to-text:t;">
                <w:txbxContent>
                  <w:p>
                    <w:pPr>
                      <w:pStyle w:val="5"/>
                      <w:ind w:firstLine="280" w:firstLineChars="100"/>
                    </w:pPr>
                    <w:r>
                      <w:rPr>
                        <w:rStyle w:val="10"/>
                        <w:rFonts w:hint="eastAsia" w:ascii="宋体" w:hAnsi="宋体" w:eastAsia="宋体" w:cs="宋体"/>
                        <w:sz w:val="28"/>
                        <w:szCs w:val="28"/>
                      </w:rPr>
                      <w:t>—</w:t>
                    </w:r>
                    <w:r>
                      <w:rPr>
                        <w:rStyle w:val="10"/>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10"/>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Style w:val="10"/>
                        <w:rFonts w:hint="eastAsia" w:ascii="宋体" w:hAnsi="宋体" w:eastAsia="宋体" w:cs="宋体"/>
                        <w:sz w:val="28"/>
                        <w:szCs w:val="28"/>
                      </w:rPr>
                      <w:t>—</w:t>
                    </w:r>
                    <w:r>
                      <w:rPr>
                        <w:rStyle w:val="10"/>
                        <w:rFonts w:hint="eastAsia"/>
                        <w:color w:val="FFFFFF"/>
                        <w:sz w:val="26"/>
                        <w:szCs w:val="26"/>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F1791"/>
    <w:multiLevelType w:val="singleLevel"/>
    <w:tmpl w:val="38BF1791"/>
    <w:lvl w:ilvl="0" w:tentative="0">
      <w:start w:val="2"/>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1035A"/>
    <w:rsid w:val="27322C55"/>
    <w:rsid w:val="77AB278B"/>
    <w:rsid w:val="78FFFC3B"/>
    <w:rsid w:val="7FB1035A"/>
    <w:rsid w:val="BECF6CD7"/>
    <w:rsid w:val="BFBFCB5F"/>
    <w:rsid w:val="F3F722F7"/>
    <w:rsid w:val="FDB74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customStyle="1" w:styleId="2">
    <w:name w:val="样式1"/>
    <w:basedOn w:val="3"/>
    <w:qFormat/>
    <w:uiPriority w:val="0"/>
    <w:pPr>
      <w:spacing w:line="579" w:lineRule="exact"/>
      <w:ind w:firstLine="640" w:firstLineChars="200"/>
    </w:pPr>
    <w:rPr>
      <w:rFonts w:ascii="Calibri" w:hAnsi="Calibri" w:eastAsia="仿宋_GB2312"/>
      <w:sz w:val="30"/>
      <w:szCs w:val="30"/>
    </w:rPr>
  </w:style>
  <w:style w:type="paragraph" w:customStyle="1" w:styleId="3">
    <w:name w:val="正文1"/>
    <w:basedOn w:val="1"/>
    <w:qFormat/>
    <w:uiPriority w:val="0"/>
    <w:pPr>
      <w:ind w:firstLine="708" w:firstLineChars="236"/>
    </w:pPr>
    <w:rPr>
      <w:rFonts w:ascii="仿宋_GB2312" w:hAnsi="Calibri" w:eastAsia="仿宋_GB2312" w:cs="仿宋_GB2312"/>
      <w:sz w:val="30"/>
      <w:szCs w:val="30"/>
    </w:r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2025-06-28T11:15:00Z</dcterms:created>
  <dc:creator>综合三室</dc:creator>
  <cp:lastModifiedBy>区征地和城市房屋征收服务中心:收文登记</cp:lastModifiedBy>
  <dcterms:modified xsi:type="dcterms:W3CDTF">2026-07-24T01:21:40Z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