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Cs/>
          <w:color w:val="auto"/>
          <w:sz w:val="44"/>
          <w:szCs w:val="44"/>
          <w:lang w:val="en-US" w:eastAsia="zh-CN"/>
        </w:rPr>
      </w:pPr>
      <w:r>
        <w:rPr>
          <w:rFonts w:hint="eastAsia" w:ascii="方正小标宋_GBK" w:hAnsi="方正小标宋_GBK" w:eastAsia="方正小标宋_GBK" w:cs="方正小标宋_GBK"/>
          <w:bCs/>
          <w:color w:val="auto"/>
          <w:sz w:val="44"/>
          <w:szCs w:val="44"/>
          <w:lang w:val="en-US" w:eastAsia="zh-CN"/>
        </w:rPr>
        <w:t>关于珠海市金湾区2024年度第五十一批次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Cs/>
          <w:color w:val="auto"/>
          <w:sz w:val="44"/>
          <w:szCs w:val="44"/>
          <w:lang w:val="en-US" w:eastAsia="zh-CN"/>
        </w:rPr>
      </w:pPr>
      <w:r>
        <w:rPr>
          <w:rFonts w:hint="eastAsia" w:ascii="方正小标宋_GBK" w:hAnsi="方正小标宋_GBK" w:eastAsia="方正小标宋_GBK" w:cs="方正小标宋_GBK"/>
          <w:bCs/>
          <w:color w:val="auto"/>
          <w:sz w:val="44"/>
          <w:szCs w:val="44"/>
          <w:lang w:val="en-US" w:eastAsia="zh-CN"/>
        </w:rPr>
        <w:t>城镇建设用地征地项目被征地农民</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Cs/>
          <w:color w:val="auto"/>
          <w:sz w:val="44"/>
          <w:szCs w:val="44"/>
          <w:lang w:val="en-US" w:eastAsia="zh-CN"/>
        </w:rPr>
      </w:pPr>
      <w:r>
        <w:rPr>
          <w:rFonts w:hint="eastAsia" w:ascii="方正小标宋_GBK" w:hAnsi="方正小标宋_GBK" w:eastAsia="方正小标宋_GBK" w:cs="方正小标宋_GBK"/>
          <w:bCs/>
          <w:color w:val="auto"/>
          <w:sz w:val="44"/>
          <w:szCs w:val="44"/>
          <w:lang w:val="en-US" w:eastAsia="zh-CN"/>
        </w:rPr>
        <w:t>养老保障方案</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依照《中华人民共和国土地管理法》《关于切实做好被征地农民社会保障工作有关问题的通知》（劳社部发〔2007〕14号）和《广东省人民政府办公厅转发省人力资源社会保障厅关于进一步完善我省被征地农民养老保障政策意见的通知》（粤府办〔2021〕22号）有关规定精神，拟定珠海市金湾区2024年度第五十一批次城镇建设用地征地项目被征地农民养老保障方案如下：</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CESI黑体-GB13000" w:hAnsi="CESI黑体-GB13000" w:eastAsia="CESI黑体-GB13000" w:cs="CESI黑体-GB13000"/>
          <w:b w:val="0"/>
          <w:bCs w:val="0"/>
          <w:sz w:val="31"/>
          <w:szCs w:val="31"/>
          <w:lang w:val="en-US" w:eastAsia="zh-CN"/>
        </w:rPr>
      </w:pPr>
      <w:r>
        <w:rPr>
          <w:rFonts w:hint="eastAsia" w:ascii="CESI黑体-GB13000" w:hAnsi="CESI黑体-GB13000" w:eastAsia="CESI黑体-GB13000" w:cs="CESI黑体-GB13000"/>
          <w:b w:val="0"/>
          <w:bCs w:val="0"/>
          <w:sz w:val="31"/>
          <w:szCs w:val="31"/>
          <w:lang w:val="en-US" w:eastAsia="zh-CN"/>
        </w:rPr>
        <w:t>一、征地社保费计提标准</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该项目征收珠海市金湾区三灶镇鱼月村定家湾组股份经济合作社集体土地2.3625亩，按每亩征收农用地综合区片地价10.35万元的20%的比例计提，需计提征地社保费用4.890375万元。</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CESI黑体-GB13000" w:hAnsi="CESI黑体-GB13000" w:eastAsia="CESI黑体-GB13000" w:cs="CESI黑体-GB13000"/>
          <w:b w:val="0"/>
          <w:bCs w:val="0"/>
          <w:sz w:val="31"/>
          <w:szCs w:val="31"/>
          <w:lang w:val="en-US" w:eastAsia="zh-CN"/>
        </w:rPr>
      </w:pPr>
      <w:r>
        <w:rPr>
          <w:rFonts w:hint="default" w:ascii="CESI黑体-GB13000" w:hAnsi="CESI黑体-GB13000" w:eastAsia="CESI黑体-GB13000" w:cs="CESI黑体-GB13000"/>
          <w:b w:val="0"/>
          <w:bCs w:val="0"/>
          <w:sz w:val="31"/>
          <w:szCs w:val="31"/>
          <w:lang w:val="en-US" w:eastAsia="zh-CN"/>
        </w:rPr>
        <w:t>二、征地社保费补贴对象范围</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原则上征地安置补偿方案制定时年满16周岁以上的农村经济组织成员纳入本次征地社保费补贴对象范围。农村集体经济组织另有规定的，可从其规定。</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CESI黑体-GB13000" w:hAnsi="CESI黑体-GB13000" w:eastAsia="CESI黑体-GB13000" w:cs="CESI黑体-GB13000"/>
          <w:b w:val="0"/>
          <w:bCs w:val="0"/>
          <w:sz w:val="31"/>
          <w:szCs w:val="31"/>
          <w:lang w:val="en-US" w:eastAsia="zh-CN"/>
        </w:rPr>
      </w:pPr>
      <w:r>
        <w:rPr>
          <w:rFonts w:hint="default" w:ascii="CESI黑体-GB13000" w:hAnsi="CESI黑体-GB13000" w:eastAsia="CESI黑体-GB13000" w:cs="CESI黑体-GB13000"/>
          <w:b w:val="0"/>
          <w:bCs w:val="0"/>
          <w:sz w:val="31"/>
          <w:szCs w:val="31"/>
          <w:lang w:val="en-US" w:eastAsia="zh-CN"/>
        </w:rPr>
        <w:t>三、征地社保费发放</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征地社保费专项用于被征地农民的基本养老保险补贴，被征地农民参加城乡居民基本养老保险或城镇职工基本养老保险的，均享受同等标准的征地社保费补贴。</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被征地农民参加城乡居民基本养老保险的，征地社保费一次性全部划入其城乡居民基本养老保险个人账户，不计算实际缴费年限。被征地农民参加城镇职工基本养老保险的，为其建立城乡居民基本养老保险个人账户，并将征地社保费一次性划入，待其领取养老待遇时按照国家有关城乡养老保险制度衔接办法办理。被征地农民未参加基本养老保险的，为其建立城乡居民基本养老保险个人账户，并将征地社保费一次性划入，与其今后参加城乡居民基本养老保险后的个人账户合并计算，或与其今后参加城镇职工基本养老保险进行制度衔接。被征地农民已经领取城镇职工基本养老金的，将征地社保费一次性支付本人。被征地农民已经领取城乡居民基本养老金的，将征地社保费一次性划入其城乡居民基本养老保险个人账户，重新核定个人账户养老金，从次月起按新标准发放。</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若本次征地获得批准，征地社保费（含利息）平均分配至纳入养老保障范围的人员；若本次征地未获批准，征地社保费（含利息）退回用地单位。</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default" w:ascii="Times New Roman" w:hAnsi="Times New Roman" w:eastAsia="方正仿宋_GBK" w:cs="Times New Roman"/>
          <w:sz w:val="31"/>
          <w:szCs w:val="31"/>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1"/>
          <w:szCs w:val="31"/>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3720" w:firstLineChars="1200"/>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珠海市金湾区人力资源和社会保障局</w:t>
      </w:r>
    </w:p>
    <w:p>
      <w:pPr>
        <w:pStyle w:val="2"/>
        <w:keepNext w:val="0"/>
        <w:keepLines w:val="0"/>
        <w:pageBreakBefore w:val="0"/>
        <w:widowControl w:val="0"/>
        <w:kinsoku/>
        <w:wordWrap/>
        <w:overflowPunct/>
        <w:topLinePunct w:val="0"/>
        <w:autoSpaceDE/>
        <w:autoSpaceDN/>
        <w:bidi w:val="0"/>
        <w:adjustRightInd/>
        <w:snapToGrid/>
        <w:spacing w:line="560" w:lineRule="exact"/>
        <w:ind w:firstLine="4960" w:firstLineChars="1600"/>
        <w:jc w:val="both"/>
        <w:textAlignment w:val="auto"/>
        <w:rPr>
          <w:rFonts w:hint="default" w:ascii="Times New Roman" w:hAnsi="Times New Roman" w:eastAsia="方正仿宋_GBK" w:cs="Times New Roman"/>
          <w:sz w:val="31"/>
          <w:szCs w:val="31"/>
          <w:lang w:val="en-US" w:eastAsia="zh-CN"/>
        </w:rPr>
      </w:pPr>
      <w:r>
        <w:rPr>
          <w:rFonts w:hint="default" w:ascii="Times New Roman" w:hAnsi="Times New Roman" w:eastAsia="方正仿宋_GBK" w:cs="Times New Roman"/>
          <w:sz w:val="31"/>
          <w:szCs w:val="31"/>
          <w:lang w:val="en-US" w:eastAsia="zh-CN"/>
        </w:rPr>
        <w:t>2025 年5月21日</w:t>
      </w:r>
    </w:p>
    <w:p>
      <w:pPr>
        <w:pStyle w:val="4"/>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both"/>
        <w:textAlignment w:val="auto"/>
        <w:rPr>
          <w:rFonts w:hint="eastAsia" w:ascii="CESI黑体-GB13000" w:hAnsi="CESI黑体-GB13000" w:eastAsia="CESI黑体-GB13000" w:cs="CESI黑体-GB13000"/>
          <w:bCs w:val="0"/>
          <w:color w:val="auto"/>
          <w:kern w:val="2"/>
          <w:sz w:val="31"/>
          <w:szCs w:val="31"/>
          <w:lang w:val="en-US" w:eastAsia="zh-CN" w:bidi="ar-SA"/>
        </w:rPr>
      </w:pPr>
    </w:p>
    <w:p>
      <w:pPr>
        <w:pStyle w:val="4"/>
        <w:keepNext w:val="0"/>
        <w:keepLines w:val="0"/>
        <w:pageBreakBefore w:val="0"/>
        <w:widowControl w:val="0"/>
        <w:kinsoku/>
        <w:wordWrap/>
        <w:overflowPunct/>
        <w:topLinePunct w:val="0"/>
        <w:autoSpaceDE/>
        <w:autoSpaceDN/>
        <w:bidi w:val="0"/>
        <w:adjustRightInd/>
        <w:snapToGrid/>
        <w:spacing w:line="580" w:lineRule="exact"/>
        <w:ind w:left="0" w:leftChars="0" w:firstLine="0" w:firstLineChars="0"/>
        <w:jc w:val="both"/>
        <w:textAlignment w:val="auto"/>
        <w:rPr>
          <w:rFonts w:hint="default" w:ascii="CESI黑体-GB13000" w:hAnsi="CESI黑体-GB13000" w:eastAsia="CESI黑体-GB13000" w:cs="CESI黑体-GB13000"/>
          <w:bCs w:val="0"/>
          <w:color w:val="auto"/>
          <w:kern w:val="2"/>
          <w:sz w:val="31"/>
          <w:szCs w:val="31"/>
          <w:lang w:val="en-US" w:eastAsia="zh-CN" w:bidi="ar-SA"/>
        </w:rPr>
      </w:pPr>
      <w:bookmarkStart w:id="0" w:name="_GoBack"/>
      <w:bookmarkEnd w:id="0"/>
    </w:p>
    <w:sectPr>
      <w:footerReference r:id="rId3" w:type="default"/>
      <w:pgSz w:w="11906" w:h="16838"/>
      <w:pgMar w:top="2041" w:right="1531" w:bottom="1701"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CESI黑体-GB13000">
    <w:altName w:val="黑体"/>
    <w:panose1 w:val="02000500000000000000"/>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-114935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ind w:firstLine="280" w:firstLineChars="100"/>
                          </w:pPr>
                          <w:r>
                            <w:rPr>
                              <w:rStyle w:val="10"/>
                              <w:rFonts w:hint="eastAsia" w:ascii="宋体" w:hAnsi="宋体" w:eastAsia="宋体" w:cs="宋体"/>
                              <w:sz w:val="28"/>
                              <w:szCs w:val="28"/>
                            </w:rPr>
                            <w:t>—</w:t>
                          </w:r>
                          <w:r>
                            <w:rPr>
                              <w:rStyle w:val="10"/>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10"/>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Style w:val="10"/>
                              <w:rFonts w:hint="eastAsia" w:ascii="宋体" w:hAnsi="宋体" w:eastAsia="宋体" w:cs="宋体"/>
                              <w:sz w:val="28"/>
                              <w:szCs w:val="28"/>
                            </w:rPr>
                            <w:t>—</w:t>
                          </w:r>
                          <w:r>
                            <w:rPr>
                              <w:rStyle w:val="10"/>
                              <w:rFonts w:hint="eastAsia"/>
                              <w:color w:val="FFFFFF"/>
                              <w:sz w:val="26"/>
                              <w:szCs w:val="26"/>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9.05pt;height:144pt;width:144pt;mso-position-horizontal:outside;mso-position-horizontal-relative:margin;mso-wrap-style:none;z-index:251658240;mso-width-relative:page;mso-height-relative:page;" filled="f" stroked="f" coordsize="21600,21600" o:gfxdata="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E16UkNQAAAAI&#10;AQAADwAAAAAAAAABACAAAAAiAAAAZHJzL2Rvd25yZXYueG1sUEsBAhQAFAAAAAgAh07iQPFn5OWu&#10;AQAASwMAAA4AAAAAAAAAAQAgAAAAIwEAAGRycy9lMm9Eb2MueG1sUEsFBgAAAAAGAAYAWQEAAEMF&#10;AAAAAA==&#10;">
              <v:fill on="f" focussize="0,0"/>
              <v:stroke on="f"/>
              <v:imagedata o:title=""/>
              <o:lock v:ext="edit" aspectratio="f"/>
              <v:textbox inset="0mm,0mm,0mm,0mm" style="mso-fit-shape-to-text:t;">
                <w:txbxContent>
                  <w:p>
                    <w:pPr>
                      <w:pStyle w:val="5"/>
                      <w:ind w:firstLine="280" w:firstLineChars="100"/>
                    </w:pPr>
                    <w:r>
                      <w:rPr>
                        <w:rStyle w:val="10"/>
                        <w:rFonts w:hint="eastAsia" w:ascii="宋体" w:hAnsi="宋体" w:eastAsia="宋体" w:cs="宋体"/>
                        <w:sz w:val="28"/>
                        <w:szCs w:val="28"/>
                      </w:rPr>
                      <w:t>—</w:t>
                    </w:r>
                    <w:r>
                      <w:rPr>
                        <w:rStyle w:val="10"/>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Style w:val="10"/>
                        <w:rFonts w:hint="eastAsia" w:ascii="宋体" w:hAnsi="宋体" w:eastAsia="宋体" w:cs="宋体"/>
                        <w:sz w:val="28"/>
                        <w:szCs w:val="28"/>
                      </w:rPr>
                      <w:instrText xml:space="preserve">PAGE  </w:instrText>
                    </w:r>
                    <w:r>
                      <w:rPr>
                        <w:rFonts w:hint="eastAsia" w:ascii="宋体" w:hAnsi="宋体" w:eastAsia="宋体" w:cs="宋体"/>
                        <w:sz w:val="28"/>
                        <w:szCs w:val="28"/>
                      </w:rPr>
                      <w:fldChar w:fldCharType="separate"/>
                    </w:r>
                    <w:r>
                      <w:rPr>
                        <w:rStyle w:val="10"/>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Style w:val="10"/>
                        <w:rFonts w:hint="eastAsia" w:ascii="宋体" w:hAnsi="宋体" w:eastAsia="宋体" w:cs="宋体"/>
                        <w:sz w:val="28"/>
                        <w:szCs w:val="28"/>
                      </w:rPr>
                      <w:t>—</w:t>
                    </w:r>
                    <w:r>
                      <w:rPr>
                        <w:rStyle w:val="10"/>
                        <w:rFonts w:hint="eastAsia"/>
                        <w:color w:val="FFFFFF"/>
                        <w:sz w:val="26"/>
                        <w:szCs w:val="26"/>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1035A"/>
    <w:rsid w:val="12A1488B"/>
    <w:rsid w:val="1D8D4FE2"/>
    <w:rsid w:val="77AB278B"/>
    <w:rsid w:val="78FFFC3B"/>
    <w:rsid w:val="7FB1035A"/>
    <w:rsid w:val="BECF6CD7"/>
    <w:rsid w:val="BFBFCB5F"/>
    <w:rsid w:val="F3F722F7"/>
    <w:rsid w:val="FDB74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customStyle="1" w:styleId="2">
    <w:name w:val="样式1"/>
    <w:basedOn w:val="3"/>
    <w:qFormat/>
    <w:uiPriority w:val="0"/>
    <w:pPr>
      <w:spacing w:line="579" w:lineRule="exact"/>
      <w:ind w:firstLine="640" w:firstLineChars="200"/>
    </w:pPr>
    <w:rPr>
      <w:rFonts w:ascii="Calibri" w:hAnsi="Calibri" w:eastAsia="仿宋_GB2312"/>
      <w:sz w:val="30"/>
      <w:szCs w:val="30"/>
    </w:rPr>
  </w:style>
  <w:style w:type="paragraph" w:customStyle="1" w:styleId="3">
    <w:name w:val="正文1"/>
    <w:basedOn w:val="1"/>
    <w:qFormat/>
    <w:uiPriority w:val="0"/>
    <w:pPr>
      <w:ind w:firstLine="708" w:firstLineChars="236"/>
    </w:pPr>
    <w:rPr>
      <w:rFonts w:ascii="仿宋_GB2312" w:hAnsi="Calibri" w:eastAsia="仿宋_GB2312" w:cs="仿宋_GB2312"/>
      <w:sz w:val="30"/>
      <w:szCs w:val="30"/>
    </w:r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2025-06-28T11:15:00Z</dcterms:created>
  <dc:creator>综合三室</dc:creator>
  <cp:lastModifiedBy>区征地和城市房屋征收服务中心:收文登记</cp:lastModifiedBy>
  <dcterms:modified xsi:type="dcterms:W3CDTF">2026-07-24T01:25:12Z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