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筑牢公卫防线，护航健康珠海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9" w:lineRule="exact"/>
        <w:ind w:left="0" w:right="0" w:firstLine="640" w:firstLineChars="200"/>
        <w:jc w:val="both"/>
        <w:rPr>
          <w:rFonts w:hint="eastAsia" w:ascii="方正仿宋_GB2312" w:hAnsi="方正仿宋_GB2312" w:eastAsia="方正仿宋_GB2312" w:cs="方正仿宋_GB2312"/>
          <w:caps w:val="0"/>
          <w:color w:val="000000"/>
          <w:spacing w:val="0"/>
          <w:sz w:val="32"/>
          <w:szCs w:val="32"/>
          <w:shd w:val="clear" w:fill="FFFFFF"/>
        </w:rPr>
      </w:pP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79" w:lineRule="exact"/>
        <w:ind w:left="0" w:right="0" w:firstLine="640" w:firstLineChars="200"/>
        <w:jc w:val="both"/>
        <w:outlineLvl w:val="0"/>
        <w:rPr>
          <w:rFonts w:hint="eastAsia" w:ascii="黑体" w:hAnsi="黑体" w:eastAsia="黑体" w:cs="黑体"/>
          <w:caps w:val="0"/>
          <w:color w:val="000000"/>
          <w:spacing w:val="0"/>
          <w:sz w:val="32"/>
          <w:szCs w:val="32"/>
          <w:shd w:val="clear" w:fill="FFFFFF"/>
          <w:lang w:eastAsia="zh-CN"/>
        </w:rPr>
      </w:pPr>
      <w:r>
        <w:rPr>
          <w:rFonts w:hint="eastAsia" w:ascii="黑体" w:hAnsi="黑体" w:eastAsia="黑体" w:cs="黑体"/>
          <w:caps w:val="0"/>
          <w:color w:val="000000"/>
          <w:spacing w:val="0"/>
          <w:sz w:val="32"/>
          <w:szCs w:val="32"/>
          <w:shd w:val="clear" w:fill="FFFFFF"/>
          <w:lang w:eastAsia="zh-CN"/>
        </w:rPr>
        <w:t>基本情况</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79" w:lineRule="exact"/>
        <w:ind w:right="0" w:rightChars="0" w:firstLine="640" w:firstLineChars="200"/>
        <w:jc w:val="both"/>
        <w:rPr>
          <w:rFonts w:hint="eastAsia" w:ascii="方正仿宋_GB2312" w:hAnsi="方正仿宋_GB2312" w:eastAsia="方正仿宋_GB2312" w:cs="方正仿宋_GB2312"/>
          <w:caps w:val="0"/>
          <w:color w:val="000000"/>
          <w:spacing w:val="0"/>
          <w:sz w:val="32"/>
          <w:szCs w:val="32"/>
          <w:shd w:val="clear" w:fill="FFFFFF"/>
          <w:lang w:eastAsia="zh-CN"/>
        </w:rPr>
      </w:pPr>
      <w:r>
        <w:rPr>
          <w:rFonts w:hint="eastAsia" w:ascii="方正仿宋_GB2312" w:hAnsi="方正仿宋_GB2312" w:eastAsia="方正仿宋_GB2312" w:cs="方正仿宋_GB2312"/>
          <w:caps w:val="0"/>
          <w:color w:val="000000"/>
          <w:spacing w:val="0"/>
          <w:sz w:val="32"/>
          <w:szCs w:val="32"/>
          <w:shd w:val="clear" w:fill="FFFFFF"/>
        </w:rPr>
        <w:t>珠海市疾病预防控制中心（以下简称“中心”）是隶属于珠海市卫生健康局的公益</w:t>
      </w:r>
      <w:r>
        <w:rPr>
          <w:rFonts w:hint="eastAsia" w:ascii="方正仿宋_GB2312" w:hAnsi="方正仿宋_GB2312" w:eastAsia="方正仿宋_GB2312" w:cs="方正仿宋_GB2312"/>
          <w:caps w:val="0"/>
          <w:color w:val="000000"/>
          <w:spacing w:val="0"/>
          <w:sz w:val="32"/>
          <w:szCs w:val="32"/>
          <w:shd w:val="clear" w:fill="FFFFFF"/>
          <w:lang w:eastAsia="zh-CN"/>
        </w:rPr>
        <w:t>一</w:t>
      </w:r>
      <w:r>
        <w:rPr>
          <w:rFonts w:hint="eastAsia" w:ascii="方正仿宋_GB2312" w:hAnsi="方正仿宋_GB2312" w:eastAsia="方正仿宋_GB2312" w:cs="方正仿宋_GB2312"/>
          <w:caps w:val="0"/>
          <w:color w:val="000000"/>
          <w:spacing w:val="0"/>
          <w:sz w:val="32"/>
          <w:szCs w:val="32"/>
          <w:shd w:val="clear" w:fill="FFFFFF"/>
        </w:rPr>
        <w:t>类、五级卫生事业单位，集疾病预防控制、突发公共卫生事件应急处置、疫情与健康相关信息管理、健康危害因素监测与干预、实验室分析检测与评价、技术管理与技术应用研究指导职能为一体。</w:t>
      </w:r>
    </w:p>
    <w:p>
      <w:pPr>
        <w:ind w:firstLine="640" w:firstLineChars="20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drawing>
          <wp:inline distT="0" distB="0" distL="114300" distR="114300">
            <wp:extent cx="5274310" cy="2984500"/>
            <wp:effectExtent l="0" t="0" r="2540" b="6350"/>
            <wp:docPr id="8" name="图片 8" descr="WXWorkLocal_17783081249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XWorkLocal_17783081249170"/>
                    <pic:cNvPicPr>
                      <a:picLocks noChangeAspect="1"/>
                    </pic:cNvPicPr>
                  </pic:nvPicPr>
                  <pic:blipFill>
                    <a:blip r:embed="rId4"/>
                    <a:stretch>
                      <a:fillRect/>
                    </a:stretch>
                  </pic:blipFill>
                  <pic:spPr>
                    <a:xfrm>
                      <a:off x="0" y="0"/>
                      <a:ext cx="5274310" cy="2984500"/>
                    </a:xfrm>
                    <a:prstGeom prst="rect">
                      <a:avLst/>
                    </a:prstGeom>
                  </pic:spPr>
                </pic:pic>
              </a:graphicData>
            </a:graphic>
          </wp:inline>
        </w:drawing>
      </w:r>
    </w:p>
    <w:p>
      <w:pPr>
        <w:ind w:firstLine="640" w:firstLineChars="20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79" w:lineRule="exact"/>
        <w:ind w:left="0" w:right="0" w:firstLine="640" w:firstLineChars="200"/>
        <w:jc w:val="both"/>
        <w:outlineLvl w:val="0"/>
        <w:rPr>
          <w:rFonts w:hint="eastAsia" w:ascii="黑体" w:hAnsi="黑体" w:eastAsia="黑体" w:cs="黑体"/>
          <w:caps w:val="0"/>
          <w:color w:val="000000"/>
          <w:spacing w:val="0"/>
          <w:sz w:val="32"/>
          <w:szCs w:val="32"/>
          <w:shd w:val="clear" w:fill="FFFFFF"/>
          <w:lang w:val="en-US" w:eastAsia="zh-CN"/>
        </w:rPr>
      </w:pPr>
      <w:r>
        <w:rPr>
          <w:rFonts w:hint="eastAsia" w:ascii="黑体" w:hAnsi="黑体" w:eastAsia="黑体" w:cs="黑体"/>
          <w:caps w:val="0"/>
          <w:color w:val="000000"/>
          <w:spacing w:val="0"/>
          <w:sz w:val="32"/>
          <w:szCs w:val="32"/>
          <w:shd w:val="clear" w:fill="FFFFFF"/>
          <w:lang w:val="en-US" w:eastAsia="zh-CN"/>
        </w:rPr>
        <w:t>科研教学</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2009年省卫生厅首批“现场流行病学培训项目现场实习基地”</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2019年广东省慢性病防控能力建设项目培训基地</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2020年广东省人社厅设立的首批博士工作站</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2023年广东省病原微生物实验室生物安全培训基地（珠海片区）</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2024年国家住院医师规范化培训中山大学附属第五医院培训基地预防医学科专业基地协同培训实践基地</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华中科技大学同济医学院、中山大学公卫学院、南方医科大学公卫学院、中南大学湘雅医学院、暨南大学公共卫生学院研究生培养基地</w:t>
      </w:r>
    </w:p>
    <w:p>
      <w:pPr>
        <w:numPr>
          <w:ilvl w:val="0"/>
          <w:numId w:val="2"/>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华中科技大学同济医学院、中山大学公共卫生学院、四川大学华西公共卫生学院、广东医科大学、广东药科大学、遵义医科大学本科实习教学基地</w:t>
      </w:r>
    </w:p>
    <w:p>
      <w:pPr>
        <w:ind w:firstLine="640" w:firstLineChars="20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79" w:lineRule="exact"/>
        <w:ind w:left="0" w:right="0" w:firstLine="640" w:firstLineChars="200"/>
        <w:jc w:val="both"/>
        <w:outlineLvl w:val="0"/>
        <w:rPr>
          <w:rFonts w:hint="eastAsia" w:ascii="黑体" w:hAnsi="黑体" w:eastAsia="黑体" w:cs="黑体"/>
          <w:caps w:val="0"/>
          <w:color w:val="000000"/>
          <w:spacing w:val="0"/>
          <w:sz w:val="32"/>
          <w:szCs w:val="32"/>
          <w:shd w:val="clear" w:fill="FFFFFF"/>
          <w:lang w:val="en-US" w:eastAsia="zh-CN"/>
        </w:rPr>
      </w:pPr>
      <w:r>
        <w:rPr>
          <w:rFonts w:hint="eastAsia" w:ascii="黑体" w:hAnsi="黑体" w:eastAsia="黑体" w:cs="黑体"/>
          <w:caps w:val="0"/>
          <w:color w:val="000000"/>
          <w:spacing w:val="0"/>
          <w:sz w:val="32"/>
          <w:szCs w:val="32"/>
          <w:shd w:val="clear" w:fill="FFFFFF"/>
          <w:lang w:val="en-US" w:eastAsia="zh-CN"/>
        </w:rPr>
        <w:t>荣誉与资质</w:t>
      </w:r>
    </w:p>
    <w:p>
      <w:pPr>
        <w:numPr>
          <w:ilvl w:val="0"/>
          <w:numId w:val="3"/>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2008年获批成为广东省卫生健康委首批“现场流行病学培训基地”。</w:t>
      </w:r>
    </w:p>
    <w:p>
      <w:pPr>
        <w:numPr>
          <w:ilvl w:val="0"/>
          <w:numId w:val="3"/>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2021年，珠海市病原微生物实验室生物安全质量控制中心挂靠于本中心。</w:t>
      </w:r>
    </w:p>
    <w:p>
      <w:pPr>
        <w:numPr>
          <w:ilvl w:val="0"/>
          <w:numId w:val="3"/>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2023年被确定为建设省级区域公共卫生中心的6个地市疾病预防控制中心之一。</w:t>
      </w:r>
    </w:p>
    <w:p>
      <w:pPr>
        <w:numPr>
          <w:ilvl w:val="0"/>
          <w:numId w:val="3"/>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2023年成为广东省省级病原微生物实验室生物安全培训基地。</w:t>
      </w:r>
    </w:p>
    <w:p>
      <w:pPr>
        <w:numPr>
          <w:ilvl w:val="0"/>
          <w:numId w:val="3"/>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2025年“珠海市传染病监测预警中心”在中心挂牌。</w:t>
      </w:r>
    </w:p>
    <w:p>
      <w:pPr>
        <w:numPr>
          <w:ilvl w:val="0"/>
          <w:numId w:val="0"/>
        </w:numPr>
        <w:ind w:left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drawing>
          <wp:inline distT="0" distB="0" distL="114300" distR="114300">
            <wp:extent cx="2466975" cy="1571625"/>
            <wp:effectExtent l="0" t="0" r="9525" b="9525"/>
            <wp:docPr id="10" name="图片 10" descr="WXWorkLocal_17783106325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XWorkLocal_17783106325725"/>
                    <pic:cNvPicPr>
                      <a:picLocks noChangeAspect="1"/>
                    </pic:cNvPicPr>
                  </pic:nvPicPr>
                  <pic:blipFill>
                    <a:blip r:embed="rId5"/>
                    <a:stretch>
                      <a:fillRect/>
                    </a:stretch>
                  </pic:blipFill>
                  <pic:spPr>
                    <a:xfrm>
                      <a:off x="0" y="0"/>
                      <a:ext cx="2466975" cy="1571625"/>
                    </a:xfrm>
                    <a:prstGeom prst="rect">
                      <a:avLst/>
                    </a:prstGeom>
                  </pic:spPr>
                </pic:pic>
              </a:graphicData>
            </a:graphic>
          </wp:inline>
        </w:drawing>
      </w: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drawing>
          <wp:inline distT="0" distB="0" distL="114300" distR="114300">
            <wp:extent cx="2181225" cy="1581150"/>
            <wp:effectExtent l="0" t="0" r="9525" b="0"/>
            <wp:docPr id="11" name="图片 11" descr="WXWorkLocal_1778310654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XWorkLocal_17783106541479"/>
                    <pic:cNvPicPr>
                      <a:picLocks noChangeAspect="1"/>
                    </pic:cNvPicPr>
                  </pic:nvPicPr>
                  <pic:blipFill>
                    <a:blip r:embed="rId6"/>
                    <a:stretch>
                      <a:fillRect/>
                    </a:stretch>
                  </pic:blipFill>
                  <pic:spPr>
                    <a:xfrm>
                      <a:off x="0" y="0"/>
                      <a:ext cx="2181225" cy="1581150"/>
                    </a:xfrm>
                    <a:prstGeom prst="rect">
                      <a:avLst/>
                    </a:prstGeom>
                  </pic:spPr>
                </pic:pic>
              </a:graphicData>
            </a:graphic>
          </wp:inline>
        </w:drawing>
      </w: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drawing>
          <wp:inline distT="0" distB="0" distL="114300" distR="114300">
            <wp:extent cx="2266950" cy="1524000"/>
            <wp:effectExtent l="0" t="0" r="0" b="0"/>
            <wp:docPr id="13" name="图片 13" descr="WXWorkLocal_17783106699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XWorkLocal_17783106699359"/>
                    <pic:cNvPicPr>
                      <a:picLocks noChangeAspect="1"/>
                    </pic:cNvPicPr>
                  </pic:nvPicPr>
                  <pic:blipFill>
                    <a:blip r:embed="rId7"/>
                    <a:stretch>
                      <a:fillRect/>
                    </a:stretch>
                  </pic:blipFill>
                  <pic:spPr>
                    <a:xfrm>
                      <a:off x="0" y="0"/>
                      <a:ext cx="2266950" cy="1524000"/>
                    </a:xfrm>
                    <a:prstGeom prst="rect">
                      <a:avLst/>
                    </a:prstGeom>
                  </pic:spPr>
                </pic:pic>
              </a:graphicData>
            </a:graphic>
          </wp:inline>
        </w:drawing>
      </w:r>
    </w:p>
    <w:p>
      <w:pPr>
        <w:numPr>
          <w:ilvl w:val="0"/>
          <w:numId w:val="3"/>
        </w:numPr>
        <w:ind w:left="420" w:leftChars="0" w:hanging="420" w:firstLineChars="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t>实验室资质：中心通过了CNAS认可和检验检测机构资质认定，是国家级流感监测网络实验室、国家致病菌识别网络实验室、艾滋病检测确证实验室和筛查中心、国家盐碘和尿碘监测网络实验室、广东省病原微生物监测和应急检测合作实验室、国家食品安全风险监测网成员实验室、广东省化学污染物违禁药物检测合作实验室。</w:t>
      </w:r>
    </w:p>
    <w:p>
      <w:pPr>
        <w:ind w:firstLine="640" w:firstLineChars="20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p>
    <w:p>
      <w:pPr>
        <w:ind w:firstLine="640" w:firstLineChars="200"/>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pPr>
      <w:r>
        <w:rPr>
          <w:rFonts w:hint="eastAsia" w:ascii="方正仿宋_GB2312" w:hAnsi="方正仿宋_GB2312" w:eastAsia="方正仿宋_GB2312" w:cs="方正仿宋_GB2312"/>
          <w:caps w:val="0"/>
          <w:color w:val="000000"/>
          <w:spacing w:val="0"/>
          <w:kern w:val="0"/>
          <w:sz w:val="32"/>
          <w:szCs w:val="32"/>
          <w:shd w:val="clear" w:fill="FFFFFF"/>
          <w:lang w:val="en-US" w:eastAsia="zh-CN" w:bidi="ar"/>
        </w:rPr>
        <w:drawing>
          <wp:inline distT="0" distB="0" distL="114300" distR="114300">
            <wp:extent cx="5357495" cy="1610360"/>
            <wp:effectExtent l="0" t="0" r="14605" b="8890"/>
            <wp:docPr id="3" name="图片 3" descr="WXWorkLocal_17784899935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XWorkLocal_17784899935725"/>
                    <pic:cNvPicPr>
                      <a:picLocks noChangeAspect="1"/>
                    </pic:cNvPicPr>
                  </pic:nvPicPr>
                  <pic:blipFill>
                    <a:blip r:embed="rId8"/>
                    <a:stretch>
                      <a:fillRect/>
                    </a:stretch>
                  </pic:blipFill>
                  <pic:spPr>
                    <a:xfrm>
                      <a:off x="0" y="0"/>
                      <a:ext cx="5357495" cy="1610360"/>
                    </a:xfrm>
                    <a:prstGeom prst="rect">
                      <a:avLst/>
                    </a:prstGeom>
                  </pic:spPr>
                </pic:pic>
              </a:graphicData>
            </a:graphic>
          </wp:inline>
        </w:drawing>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79" w:lineRule="exact"/>
        <w:ind w:left="0" w:right="0" w:firstLine="640" w:firstLineChars="200"/>
        <w:jc w:val="both"/>
        <w:outlineLvl w:val="0"/>
        <w:rPr>
          <w:rFonts w:hint="eastAsia" w:ascii="黑体" w:hAnsi="黑体" w:eastAsia="黑体" w:cs="黑体"/>
          <w:caps w:val="0"/>
          <w:color w:val="000000"/>
          <w:spacing w:val="0"/>
          <w:sz w:val="32"/>
          <w:szCs w:val="32"/>
          <w:shd w:val="clear" w:fill="FFFFFF"/>
          <w:lang w:val="en-US" w:eastAsia="zh-CN"/>
        </w:rPr>
      </w:pPr>
      <w:r>
        <w:rPr>
          <w:rFonts w:hint="eastAsia" w:ascii="黑体" w:hAnsi="黑体" w:eastAsia="黑体" w:cs="黑体"/>
          <w:caps w:val="0"/>
          <w:color w:val="000000"/>
          <w:spacing w:val="0"/>
          <w:sz w:val="32"/>
          <w:szCs w:val="32"/>
          <w:shd w:val="clear" w:fill="FFFFFF"/>
          <w:lang w:val="en-US" w:eastAsia="zh-CN"/>
        </w:rPr>
        <w:t>核心工作</w:t>
      </w:r>
    </w:p>
    <w:p>
      <w:pPr>
        <w:numPr>
          <w:ilvl w:val="0"/>
          <w:numId w:val="4"/>
        </w:numPr>
        <w:ind w:firstLine="640" w:firstLineChars="200"/>
        <w:outlineLvl w:val="1"/>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公共卫生事件应急处置</w:t>
      </w:r>
    </w:p>
    <w:p>
      <w:pPr>
        <w:numPr>
          <w:ilvl w:val="0"/>
          <w:numId w:val="0"/>
        </w:numPr>
        <w:ind w:firstLine="640" w:firstLineChars="200"/>
        <w:outlineLvl w:val="1"/>
        <w:rPr>
          <w:rFonts w:hint="eastAsia" w:ascii="仿宋" w:hAnsi="仿宋" w:eastAsia="仿宋" w:cs="仿宋"/>
          <w:bCs/>
          <w:color w:val="auto"/>
          <w:kern w:val="0"/>
          <w:sz w:val="32"/>
          <w:szCs w:val="32"/>
          <w:lang w:val="en-US" w:eastAsia="zh-CN"/>
        </w:rPr>
      </w:pPr>
      <w:r>
        <w:rPr>
          <w:rFonts w:hint="eastAsia" w:ascii="仿宋" w:hAnsi="仿宋" w:eastAsia="仿宋" w:cs="仿宋"/>
          <w:bCs/>
          <w:color w:val="auto"/>
          <w:kern w:val="0"/>
          <w:sz w:val="32"/>
          <w:szCs w:val="32"/>
          <w:lang w:val="en-US" w:eastAsia="zh-CN"/>
        </w:rPr>
        <w:t>中心建设一支市级（包含市及各区共6支基层传染病应急小分队）重点急性传染病救援队伍，通过系统培训与综合演练，显著提升快速响应与协同处置能力。同时与澳门、中山、江门、阳江等地建立了常态化、制度化的信息通报、病例协查、联合风险评估和应急演练机制。</w:t>
      </w:r>
    </w:p>
    <w:p>
      <w:pPr>
        <w:numPr>
          <w:ilvl w:val="0"/>
          <w:numId w:val="4"/>
        </w:numPr>
        <w:ind w:firstLine="640" w:firstLineChars="200"/>
        <w:outlineLvl w:val="1"/>
        <w:rPr>
          <w:rFonts w:hint="eastAsia" w:ascii="楷体" w:hAnsi="楷体" w:eastAsia="楷体" w:cs="楷体"/>
          <w:caps w:val="0"/>
          <w:color w:val="000000"/>
          <w:spacing w:val="0"/>
          <w:kern w:val="0"/>
          <w:sz w:val="32"/>
          <w:szCs w:val="32"/>
          <w:shd w:val="clear" w:fill="FFFFFF"/>
          <w:lang w:val="en-US" w:eastAsia="zh-CN" w:bidi="ar"/>
        </w:rPr>
      </w:pPr>
      <w:bookmarkStart w:id="0" w:name="_GoBack"/>
      <w:bookmarkEnd w:id="0"/>
      <w:r>
        <w:rPr>
          <w:rFonts w:hint="eastAsia" w:ascii="楷体" w:hAnsi="楷体" w:eastAsia="楷体" w:cs="楷体"/>
          <w:caps w:val="0"/>
          <w:color w:val="000000"/>
          <w:spacing w:val="0"/>
          <w:kern w:val="0"/>
          <w:sz w:val="32"/>
          <w:szCs w:val="32"/>
          <w:shd w:val="clear" w:fill="FFFFFF"/>
          <w:lang w:val="en-US" w:eastAsia="zh-CN" w:bidi="ar"/>
        </w:rPr>
        <w:t>监测预警与风险评估</w:t>
      </w:r>
    </w:p>
    <w:p>
      <w:pPr>
        <w:numPr>
          <w:ilvl w:val="0"/>
          <w:numId w:val="0"/>
        </w:numPr>
        <w:ind w:firstLine="640" w:firstLineChars="200"/>
        <w:outlineLvl w:val="1"/>
        <w:rPr>
          <w:rFonts w:hint="eastAsia" w:ascii="仿宋" w:hAnsi="仿宋" w:eastAsia="仿宋" w:cs="仿宋"/>
          <w:bCs/>
          <w:color w:val="auto"/>
          <w:kern w:val="0"/>
          <w:sz w:val="32"/>
          <w:szCs w:val="32"/>
          <w:lang w:val="en-US" w:eastAsia="zh-CN"/>
        </w:rPr>
      </w:pPr>
      <w:r>
        <w:rPr>
          <w:rFonts w:hint="eastAsia" w:ascii="仿宋" w:hAnsi="仿宋" w:eastAsia="仿宋" w:cs="仿宋"/>
          <w:bCs/>
          <w:color w:val="auto"/>
          <w:kern w:val="0"/>
          <w:sz w:val="32"/>
          <w:szCs w:val="32"/>
          <w:lang w:val="en-US" w:eastAsia="zh-CN"/>
        </w:rPr>
        <w:t>2025年2月17日，珠海市传染病监测预警中心在我中心正式挂牌成立，成为全省6个市级监测预警中心试点之一，标志着我市传染病监测从单病种监测向综合监测转变，逐步迈向智能监测、精准评估。同步建立“监测—风险评估—预警—反馈”闭环工作机制，及时向政府及相关部门提交科学、精准的风险评估报告和防控建议，为科学精准防控疫情提供决策依据。</w:t>
      </w:r>
    </w:p>
    <w:p>
      <w:pPr>
        <w:numPr>
          <w:ilvl w:val="0"/>
          <w:numId w:val="4"/>
        </w:numPr>
        <w:ind w:firstLine="640" w:firstLineChars="200"/>
        <w:outlineLvl w:val="1"/>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实验室检验检测</w:t>
      </w:r>
    </w:p>
    <w:p>
      <w:pPr>
        <w:numPr>
          <w:ilvl w:val="0"/>
          <w:numId w:val="0"/>
        </w:numPr>
        <w:ind w:firstLine="640" w:firstLineChars="200"/>
        <w:outlineLvl w:val="1"/>
        <w:rPr>
          <w:rFonts w:hint="eastAsia" w:ascii="仿宋" w:hAnsi="仿宋" w:eastAsia="仿宋" w:cs="仿宋"/>
          <w:bCs/>
          <w:color w:val="auto"/>
          <w:kern w:val="0"/>
          <w:sz w:val="32"/>
          <w:szCs w:val="32"/>
          <w:lang w:val="en-US" w:eastAsia="zh-CN"/>
        </w:rPr>
      </w:pPr>
      <w:r>
        <w:rPr>
          <w:rFonts w:hint="eastAsia" w:ascii="仿宋" w:hAnsi="仿宋" w:eastAsia="仿宋" w:cs="仿宋"/>
          <w:bCs/>
          <w:color w:val="auto"/>
          <w:kern w:val="0"/>
          <w:sz w:val="32"/>
          <w:szCs w:val="32"/>
          <w:lang w:val="en-US" w:eastAsia="zh-CN"/>
        </w:rPr>
        <w:t>微生物检测方面，我中心已具备常见病原微生物高通量测序、全基因组测序、宏基因组测序及未知病原体基因测序等技术能力，已完成120种具有珠海片区区域特点病原体的引物探针设计工作，有效提升了应对突发公共卫生事件应急处置检测能力。理化检测方面，建立斑马鱼实验室，开展重金属监测模型建设，提高了珠海重金属监测能力和应急中毒检测能力。</w:t>
      </w:r>
    </w:p>
    <w:p>
      <w:pPr>
        <w:numPr>
          <w:ilvl w:val="0"/>
          <w:numId w:val="4"/>
        </w:numPr>
        <w:ind w:firstLine="640" w:firstLineChars="200"/>
        <w:outlineLvl w:val="1"/>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公共卫生监测与干预</w:t>
      </w:r>
    </w:p>
    <w:p>
      <w:pPr>
        <w:numPr>
          <w:ilvl w:val="0"/>
          <w:numId w:val="0"/>
        </w:numPr>
        <w:ind w:firstLine="640" w:firstLineChars="200"/>
        <w:outlineLvl w:val="1"/>
        <w:rPr>
          <w:rFonts w:hint="eastAsia" w:ascii="仿宋" w:hAnsi="仿宋" w:eastAsia="仿宋" w:cs="仿宋"/>
          <w:bCs/>
          <w:color w:val="auto"/>
          <w:kern w:val="0"/>
          <w:sz w:val="32"/>
          <w:szCs w:val="32"/>
          <w:lang w:val="en-US" w:eastAsia="zh-CN"/>
        </w:rPr>
      </w:pPr>
      <w:r>
        <w:rPr>
          <w:rFonts w:hint="eastAsia" w:ascii="仿宋" w:hAnsi="仿宋" w:eastAsia="仿宋" w:cs="仿宋"/>
          <w:bCs/>
          <w:color w:val="auto"/>
          <w:kern w:val="0"/>
          <w:sz w:val="32"/>
          <w:szCs w:val="32"/>
          <w:lang w:val="en-US" w:eastAsia="zh-CN"/>
        </w:rPr>
        <w:t>中心积极开展食品安全、饮用水、环境和公共场所安全风险监测，助力全市居民吃得安全、喝得放心。2025年全市高血压、糖尿病、慢阻肺规范管理率、高血压人群控制率均达到国家标准。</w:t>
      </w:r>
    </w:p>
    <w:p>
      <w:pPr>
        <w:numPr>
          <w:ilvl w:val="0"/>
          <w:numId w:val="4"/>
        </w:numPr>
        <w:ind w:firstLine="640" w:firstLineChars="200"/>
        <w:outlineLvl w:val="1"/>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健康科普宣传</w:t>
      </w:r>
    </w:p>
    <w:p>
      <w:pPr>
        <w:numPr>
          <w:ilvl w:val="0"/>
          <w:numId w:val="0"/>
        </w:numPr>
        <w:ind w:firstLine="640" w:firstLineChars="200"/>
        <w:outlineLvl w:val="1"/>
        <w:rPr>
          <w:rFonts w:hint="eastAsia" w:ascii="仿宋" w:hAnsi="仿宋" w:eastAsia="仿宋" w:cs="仿宋"/>
          <w:bCs/>
          <w:color w:val="auto"/>
          <w:kern w:val="0"/>
          <w:sz w:val="32"/>
          <w:szCs w:val="32"/>
          <w:lang w:val="en-US" w:eastAsia="zh-CN"/>
        </w:rPr>
      </w:pPr>
      <w:r>
        <w:rPr>
          <w:rFonts w:hint="eastAsia" w:ascii="仿宋" w:hAnsi="仿宋" w:eastAsia="仿宋" w:cs="仿宋"/>
          <w:bCs/>
          <w:color w:val="auto"/>
          <w:kern w:val="0"/>
          <w:sz w:val="32"/>
          <w:szCs w:val="32"/>
          <w:lang w:val="en-US" w:eastAsia="zh-CN"/>
        </w:rPr>
        <w:t>中心积极开展报、网、端、微、视、台一体联动，普及重点疾病健康防病科普知识，及时发布疾病健康提示，有效做好公众防病风险沟通，提升健康素养，促进养成健康生活方式。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1" w:usb3="00000000" w:csb0="400001BF" w:csb1="DFF70000"/>
  </w:font>
  <w:font w:name="宋体">
    <w:altName w:val="方正书宋_GBK"/>
    <w:panose1 w:val="02010600030101010101"/>
    <w:charset w:val="50"/>
    <w:family w:val="auto"/>
    <w:pitch w:val="default"/>
    <w:sig w:usb0="00000000" w:usb1="00000000" w:usb2="00000006"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2312">
    <w:altName w:val="方正仿宋_GBK"/>
    <w:panose1 w:val="02000000000000000000"/>
    <w:charset w:val="86"/>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FD109"/>
    <w:multiLevelType w:val="singleLevel"/>
    <w:tmpl w:val="D74FD109"/>
    <w:lvl w:ilvl="0" w:tentative="0">
      <w:start w:val="1"/>
      <w:numFmt w:val="bullet"/>
      <w:lvlText w:val=""/>
      <w:lvlJc w:val="left"/>
      <w:pPr>
        <w:ind w:left="420" w:hanging="420"/>
      </w:pPr>
      <w:rPr>
        <w:rFonts w:hint="default" w:ascii="Wingdings" w:hAnsi="Wingdings"/>
      </w:rPr>
    </w:lvl>
  </w:abstractNum>
  <w:abstractNum w:abstractNumId="1">
    <w:nsid w:val="E099EF24"/>
    <w:multiLevelType w:val="singleLevel"/>
    <w:tmpl w:val="E099EF24"/>
    <w:lvl w:ilvl="0" w:tentative="0">
      <w:start w:val="1"/>
      <w:numFmt w:val="bullet"/>
      <w:lvlText w:val=""/>
      <w:lvlJc w:val="left"/>
      <w:pPr>
        <w:ind w:left="420" w:hanging="420"/>
      </w:pPr>
      <w:rPr>
        <w:rFonts w:hint="default" w:ascii="Wingdings" w:hAnsi="Wingdings"/>
      </w:rPr>
    </w:lvl>
  </w:abstractNum>
  <w:abstractNum w:abstractNumId="2">
    <w:nsid w:val="0CF6C11F"/>
    <w:multiLevelType w:val="singleLevel"/>
    <w:tmpl w:val="0CF6C11F"/>
    <w:lvl w:ilvl="0" w:tentative="0">
      <w:start w:val="1"/>
      <w:numFmt w:val="chineseCounting"/>
      <w:suff w:val="nothing"/>
      <w:lvlText w:val="%1、"/>
      <w:lvlJc w:val="left"/>
      <w:rPr>
        <w:rFonts w:hint="eastAsia"/>
      </w:rPr>
    </w:lvl>
  </w:abstractNum>
  <w:abstractNum w:abstractNumId="3">
    <w:nsid w:val="1E7C15A0"/>
    <w:multiLevelType w:val="singleLevel"/>
    <w:tmpl w:val="1E7C15A0"/>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30130A"/>
    <w:rsid w:val="1E384A80"/>
    <w:rsid w:val="310A09DF"/>
    <w:rsid w:val="3211047A"/>
    <w:rsid w:val="32FC5A1D"/>
    <w:rsid w:val="42734EED"/>
    <w:rsid w:val="439125BF"/>
    <w:rsid w:val="444233C7"/>
    <w:rsid w:val="44BD3D92"/>
    <w:rsid w:val="44D949E9"/>
    <w:rsid w:val="452A321F"/>
    <w:rsid w:val="4C291227"/>
    <w:rsid w:val="4CCA7B3A"/>
    <w:rsid w:val="4E54513D"/>
    <w:rsid w:val="50DE1987"/>
    <w:rsid w:val="5756301B"/>
    <w:rsid w:val="642B4198"/>
    <w:rsid w:val="6C8859C3"/>
    <w:rsid w:val="6D80468F"/>
    <w:rsid w:val="71130456"/>
    <w:rsid w:val="7B579E56"/>
    <w:rsid w:val="7D0B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江</cp:lastModifiedBy>
  <dcterms:modified xsi:type="dcterms:W3CDTF">2026-06-17T10:18:01Z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43E810A94D723A62D903326A5EF957D9</vt:lpwstr>
  </property>
</Properties>
</file>