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jc w:val="center"/>
        <w:textAlignment w:val="auto"/>
        <w:rPr>
          <w:rFonts w:hint="eastAsia" w:ascii="仿宋_GB2312" w:hAnsi="仿宋_GB2312" w:eastAsia="仿宋_GB2312" w:cs="仿宋_GB2312"/>
          <w:kern w:val="21"/>
          <w:sz w:val="44"/>
          <w:szCs w:val="44"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珠海市妇幼保健院（珠海市妇女儿童医院）</w:t>
      </w: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val="en-US" w:eastAsia="zh-CN"/>
        </w:rPr>
        <w:t>介绍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80" w:lineRule="exact"/>
        <w:ind w:left="0" w:right="0" w:firstLine="0"/>
        <w:jc w:val="both"/>
        <w:textAlignment w:val="auto"/>
        <w:rPr>
          <w:rFonts w:hint="eastAsia" w:ascii="黑体" w:hAnsi="黑体" w:eastAsia="黑体" w:cs="黑体"/>
          <w:color w:val="auto"/>
          <w:kern w:val="21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一、医院概况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9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21"/>
          <w:sz w:val="32"/>
          <w:szCs w:val="32"/>
          <w:highlight w:val="none"/>
        </w:rPr>
        <w:t>珠海市妇幼保健院（珠海市妇女儿童医院）始建于1954年</w:t>
      </w:r>
      <w:r>
        <w:rPr>
          <w:rFonts w:hint="eastAsia" w:ascii="仿宋_GB2312" w:hAnsi="仿宋_GB2312" w:eastAsia="仿宋_GB2312" w:cs="仿宋_GB2312"/>
          <w:color w:val="auto"/>
          <w:kern w:val="21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kern w:val="21"/>
          <w:sz w:val="32"/>
          <w:szCs w:val="32"/>
          <w:highlight w:val="none"/>
        </w:rPr>
        <w:t>1993年</w:t>
      </w:r>
      <w:r>
        <w:rPr>
          <w:rFonts w:hint="eastAsia" w:ascii="仿宋_GB2312" w:hAnsi="仿宋_GB2312" w:eastAsia="仿宋_GB2312" w:cs="仿宋_GB2312"/>
          <w:color w:val="auto"/>
          <w:kern w:val="21"/>
          <w:sz w:val="32"/>
          <w:szCs w:val="32"/>
          <w:highlight w:val="none"/>
          <w:lang w:val="en-US" w:eastAsia="zh-CN"/>
        </w:rPr>
        <w:t>获</w:t>
      </w:r>
      <w:r>
        <w:rPr>
          <w:rFonts w:hint="eastAsia" w:ascii="仿宋_GB2312" w:hAnsi="仿宋_GB2312" w:eastAsia="仿宋_GB2312" w:cs="仿宋_GB2312"/>
          <w:color w:val="auto"/>
          <w:kern w:val="21"/>
          <w:sz w:val="32"/>
          <w:szCs w:val="32"/>
          <w:highlight w:val="none"/>
        </w:rPr>
        <w:t>世界卫生组织和联合国儿童基金会“爱婴医院”</w:t>
      </w:r>
      <w:r>
        <w:rPr>
          <w:rFonts w:hint="eastAsia" w:ascii="仿宋_GB2312" w:hAnsi="仿宋_GB2312" w:eastAsia="仿宋_GB2312" w:cs="仿宋_GB2312"/>
          <w:color w:val="auto"/>
          <w:kern w:val="21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kern w:val="21"/>
          <w:sz w:val="32"/>
          <w:szCs w:val="32"/>
          <w:highlight w:val="none"/>
        </w:rPr>
        <w:t>1997年成为全国首批“三级甲等”妇幼保健机构</w:t>
      </w:r>
      <w:r>
        <w:rPr>
          <w:rFonts w:hint="eastAsia" w:ascii="仿宋_GB2312" w:hAnsi="仿宋_GB2312" w:eastAsia="仿宋_GB2312" w:cs="仿宋_GB2312"/>
          <w:color w:val="auto"/>
          <w:kern w:val="21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kern w:val="21"/>
          <w:sz w:val="32"/>
          <w:szCs w:val="32"/>
          <w:highlight w:val="none"/>
          <w:lang w:val="en-US" w:eastAsia="zh-CN"/>
        </w:rPr>
        <w:t>2020年开启“一院两区”运营模式；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2022年获批广东省博士工作站；</w:t>
      </w:r>
      <w:r>
        <w:rPr>
          <w:rFonts w:hint="eastAsia" w:ascii="仿宋_GB2312" w:hAnsi="仿宋_GB2312" w:eastAsia="仿宋_GB2312" w:cs="仿宋_GB2312"/>
          <w:sz w:val="32"/>
          <w:szCs w:val="32"/>
        </w:rPr>
        <w:t>2023年成为华南理工大学附属医院并获评全国首家五星级妇幼保健院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；2025年再次通过三级甲等妇幼保健院复评审、成功申请成为暨南大学医学教育基地、</w:t>
      </w:r>
      <w:r>
        <w:rPr>
          <w:rFonts w:hint="eastAsia" w:ascii="仿宋_GB2312" w:hAnsi="仿宋_GB2312" w:eastAsia="仿宋_GB2312" w:cs="仿宋_GB2312"/>
          <w:sz w:val="32"/>
          <w:szCs w:val="32"/>
        </w:rPr>
        <w:t>“5G+远程诊断项目”入选全国优秀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（全市唯一）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医院</w:t>
      </w:r>
      <w:r>
        <w:rPr>
          <w:rFonts w:hint="eastAsia" w:ascii="仿宋_GB2312" w:hAnsi="仿宋_GB2312" w:eastAsia="仿宋_GB2312" w:cs="仿宋_GB2312"/>
          <w:sz w:val="32"/>
          <w:szCs w:val="32"/>
        </w:rPr>
        <w:t>秉承“审慎、进取、专注、仁爱”理念，连续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年（2021-202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）获全国妇幼保健机构绩效监测A+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创建全国“样板妇孺国医堂”。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二、医院规模与服务能力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9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1"/>
          <w:sz w:val="32"/>
          <w:szCs w:val="32"/>
          <w:highlight w:val="none"/>
          <w:lang w:val="en-US" w:eastAsia="zh-CN"/>
        </w:rPr>
        <w:t>医院现由</w:t>
      </w:r>
      <w:r>
        <w:rPr>
          <w:rFonts w:hint="eastAsia" w:ascii="仿宋_GB2312" w:hAnsi="仿宋_GB2312" w:eastAsia="仿宋_GB2312" w:cs="仿宋_GB2312"/>
          <w:kern w:val="21"/>
          <w:sz w:val="32"/>
          <w:szCs w:val="32"/>
          <w:highlight w:val="none"/>
        </w:rPr>
        <w:t>南琴院区和柠溪院区</w:t>
      </w:r>
      <w:r>
        <w:rPr>
          <w:rFonts w:hint="eastAsia" w:ascii="仿宋_GB2312" w:hAnsi="仿宋_GB2312" w:eastAsia="仿宋_GB2312" w:cs="仿宋_GB2312"/>
          <w:kern w:val="21"/>
          <w:sz w:val="32"/>
          <w:szCs w:val="32"/>
          <w:highlight w:val="none"/>
          <w:lang w:val="en-US" w:eastAsia="zh-CN"/>
        </w:rPr>
        <w:t>组成</w:t>
      </w:r>
      <w:r>
        <w:rPr>
          <w:rFonts w:hint="eastAsia" w:ascii="仿宋_GB2312" w:hAnsi="仿宋_GB2312" w:eastAsia="仿宋_GB2312" w:cs="仿宋_GB2312"/>
          <w:kern w:val="21"/>
          <w:sz w:val="32"/>
          <w:szCs w:val="32"/>
          <w:highlight w:val="none"/>
        </w:rPr>
        <w:t>。全院占地面积</w:t>
      </w:r>
      <w:r>
        <w:rPr>
          <w:rFonts w:hint="eastAsia" w:ascii="仿宋_GB2312" w:hAnsi="仿宋_GB2312" w:eastAsia="仿宋_GB2312" w:cs="仿宋_GB2312"/>
          <w:kern w:val="21"/>
          <w:sz w:val="32"/>
          <w:szCs w:val="32"/>
          <w:highlight w:val="none"/>
          <w:lang w:val="en-US" w:eastAsia="zh-CN"/>
        </w:rPr>
        <w:t>7.6</w:t>
      </w:r>
      <w:r>
        <w:rPr>
          <w:rFonts w:hint="eastAsia" w:ascii="仿宋_GB2312" w:hAnsi="仿宋_GB2312" w:eastAsia="仿宋_GB2312" w:cs="仿宋_GB2312"/>
          <w:kern w:val="21"/>
          <w:sz w:val="32"/>
          <w:szCs w:val="32"/>
          <w:highlight w:val="none"/>
        </w:rPr>
        <w:t>万平方米，建筑面积</w:t>
      </w:r>
      <w:r>
        <w:rPr>
          <w:rFonts w:hint="eastAsia" w:ascii="仿宋_GB2312" w:hAnsi="仿宋_GB2312" w:eastAsia="仿宋_GB2312" w:cs="仿宋_GB2312"/>
          <w:kern w:val="21"/>
          <w:sz w:val="32"/>
          <w:szCs w:val="32"/>
          <w:highlight w:val="none"/>
          <w:lang w:val="en-US" w:eastAsia="zh-CN"/>
        </w:rPr>
        <w:t>17.6</w:t>
      </w:r>
      <w:r>
        <w:rPr>
          <w:rFonts w:hint="eastAsia" w:ascii="仿宋_GB2312" w:hAnsi="仿宋_GB2312" w:eastAsia="仿宋_GB2312" w:cs="仿宋_GB2312"/>
          <w:kern w:val="21"/>
          <w:sz w:val="32"/>
          <w:szCs w:val="32"/>
          <w:highlight w:val="none"/>
        </w:rPr>
        <w:t>万平方米，编制床位</w:t>
      </w:r>
      <w:r>
        <w:rPr>
          <w:rFonts w:hint="eastAsia" w:ascii="仿宋_GB2312" w:hAnsi="仿宋_GB2312" w:eastAsia="仿宋_GB2312" w:cs="仿宋_GB2312"/>
          <w:kern w:val="21"/>
          <w:sz w:val="32"/>
          <w:szCs w:val="32"/>
          <w:highlight w:val="none"/>
          <w:lang w:val="en-US" w:eastAsia="zh-CN"/>
        </w:rPr>
        <w:t>1200</w:t>
      </w:r>
      <w:r>
        <w:rPr>
          <w:rFonts w:hint="eastAsia" w:ascii="仿宋_GB2312" w:hAnsi="仿宋_GB2312" w:eastAsia="仿宋_GB2312" w:cs="仿宋_GB2312"/>
          <w:kern w:val="21"/>
          <w:sz w:val="32"/>
          <w:szCs w:val="32"/>
          <w:highlight w:val="none"/>
        </w:rPr>
        <w:t>张。</w:t>
      </w:r>
      <w:r>
        <w:rPr>
          <w:rFonts w:hint="eastAsia" w:ascii="仿宋_GB2312" w:hAnsi="仿宋_GB2312" w:eastAsia="仿宋_GB2312" w:cs="仿宋_GB2312"/>
          <w:color w:val="auto"/>
          <w:kern w:val="21"/>
          <w:sz w:val="32"/>
          <w:szCs w:val="32"/>
          <w:highlight w:val="none"/>
        </w:rPr>
        <w:t>现有在职职工</w:t>
      </w:r>
      <w:r>
        <w:rPr>
          <w:rFonts w:hint="eastAsia" w:ascii="仿宋_GB2312" w:hAnsi="仿宋_GB2312" w:eastAsia="仿宋_GB2312" w:cs="仿宋_GB2312"/>
          <w:color w:val="auto"/>
          <w:kern w:val="21"/>
          <w:sz w:val="32"/>
          <w:szCs w:val="32"/>
          <w:highlight w:val="none"/>
          <w:lang w:val="en-US" w:eastAsia="zh-CN"/>
        </w:rPr>
        <w:t>1700余</w:t>
      </w:r>
      <w:r>
        <w:rPr>
          <w:rFonts w:hint="eastAsia" w:ascii="仿宋_GB2312" w:hAnsi="仿宋_GB2312" w:eastAsia="仿宋_GB2312" w:cs="仿宋_GB2312"/>
          <w:color w:val="auto"/>
          <w:kern w:val="21"/>
          <w:sz w:val="32"/>
          <w:szCs w:val="32"/>
          <w:highlight w:val="none"/>
        </w:rPr>
        <w:t>人，卫生专业技术人员</w:t>
      </w:r>
      <w:r>
        <w:rPr>
          <w:rFonts w:hint="eastAsia" w:ascii="仿宋_GB2312" w:hAnsi="仿宋_GB2312" w:eastAsia="仿宋_GB2312" w:cs="仿宋_GB2312"/>
          <w:color w:val="auto"/>
          <w:kern w:val="21"/>
          <w:sz w:val="32"/>
          <w:szCs w:val="32"/>
          <w:highlight w:val="none"/>
          <w:lang w:val="en-US" w:eastAsia="zh-CN"/>
        </w:rPr>
        <w:t>1500余人</w:t>
      </w:r>
      <w:r>
        <w:rPr>
          <w:rFonts w:hint="eastAsia" w:ascii="仿宋_GB2312" w:hAnsi="仿宋_GB2312" w:eastAsia="仿宋_GB2312" w:cs="仿宋_GB2312"/>
          <w:color w:val="auto"/>
          <w:kern w:val="21"/>
          <w:sz w:val="32"/>
          <w:szCs w:val="32"/>
          <w:highlight w:val="none"/>
        </w:rPr>
        <w:t>。202</w:t>
      </w:r>
      <w:r>
        <w:rPr>
          <w:rFonts w:hint="eastAsia" w:ascii="仿宋_GB2312" w:hAnsi="仿宋_GB2312" w:eastAsia="仿宋_GB2312" w:cs="仿宋_GB2312"/>
          <w:color w:val="auto"/>
          <w:kern w:val="21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21"/>
          <w:sz w:val="32"/>
          <w:szCs w:val="32"/>
          <w:highlight w:val="none"/>
        </w:rPr>
        <w:t>年全院门诊总量1445392人次，出院40657人次</w:t>
      </w:r>
      <w:r>
        <w:rPr>
          <w:rFonts w:hint="eastAsia" w:ascii="仿宋_GB2312" w:hAnsi="仿宋_GB2312" w:eastAsia="仿宋_GB2312" w:cs="仿宋_GB2312"/>
          <w:color w:val="auto"/>
          <w:kern w:val="21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kern w:val="21"/>
          <w:sz w:val="32"/>
          <w:szCs w:val="32"/>
          <w:highlight w:val="none"/>
          <w:lang w:val="en-US" w:eastAsia="zh-CN"/>
        </w:rPr>
        <w:t>2025年</w:t>
      </w:r>
      <w:r>
        <w:rPr>
          <w:rFonts w:hint="eastAsia" w:ascii="仿宋_GB2312" w:hAnsi="仿宋_GB2312" w:eastAsia="仿宋_GB2312" w:cs="仿宋_GB2312"/>
          <w:color w:val="auto"/>
          <w:kern w:val="21"/>
          <w:sz w:val="32"/>
          <w:szCs w:val="32"/>
          <w:highlight w:val="none"/>
        </w:rPr>
        <w:t>全院活产数</w:t>
      </w:r>
      <w:r>
        <w:rPr>
          <w:rFonts w:hint="eastAsia" w:ascii="仿宋_GB2312" w:hAnsi="仿宋_GB2312" w:eastAsia="仿宋_GB2312" w:cs="仿宋_GB2312"/>
          <w:color w:val="auto"/>
          <w:kern w:val="21"/>
          <w:sz w:val="32"/>
          <w:szCs w:val="32"/>
          <w:highlight w:val="none"/>
          <w:lang w:val="en-US" w:eastAsia="zh-CN"/>
        </w:rPr>
        <w:t>9533</w:t>
      </w:r>
      <w:r>
        <w:rPr>
          <w:rFonts w:hint="eastAsia" w:ascii="仿宋_GB2312" w:hAnsi="仿宋_GB2312" w:eastAsia="仿宋_GB2312" w:cs="仿宋_GB2312"/>
          <w:color w:val="auto"/>
          <w:kern w:val="21"/>
          <w:sz w:val="32"/>
          <w:szCs w:val="32"/>
          <w:highlight w:val="none"/>
        </w:rPr>
        <w:t>人次</w:t>
      </w:r>
      <w:r>
        <w:rPr>
          <w:rFonts w:hint="eastAsia" w:ascii="仿宋_GB2312" w:hAnsi="仿宋_GB2312" w:eastAsia="仿宋_GB2312" w:cs="仿宋_GB2312"/>
          <w:color w:val="auto"/>
          <w:kern w:val="21"/>
          <w:sz w:val="32"/>
          <w:szCs w:val="32"/>
          <w:highlight w:val="none"/>
          <w:lang w:eastAsia="zh-CN"/>
        </w:rPr>
        <w:t>，占全市分娩量的4</w:t>
      </w:r>
      <w:r>
        <w:rPr>
          <w:rFonts w:hint="eastAsia" w:ascii="仿宋_GB2312" w:hAnsi="仿宋_GB2312" w:eastAsia="仿宋_GB2312" w:cs="仿宋_GB2312"/>
          <w:color w:val="auto"/>
          <w:kern w:val="21"/>
          <w:sz w:val="32"/>
          <w:szCs w:val="32"/>
          <w:highlight w:val="none"/>
          <w:lang w:val="en-US" w:eastAsia="zh-CN"/>
        </w:rPr>
        <w:t>2.47</w:t>
      </w:r>
      <w:r>
        <w:rPr>
          <w:rFonts w:hint="eastAsia" w:ascii="仿宋_GB2312" w:hAnsi="仿宋_GB2312" w:eastAsia="仿宋_GB2312" w:cs="仿宋_GB2312"/>
          <w:color w:val="auto"/>
          <w:kern w:val="21"/>
          <w:sz w:val="32"/>
          <w:szCs w:val="32"/>
          <w:highlight w:val="none"/>
          <w:lang w:eastAsia="zh-CN"/>
        </w:rPr>
        <w:t>%。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2022年、2024年孕产妇死亡率为0，实现三年内再次零死亡，凸显妇幼健康保障能力。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1"/>
          <w:sz w:val="32"/>
          <w:szCs w:val="32"/>
          <w:highlight w:val="none"/>
          <w:lang w:eastAsia="zh-CN"/>
        </w:rPr>
      </w:pP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1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21"/>
          <w:sz w:val="32"/>
          <w:szCs w:val="32"/>
          <w:highlight w:val="non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396875</wp:posOffset>
            </wp:positionH>
            <wp:positionV relativeFrom="paragraph">
              <wp:posOffset>17780</wp:posOffset>
            </wp:positionV>
            <wp:extent cx="4568825" cy="2609850"/>
            <wp:effectExtent l="0" t="0" r="3175" b="0"/>
            <wp:wrapNone/>
            <wp:docPr id="55300" name="图片 3" descr="C:/Users/fy/AppData/Local/Temp/picturescale_20210807143321/output_20210807143329.pngoutput_20210807143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300" name="图片 3" descr="C:/Users/fy/AppData/Local/Temp/picturescale_20210807143321/output_20210807143329.pngoutput_20210807143329"/>
                    <pic:cNvPicPr>
                      <a:picLocks noChangeAspect="1"/>
                    </pic:cNvPicPr>
                  </pic:nvPicPr>
                  <pic:blipFill>
                    <a:blip r:embed="rId7"/>
                    <a:srcRect b="15450"/>
                    <a:stretch>
                      <a:fillRect/>
                    </a:stretch>
                  </pic:blipFill>
                  <pic:spPr>
                    <a:xfrm>
                      <a:off x="0" y="0"/>
                      <a:ext cx="4568825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80" w:lineRule="exact"/>
        <w:ind w:right="0" w:firstLine="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21"/>
          <w:sz w:val="32"/>
          <w:szCs w:val="32"/>
          <w:highlight w:val="none"/>
          <w:lang w:eastAsia="zh-CN"/>
        </w:rPr>
      </w:pP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80" w:lineRule="exact"/>
        <w:ind w:right="0" w:firstLine="0"/>
        <w:jc w:val="both"/>
        <w:textAlignment w:val="auto"/>
        <w:rPr>
          <w:rFonts w:hint="eastAsia" w:ascii="仿宋_GB2312" w:hAnsi="仿宋_GB2312" w:eastAsia="仿宋_GB2312" w:cs="仿宋_GB2312"/>
          <w:kern w:val="21"/>
          <w:sz w:val="32"/>
          <w:szCs w:val="32"/>
          <w:highlight w:val="none"/>
        </w:rPr>
      </w:pP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80" w:lineRule="exact"/>
        <w:ind w:right="0" w:firstLine="0"/>
        <w:jc w:val="both"/>
        <w:textAlignment w:val="auto"/>
        <w:rPr>
          <w:rFonts w:hint="eastAsia" w:ascii="仿宋_GB2312" w:hAnsi="仿宋_GB2312" w:eastAsia="仿宋_GB2312" w:cs="仿宋_GB2312"/>
          <w:kern w:val="21"/>
          <w:sz w:val="32"/>
          <w:szCs w:val="32"/>
          <w:highlight w:val="none"/>
        </w:rPr>
      </w:pP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80" w:lineRule="exact"/>
        <w:ind w:right="0" w:firstLine="0"/>
        <w:jc w:val="both"/>
        <w:textAlignment w:val="auto"/>
        <w:rPr>
          <w:rFonts w:hint="eastAsia" w:ascii="仿宋_GB2312" w:hAnsi="仿宋_GB2312" w:eastAsia="仿宋_GB2312" w:cs="仿宋_GB2312"/>
          <w:kern w:val="21"/>
          <w:sz w:val="32"/>
          <w:szCs w:val="32"/>
          <w:highlight w:val="none"/>
        </w:rPr>
      </w:pP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80" w:lineRule="exact"/>
        <w:ind w:right="0" w:firstLine="0"/>
        <w:jc w:val="both"/>
        <w:textAlignment w:val="auto"/>
        <w:rPr>
          <w:rFonts w:hint="eastAsia" w:ascii="仿宋_GB2312" w:hAnsi="仿宋_GB2312" w:eastAsia="仿宋_GB2312" w:cs="仿宋_GB2312"/>
          <w:kern w:val="21"/>
          <w:sz w:val="32"/>
          <w:szCs w:val="32"/>
          <w:highlight w:val="none"/>
        </w:rPr>
      </w:pP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80" w:lineRule="exact"/>
        <w:ind w:right="0" w:firstLine="0"/>
        <w:jc w:val="both"/>
        <w:textAlignment w:val="auto"/>
        <w:rPr>
          <w:rFonts w:hint="eastAsia" w:ascii="仿宋_GB2312" w:hAnsi="仿宋_GB2312" w:eastAsia="仿宋_GB2312" w:cs="仿宋_GB2312"/>
          <w:kern w:val="21"/>
          <w:sz w:val="32"/>
          <w:szCs w:val="32"/>
          <w:highlight w:val="none"/>
        </w:rPr>
      </w:pP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8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1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21"/>
          <w:sz w:val="32"/>
          <w:szCs w:val="32"/>
          <w:highlight w:val="none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444500</wp:posOffset>
            </wp:positionH>
            <wp:positionV relativeFrom="paragraph">
              <wp:posOffset>713740</wp:posOffset>
            </wp:positionV>
            <wp:extent cx="4481195" cy="2559050"/>
            <wp:effectExtent l="0" t="0" r="14605" b="12700"/>
            <wp:wrapNone/>
            <wp:docPr id="3" name="图片 229379" descr="妇幼俯瞰图1(2012-06-19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29379" descr="妇幼俯瞰图1(2012-06-19 21"/>
                    <pic:cNvPicPr>
                      <a:picLocks noChangeAspect="1"/>
                    </pic:cNvPicPr>
                  </pic:nvPicPr>
                  <pic:blipFill>
                    <a:blip r:embed="rId8"/>
                    <a:srcRect b="19670"/>
                    <a:stretch>
                      <a:fillRect/>
                    </a:stretch>
                  </pic:blipFill>
                  <pic:spPr>
                    <a:xfrm>
                      <a:off x="0" y="0"/>
                      <a:ext cx="4481513" cy="255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eastAsia="仿宋_GB2312" w:cs="仿宋_GB2312"/>
          <w:kern w:val="21"/>
          <w:sz w:val="32"/>
          <w:szCs w:val="32"/>
          <w:highlight w:val="none"/>
        </w:rPr>
        <w:t>南琴院区配置床位800张</w:t>
      </w:r>
      <w:r>
        <w:rPr>
          <w:rFonts w:hint="eastAsia" w:ascii="仿宋_GB2312" w:hAnsi="仿宋_GB2312" w:eastAsia="仿宋_GB2312" w:cs="仿宋_GB2312"/>
          <w:kern w:val="21"/>
          <w:sz w:val="32"/>
          <w:szCs w:val="32"/>
          <w:highlight w:val="none"/>
          <w:lang w:val="en-US" w:eastAsia="zh-CN"/>
        </w:rPr>
        <w:t>,</w:t>
      </w:r>
      <w:r>
        <w:rPr>
          <w:rFonts w:hint="eastAsia" w:ascii="仿宋_GB2312" w:hAnsi="仿宋_GB2312" w:eastAsia="仿宋_GB2312" w:cs="仿宋_GB2312"/>
          <w:kern w:val="21"/>
          <w:sz w:val="32"/>
          <w:szCs w:val="32"/>
          <w:highlight w:val="none"/>
        </w:rPr>
        <w:t>功能定位以妇女儿童医疗救治为主</w:t>
      </w:r>
      <w:r>
        <w:rPr>
          <w:rFonts w:hint="eastAsia" w:ascii="仿宋_GB2312" w:hAnsi="仿宋_GB2312" w:eastAsia="仿宋_GB2312" w:cs="仿宋_GB2312"/>
          <w:kern w:val="21"/>
          <w:sz w:val="32"/>
          <w:szCs w:val="32"/>
          <w:highlight w:val="none"/>
          <w:lang w:eastAsia="zh-CN"/>
        </w:rPr>
        <w:t>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80" w:lineRule="exact"/>
        <w:ind w:right="0" w:firstLine="0"/>
        <w:jc w:val="both"/>
        <w:textAlignment w:val="auto"/>
        <w:rPr>
          <w:rFonts w:hint="eastAsia" w:ascii="仿宋_GB2312" w:hAnsi="仿宋_GB2312" w:eastAsia="仿宋_GB2312" w:cs="仿宋_GB2312"/>
          <w:kern w:val="21"/>
          <w:sz w:val="32"/>
          <w:szCs w:val="32"/>
          <w:highlight w:val="none"/>
        </w:rPr>
      </w:pP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80" w:lineRule="exact"/>
        <w:ind w:right="0" w:firstLine="0"/>
        <w:jc w:val="both"/>
        <w:textAlignment w:val="auto"/>
        <w:rPr>
          <w:rFonts w:hint="eastAsia" w:ascii="仿宋_GB2312" w:hAnsi="仿宋_GB2312" w:eastAsia="仿宋_GB2312" w:cs="仿宋_GB2312"/>
          <w:kern w:val="21"/>
          <w:sz w:val="32"/>
          <w:szCs w:val="32"/>
          <w:highlight w:val="none"/>
          <w:lang w:eastAsia="zh-CN"/>
        </w:rPr>
      </w:pP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80" w:lineRule="exact"/>
        <w:ind w:right="0" w:firstLine="0"/>
        <w:jc w:val="both"/>
        <w:textAlignment w:val="auto"/>
        <w:rPr>
          <w:rFonts w:hint="eastAsia" w:ascii="仿宋_GB2312" w:hAnsi="仿宋_GB2312" w:eastAsia="仿宋_GB2312" w:cs="仿宋_GB2312"/>
          <w:kern w:val="21"/>
          <w:sz w:val="32"/>
          <w:szCs w:val="32"/>
          <w:highlight w:val="none"/>
          <w:lang w:eastAsia="zh-CN"/>
        </w:rPr>
      </w:pP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80" w:lineRule="exact"/>
        <w:ind w:right="0" w:firstLine="0"/>
        <w:jc w:val="both"/>
        <w:textAlignment w:val="auto"/>
        <w:rPr>
          <w:rFonts w:hint="eastAsia" w:ascii="仿宋_GB2312" w:hAnsi="仿宋_GB2312" w:eastAsia="仿宋_GB2312" w:cs="仿宋_GB2312"/>
          <w:kern w:val="21"/>
          <w:sz w:val="32"/>
          <w:szCs w:val="32"/>
          <w:highlight w:val="none"/>
          <w:lang w:eastAsia="zh-CN"/>
        </w:rPr>
      </w:pP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80" w:lineRule="exact"/>
        <w:ind w:right="0" w:firstLine="0"/>
        <w:jc w:val="both"/>
        <w:textAlignment w:val="auto"/>
        <w:rPr>
          <w:rFonts w:hint="eastAsia" w:ascii="仿宋_GB2312" w:hAnsi="仿宋_GB2312" w:eastAsia="仿宋_GB2312" w:cs="仿宋_GB2312"/>
          <w:kern w:val="21"/>
          <w:sz w:val="32"/>
          <w:szCs w:val="32"/>
          <w:highlight w:val="none"/>
          <w:lang w:eastAsia="zh-CN"/>
        </w:rPr>
      </w:pP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80" w:lineRule="exact"/>
        <w:ind w:right="0" w:firstLine="0"/>
        <w:jc w:val="both"/>
        <w:textAlignment w:val="auto"/>
        <w:rPr>
          <w:rFonts w:hint="eastAsia" w:ascii="仿宋_GB2312" w:hAnsi="仿宋_GB2312" w:eastAsia="仿宋_GB2312" w:cs="仿宋_GB2312"/>
          <w:kern w:val="21"/>
          <w:sz w:val="32"/>
          <w:szCs w:val="32"/>
          <w:highlight w:val="none"/>
          <w:lang w:eastAsia="zh-CN"/>
        </w:rPr>
      </w:pP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80" w:lineRule="exact"/>
        <w:ind w:right="0" w:firstLine="0"/>
        <w:jc w:val="both"/>
        <w:textAlignment w:val="auto"/>
        <w:rPr>
          <w:rFonts w:hint="eastAsia" w:ascii="仿宋_GB2312" w:hAnsi="仿宋_GB2312" w:eastAsia="仿宋_GB2312" w:cs="仿宋_GB2312"/>
          <w:kern w:val="21"/>
          <w:sz w:val="32"/>
          <w:szCs w:val="32"/>
          <w:highlight w:val="none"/>
          <w:lang w:eastAsia="zh-CN"/>
        </w:rPr>
      </w:pP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8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1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kern w:val="21"/>
          <w:sz w:val="32"/>
          <w:szCs w:val="32"/>
          <w:highlight w:val="none"/>
          <w:lang w:eastAsia="zh-CN"/>
        </w:rPr>
        <w:t>柠溪院区配置床位400张</w:t>
      </w:r>
      <w:r>
        <w:rPr>
          <w:rFonts w:hint="eastAsia" w:ascii="仿宋_GB2312" w:hAnsi="仿宋_GB2312" w:eastAsia="仿宋_GB2312" w:cs="仿宋_GB2312"/>
          <w:kern w:val="21"/>
          <w:sz w:val="32"/>
          <w:szCs w:val="32"/>
          <w:highlight w:val="none"/>
          <w:lang w:val="en-US" w:eastAsia="zh-CN"/>
        </w:rPr>
        <w:t>,</w:t>
      </w:r>
      <w:r>
        <w:rPr>
          <w:rFonts w:hint="eastAsia" w:ascii="仿宋_GB2312" w:hAnsi="仿宋_GB2312" w:eastAsia="仿宋_GB2312" w:cs="仿宋_GB2312"/>
          <w:kern w:val="21"/>
          <w:sz w:val="32"/>
          <w:szCs w:val="32"/>
          <w:highlight w:val="none"/>
          <w:lang w:eastAsia="zh-CN"/>
        </w:rPr>
        <w:t>功能定位以妇女儿童保健为主。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三、所获荣誉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80" w:lineRule="exact"/>
        <w:ind w:right="0" w:firstLine="642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kern w:val="21"/>
          <w:sz w:val="32"/>
          <w:szCs w:val="32"/>
          <w:highlight w:val="none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kern w:val="21"/>
          <w:sz w:val="32"/>
          <w:szCs w:val="32"/>
          <w:highlight w:val="none"/>
          <w:shd w:val="clear" w:fill="FFFFFF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kern w:val="21"/>
          <w:sz w:val="32"/>
          <w:szCs w:val="32"/>
          <w:highlight w:val="none"/>
          <w:shd w:val="clear" w:fill="FFFFFF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kern w:val="21"/>
          <w:sz w:val="32"/>
          <w:szCs w:val="32"/>
          <w:highlight w:val="none"/>
          <w:shd w:val="clear" w:fill="FFFFFF"/>
          <w:lang w:eastAsia="zh-CN"/>
        </w:rPr>
        <w:t>）国家级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kern w:val="21"/>
          <w:sz w:val="32"/>
          <w:szCs w:val="32"/>
          <w:highlight w:val="none"/>
          <w:shd w:val="clear" w:fill="FFFFFF"/>
          <w:lang w:val="en-US" w:eastAsia="zh-CN"/>
        </w:rPr>
        <w:t>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21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1"/>
          <w:sz w:val="32"/>
          <w:szCs w:val="32"/>
          <w:highlight w:val="none"/>
          <w:lang w:val="en-US" w:eastAsia="zh-CN"/>
        </w:rPr>
        <w:t>爱婴医院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21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1"/>
          <w:sz w:val="32"/>
          <w:szCs w:val="32"/>
          <w:highlight w:val="none"/>
          <w:lang w:val="en-US" w:eastAsia="zh-CN"/>
        </w:rPr>
        <w:t>全国卫生系统先进集体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21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1"/>
          <w:sz w:val="32"/>
          <w:szCs w:val="32"/>
          <w:highlight w:val="none"/>
          <w:lang w:val="en-US" w:eastAsia="zh-CN"/>
        </w:rPr>
        <w:t>全国妇幼卫生工作先进单位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21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1"/>
          <w:sz w:val="32"/>
          <w:szCs w:val="32"/>
          <w:highlight w:val="none"/>
          <w:lang w:val="en-US" w:eastAsia="zh-CN"/>
        </w:rPr>
        <w:t>全国“三优工程”试点工作奖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21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1"/>
          <w:sz w:val="32"/>
          <w:szCs w:val="32"/>
          <w:highlight w:val="none"/>
          <w:lang w:val="en-US" w:eastAsia="zh-CN"/>
        </w:rPr>
        <w:t>全国五四红旗团委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21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1"/>
          <w:sz w:val="32"/>
          <w:szCs w:val="32"/>
          <w:highlight w:val="none"/>
          <w:lang w:val="en-US" w:eastAsia="zh-CN"/>
        </w:rPr>
        <w:t>PAC优质服务医院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21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1"/>
          <w:sz w:val="32"/>
          <w:szCs w:val="32"/>
          <w:highlight w:val="none"/>
          <w:lang w:val="en-US" w:eastAsia="zh-CN"/>
        </w:rPr>
        <w:t>示范孕妇学校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21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1"/>
          <w:sz w:val="32"/>
          <w:szCs w:val="32"/>
          <w:highlight w:val="none"/>
          <w:lang w:val="en-US" w:eastAsia="zh-CN"/>
        </w:rPr>
        <w:t>国家级电生理适宜技术培训基地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21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1"/>
          <w:sz w:val="32"/>
          <w:szCs w:val="32"/>
          <w:highlight w:val="none"/>
          <w:lang w:val="en-US" w:eastAsia="zh-CN"/>
        </w:rPr>
        <w:t>全国首批孤独症三级网络规范化建设项目培训基地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国家儿童健康管理示范基地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21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1"/>
          <w:sz w:val="32"/>
          <w:szCs w:val="32"/>
          <w:highlight w:val="none"/>
          <w:lang w:val="en-US" w:eastAsia="zh-CN"/>
        </w:rPr>
        <w:t>改善医疗服务示范医院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全国公共法律服务工作先进集体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中国医院竞争力五星级医院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2022届艾力彼粤港澳大湾区最佳医院100强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国家医疗健康信息互联互通标准化成熟度四级甲等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全国妇幼保健机构绩效考核优异成绩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2" w:firstLineChars="200"/>
        <w:textAlignment w:val="auto"/>
        <w:rPr>
          <w:rFonts w:hint="eastAsia" w:ascii="仿宋_GB2312" w:hAnsi="仿宋_GB2312" w:eastAsia="仿宋_GB2312" w:cs="仿宋_GB2312"/>
          <w:color w:val="auto"/>
          <w:kern w:val="21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1"/>
          <w:sz w:val="32"/>
          <w:szCs w:val="32"/>
          <w:highlight w:val="none"/>
          <w:lang w:val="en-US" w:eastAsia="zh-CN"/>
        </w:rPr>
        <w:t>（二）省级：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21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1"/>
          <w:sz w:val="32"/>
          <w:szCs w:val="32"/>
          <w:highlight w:val="none"/>
          <w:lang w:val="en-US" w:eastAsia="zh-CN"/>
        </w:rPr>
        <w:t>广东省妇幼保健先进单位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21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1"/>
          <w:sz w:val="32"/>
          <w:szCs w:val="32"/>
          <w:highlight w:val="none"/>
          <w:lang w:val="en-US" w:eastAsia="zh-CN"/>
        </w:rPr>
        <w:t>广东省文明单位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21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1"/>
          <w:sz w:val="32"/>
          <w:szCs w:val="32"/>
          <w:highlight w:val="none"/>
          <w:lang w:val="en-US" w:eastAsia="zh-CN"/>
        </w:rPr>
        <w:t>优生优育工作先进单位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kern w:val="21"/>
          <w:sz w:val="32"/>
          <w:szCs w:val="32"/>
          <w:highlight w:val="none"/>
          <w:shd w:val="cle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1"/>
          <w:sz w:val="32"/>
          <w:szCs w:val="32"/>
          <w:highlight w:val="none"/>
          <w:lang w:val="en-US" w:eastAsia="zh-CN"/>
        </w:rPr>
        <w:t>百家文明医院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21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1"/>
          <w:sz w:val="32"/>
          <w:szCs w:val="32"/>
          <w:highlight w:val="none"/>
          <w:lang w:val="en-US" w:eastAsia="zh-CN"/>
        </w:rPr>
        <w:t>广东省五四红旗团委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21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1"/>
          <w:sz w:val="32"/>
          <w:szCs w:val="32"/>
          <w:highlight w:val="none"/>
          <w:lang w:val="en-US" w:eastAsia="zh-CN"/>
        </w:rPr>
        <w:t>广东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1"/>
          <w:sz w:val="32"/>
          <w:szCs w:val="32"/>
          <w:highlight w:val="none"/>
          <w:lang w:val="en-US" w:eastAsia="zh-CN"/>
        </w:rPr>
        <w:t>省实施妇女儿童发展规划先进集体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广东省产后女性形体管理与盆底健康服务标准化试点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广东省儿童早期发展示范基地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四、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医疗与科研实力建设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（一）学科与专科建设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2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重点专科：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拥有2个省级临床重点专科（新生儿科、妇科）、1个省级中医药特色重点专科（中医妇科）、3个省级妇幼保健特色专科（新生儿保健、孕产期保健、更年期保健）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个市级临床重点专科（产科、儿科、妇科、新生儿科、乳腺外科、儿童心理卫生科、儿童重症监护室）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1个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市级中医药重点专科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中医妇科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），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构建了覆盖全生命周期的专科体系。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2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特色平台：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设医学遗传研究所、法医物证司法鉴定所等市级机构，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拥有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7个市级质控中心（产科、新生儿科、产前诊断、生殖医学、儿科、临床基因检测、妇女保健）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牵头全市妇幼诊疗规范制定，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设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3个救治中心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（危重症孕产妇救治中心、危重症新生儿救治中心、危重症儿童救治中心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），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个市级医学中心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产前诊断中心、新生儿遗传代谢病筛查中心、地中海贫血筛查管理和诊断中心、儿童心理行为中心、出生缺陷综合干预中心、母婴精准保健中心、新生儿听力障碍诊治中心、整体康复与电生理医学中心），形成了覆盖妇幼健康全领域的专业支撑体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  <w:t>（二）</w:t>
      </w:r>
      <w:r>
        <w:rPr>
          <w:rFonts w:hint="eastAsia" w:ascii="楷体" w:hAnsi="楷体" w:eastAsia="楷体" w:cs="楷体"/>
          <w:sz w:val="32"/>
          <w:szCs w:val="32"/>
        </w:rPr>
        <w:t>科研与临床创新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获批广东省博士工作站、暨南大学医学教育基地、广东省临床基因扩增检验实验室培训基地、广东省妇女保健专科护士临床实践基地、中国妇幼保健协会专科助产士临床培训基地。累计承担多项国家、省、市科研项目，在妇幼健康细分领域形成阶段性成果。顺利通过医疗器械临床试验机构、药物临床试验机构备案，备案专业组12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jc w:val="both"/>
        <w:textAlignment w:val="auto"/>
        <w:rPr>
          <w:rFonts w:hint="eastAsia" w:ascii="楷体" w:hAnsi="楷体" w:eastAsia="楷体" w:cs="楷体"/>
          <w:sz w:val="30"/>
          <w:szCs w:val="30"/>
        </w:rPr>
      </w:pPr>
      <w:r>
        <w:rPr>
          <w:rFonts w:hint="eastAsia" w:ascii="楷体" w:hAnsi="楷体" w:eastAsia="楷体" w:cs="楷体"/>
          <w:sz w:val="30"/>
          <w:szCs w:val="30"/>
        </w:rPr>
        <w:t>（三）设备配置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现有医疗设备7676台（套），总价值6.23亿元，其中100万元以上设备123台（套），包括西门子1.5T磁共振、GE 64排螺旋CT、数字化乳腺X光机、超高档胎儿四维超声等高精尖设备，为精准诊疗提供硬件支撑。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五、文化建设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医院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围绕举旗帜、聚民心、育新人、兴文化、展形象的使命任务，以文化人，在传承中育新义、在孕育中正本源，把医院文化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融入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机构管理与事业发展全过程。积极培育、打造妇幼健康文化特色品牌，大力弘扬全行业关心妇女、关爱儿童的价值文化，以妇女儿童健康为中心的管理文化，关注生命全周期的服务文化，体现妇幼特色的形象文化和与时俱进的创新文化。</w:t>
      </w:r>
    </w:p>
    <w:sectPr>
      <w:footerReference r:id="rId5" w:type="first"/>
      <w:footerReference r:id="rId3" w:type="default"/>
      <w:footerReference r:id="rId4" w:type="even"/>
      <w:pgSz w:w="11906" w:h="16838"/>
      <w:pgMar w:top="1440" w:right="1800" w:bottom="1440" w:left="1800" w:header="851" w:footer="992" w:gutter="0"/>
      <w:pgNumType w:fmt="numberInDash"/>
      <w:cols w:space="0" w:num="1"/>
      <w:titlePg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2010600030101010101"/>
    <w:charset w:val="7A"/>
    <w:family w:val="auto"/>
    <w:pitch w:val="default"/>
    <w:sig w:usb0="00000000" w:usb1="00000000" w:usb2="00000006" w:usb3="00000000" w:csb0="00040001" w:csb1="00000000"/>
  </w:font>
  <w:font w:name="Wingdings">
    <w:altName w:val="GWZT-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GWZT-E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altName w:val="方正楷体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rhfn7MQIAAGE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uhoXX2o+guYO8vCVu8sj2miet6ujgFidhpHgXpVBt0weV2XhlcSR/vPfRf1+GdY&#10;/g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WAAAAZHJzL1BLAQIUABQAAAAIAIdO4kCzSVju0AAAAAUBAAAPAAAAAAAAAAEAIAAAADgAAABk&#10;cnMvZG93bnJldi54bWxQSwECFAAUAAAACACHTuJAa4X5+zECAABhBAAADgAAAAAAAAABACAAAAA1&#10;AQAAZHJzL2Uyb0RvYy54bWxQSwUGAAAAAAYABgBZAQAA2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- 2 -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WAAAAZHJzL1BLAQIUABQAAAAIAIdO4kCzSVju0AAAAAUBAAAPAAAAAAAAAAEAIAAAADgAAABk&#10;cnMvZG93bnJldi54bWxQSwECFAAUAAAACACHTuJAJIJGtDECAABhBAAADgAAAAAAAAABACAAAAA1&#10;AQAAZHJzL2Uyb0RvYy54bWxQSwUGAAAAAAYABgBZAQAA2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- 2 -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FgAAAGRycy9QSwECFAAUAAAACACHTuJAs0lY7tAAAAAFAQAADwAAAAAAAAABACAAAAA4AAAA&#10;ZHJzL2Rvd25yZXYueG1sUEsBAhQAFAAAAAgAh07iQLqMOCsyAgAAYQQAAA4AAAAAAAAAAQAgAAAA&#10;NQEAAGRycy9lMm9Eb2MueG1sUEsFBgAAAAAGAAYAWQEAANk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ZhZTZjODZiNThkZDM4MTQwYzg0NDMyYTQ5YjAxNGIifQ=="/>
  </w:docVars>
  <w:rsids>
    <w:rsidRoot w:val="14C30EEC"/>
    <w:rsid w:val="00C33653"/>
    <w:rsid w:val="01602093"/>
    <w:rsid w:val="023B303E"/>
    <w:rsid w:val="02EC5A8F"/>
    <w:rsid w:val="04E63479"/>
    <w:rsid w:val="0521114E"/>
    <w:rsid w:val="05B95E28"/>
    <w:rsid w:val="07250484"/>
    <w:rsid w:val="0760466C"/>
    <w:rsid w:val="089248E5"/>
    <w:rsid w:val="097E7AC3"/>
    <w:rsid w:val="0B8C1CD4"/>
    <w:rsid w:val="0BFE313E"/>
    <w:rsid w:val="0CD25E17"/>
    <w:rsid w:val="0D8A1D87"/>
    <w:rsid w:val="0DB717F6"/>
    <w:rsid w:val="0EE634A6"/>
    <w:rsid w:val="0F277263"/>
    <w:rsid w:val="10067489"/>
    <w:rsid w:val="10851A69"/>
    <w:rsid w:val="109C54E1"/>
    <w:rsid w:val="11310CD2"/>
    <w:rsid w:val="113C0AE4"/>
    <w:rsid w:val="13BD6782"/>
    <w:rsid w:val="13C6345A"/>
    <w:rsid w:val="14C30EEC"/>
    <w:rsid w:val="157F52EF"/>
    <w:rsid w:val="177D317A"/>
    <w:rsid w:val="1AA43DCB"/>
    <w:rsid w:val="1CC26829"/>
    <w:rsid w:val="1CDD4EE7"/>
    <w:rsid w:val="1D777EBE"/>
    <w:rsid w:val="1E2F4056"/>
    <w:rsid w:val="1F0F4880"/>
    <w:rsid w:val="20017284"/>
    <w:rsid w:val="209675E1"/>
    <w:rsid w:val="21885277"/>
    <w:rsid w:val="21997739"/>
    <w:rsid w:val="21C443C4"/>
    <w:rsid w:val="21FF0F4E"/>
    <w:rsid w:val="22E542B8"/>
    <w:rsid w:val="243A3AB5"/>
    <w:rsid w:val="260718DB"/>
    <w:rsid w:val="28B409B4"/>
    <w:rsid w:val="290A4D09"/>
    <w:rsid w:val="2AE22F06"/>
    <w:rsid w:val="2B620B9B"/>
    <w:rsid w:val="2BB77E64"/>
    <w:rsid w:val="2BFC26B8"/>
    <w:rsid w:val="2C0F0E5A"/>
    <w:rsid w:val="2C232903"/>
    <w:rsid w:val="2C642A24"/>
    <w:rsid w:val="2CE657FC"/>
    <w:rsid w:val="2DAF5BEE"/>
    <w:rsid w:val="2E096C68"/>
    <w:rsid w:val="310E0E7D"/>
    <w:rsid w:val="31467413"/>
    <w:rsid w:val="321B6E54"/>
    <w:rsid w:val="32DA18C3"/>
    <w:rsid w:val="333378C0"/>
    <w:rsid w:val="339B1C9C"/>
    <w:rsid w:val="34B00BC9"/>
    <w:rsid w:val="36384484"/>
    <w:rsid w:val="366B28CE"/>
    <w:rsid w:val="36D641AB"/>
    <w:rsid w:val="3961618E"/>
    <w:rsid w:val="3A1A4D37"/>
    <w:rsid w:val="3A6677DF"/>
    <w:rsid w:val="3AFD443D"/>
    <w:rsid w:val="3B1D4ADF"/>
    <w:rsid w:val="3C3025F0"/>
    <w:rsid w:val="3E060422"/>
    <w:rsid w:val="3EDB7732"/>
    <w:rsid w:val="40C97A5C"/>
    <w:rsid w:val="40F516C3"/>
    <w:rsid w:val="41D61543"/>
    <w:rsid w:val="43BE4985"/>
    <w:rsid w:val="441D74B3"/>
    <w:rsid w:val="44D744D2"/>
    <w:rsid w:val="45B778DE"/>
    <w:rsid w:val="46535859"/>
    <w:rsid w:val="466E53BB"/>
    <w:rsid w:val="46AC4F69"/>
    <w:rsid w:val="47EC7D13"/>
    <w:rsid w:val="486F33E3"/>
    <w:rsid w:val="4A06662F"/>
    <w:rsid w:val="4B346060"/>
    <w:rsid w:val="4B440AC5"/>
    <w:rsid w:val="4B8E10E1"/>
    <w:rsid w:val="4C2656E5"/>
    <w:rsid w:val="4C580A5D"/>
    <w:rsid w:val="4C9B49E4"/>
    <w:rsid w:val="4D267823"/>
    <w:rsid w:val="4D732C11"/>
    <w:rsid w:val="4DF7781B"/>
    <w:rsid w:val="4FAB400F"/>
    <w:rsid w:val="508E6A71"/>
    <w:rsid w:val="521C2FA3"/>
    <w:rsid w:val="525A6314"/>
    <w:rsid w:val="52A86F2C"/>
    <w:rsid w:val="5392524A"/>
    <w:rsid w:val="53DC242E"/>
    <w:rsid w:val="5461492C"/>
    <w:rsid w:val="55253577"/>
    <w:rsid w:val="556C4241"/>
    <w:rsid w:val="55EC4149"/>
    <w:rsid w:val="5687457C"/>
    <w:rsid w:val="56A6325E"/>
    <w:rsid w:val="56B63EBC"/>
    <w:rsid w:val="573D5A44"/>
    <w:rsid w:val="583F7922"/>
    <w:rsid w:val="58CD3249"/>
    <w:rsid w:val="59044790"/>
    <w:rsid w:val="59486D73"/>
    <w:rsid w:val="59812B86"/>
    <w:rsid w:val="59D036FC"/>
    <w:rsid w:val="5AFE16EB"/>
    <w:rsid w:val="5C0D1304"/>
    <w:rsid w:val="5C4E46A0"/>
    <w:rsid w:val="5C7B276E"/>
    <w:rsid w:val="5C871960"/>
    <w:rsid w:val="5CD13BC1"/>
    <w:rsid w:val="5D135E9A"/>
    <w:rsid w:val="5D524931"/>
    <w:rsid w:val="5D753F2F"/>
    <w:rsid w:val="5F4B3119"/>
    <w:rsid w:val="5F677827"/>
    <w:rsid w:val="5F730DD8"/>
    <w:rsid w:val="5FFF5CB2"/>
    <w:rsid w:val="606D5108"/>
    <w:rsid w:val="627352E3"/>
    <w:rsid w:val="627E3805"/>
    <w:rsid w:val="632131B2"/>
    <w:rsid w:val="63FD0E82"/>
    <w:rsid w:val="64BD6E3E"/>
    <w:rsid w:val="652E102B"/>
    <w:rsid w:val="65D025CA"/>
    <w:rsid w:val="65DA51F7"/>
    <w:rsid w:val="66392C6E"/>
    <w:rsid w:val="67C55761"/>
    <w:rsid w:val="68782ECA"/>
    <w:rsid w:val="689125E1"/>
    <w:rsid w:val="68EB36E0"/>
    <w:rsid w:val="695F2778"/>
    <w:rsid w:val="6A281B46"/>
    <w:rsid w:val="6C3E0382"/>
    <w:rsid w:val="6CBC2C6E"/>
    <w:rsid w:val="6EB968C8"/>
    <w:rsid w:val="6F3040D9"/>
    <w:rsid w:val="70DA254F"/>
    <w:rsid w:val="71602DD0"/>
    <w:rsid w:val="71AD1A11"/>
    <w:rsid w:val="753A79B9"/>
    <w:rsid w:val="758C1CD7"/>
    <w:rsid w:val="77160B97"/>
    <w:rsid w:val="78EC3FFE"/>
    <w:rsid w:val="7A0B3779"/>
    <w:rsid w:val="7A0C01CD"/>
    <w:rsid w:val="7BEFD1F2"/>
    <w:rsid w:val="7E617E0B"/>
    <w:rsid w:val="7F9E2999"/>
    <w:rsid w:val="7FD3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5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link w:val="16"/>
    <w:qFormat/>
    <w:uiPriority w:val="0"/>
    <w:rPr>
      <w:rFonts w:ascii="宋体" w:hAnsi="宋体"/>
      <w:b/>
      <w:bCs/>
      <w:sz w:val="24"/>
    </w:rPr>
  </w:style>
  <w:style w:type="paragraph" w:styleId="3">
    <w:name w:val="Date"/>
    <w:basedOn w:val="1"/>
    <w:next w:val="1"/>
    <w:qFormat/>
    <w:uiPriority w:val="0"/>
    <w:rPr>
      <w:color w:val="000000"/>
      <w:kern w:val="0"/>
      <w:sz w:val="30"/>
    </w:r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toc 1"/>
    <w:basedOn w:val="1"/>
    <w:next w:val="1"/>
    <w:qFormat/>
    <w:uiPriority w:val="0"/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Hyperlink"/>
    <w:basedOn w:val="12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正文文本 Char"/>
    <w:basedOn w:val="12"/>
    <w:link w:val="2"/>
    <w:qFormat/>
    <w:uiPriority w:val="0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jpe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1553</Words>
  <Characters>1660</Characters>
  <Lines>0</Lines>
  <Paragraphs>0</Paragraphs>
  <TotalTime>184</TotalTime>
  <ScaleCrop>false</ScaleCrop>
  <LinksUpToDate>false</LinksUpToDate>
  <CharactersWithSpaces>1661</CharactersWithSpaces>
  <Application>WPS Office_11.8.2.12065_F1E327BC-269C-435d-A152-05C5408002CA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2023-02-06T11:08:00Z</dcterms:created>
  <dc:creator>椰</dc:creator>
  <cp:lastModifiedBy>江</cp:lastModifiedBy>
  <dcterms:modified xsi:type="dcterms:W3CDTF">2026-06-15T15:22:27Z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2052-11.8.2.12065</vt:lpwstr>
  </property>
  <property fmtid="{D5CDD505-2E9C-101B-9397-08002B2CF9AE}" pid="3" name="ICV">
    <vt:lpwstr>3222C6A0DE73335D33A82F6A11675FAB</vt:lpwstr>
  </property>
  <property fmtid="{D5CDD505-2E9C-101B-9397-08002B2CF9AE}" pid="4" name="KSOTemplateDocerSaveRecord">
    <vt:lpwstr>eyJoZGlkIjoiMDZhZTZjODZiNThkZDM4MTQwYzg0NDMyYTQ5YjAxNGIiLCJ1c2VySWQiOiI2MjAzMTg2NTgifQ==</vt:lpwstr>
  </property>
</Properties>
</file>