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珠海市市场监督管理局关于2025年珠海市衣料用液体洗涤剂产品质量监督抽查结果的通告</w:t>
      </w:r>
    </w:p>
    <w:p>
      <w:pPr>
        <w:spacing w:line="560" w:lineRule="exact"/>
        <w:ind w:firstLine="640" w:firstLineChars="200"/>
        <w:rPr>
          <w:rFonts w:ascii="仿宋" w:hAnsi="仿宋" w:eastAsia="仿宋" w:cs="仿宋"/>
          <w:sz w:val="32"/>
          <w:szCs w:val="32"/>
        </w:rPr>
      </w:pP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中华人民共和国产品质量法》《广东省产品质量监督条例》及《产品质量监督抽查管理暂行办法》等相关规定，2025年，珠海市市场监督管理局开展了衣料用液体洗涤剂产品质量监督抽查工作，现将有关情况通告如下：</w:t>
      </w:r>
    </w:p>
    <w:p>
      <w:pPr>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一、基本情况</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本次抽查涉及流通领域2家企业销售的3批次衣料用液体洗涤剂产品。经检验，未发现质量不合格产品。</w:t>
      </w:r>
    </w:p>
    <w:p>
      <w:pPr>
        <w:spacing w:line="560" w:lineRule="exact"/>
        <w:ind w:firstLine="640" w:firstLineChars="200"/>
        <w:rPr>
          <w:rFonts w:ascii="仿宋" w:hAnsi="仿宋" w:eastAsia="仿宋" w:cs="仿宋"/>
          <w:sz w:val="32"/>
          <w:szCs w:val="32"/>
        </w:rPr>
      </w:pPr>
      <w:r>
        <w:rPr>
          <w:rFonts w:hint="eastAsia" w:ascii="黑体" w:hAnsi="黑体" w:eastAsia="黑体" w:cs="黑体"/>
          <w:sz w:val="32"/>
          <w:szCs w:val="32"/>
        </w:rPr>
        <w:t>二、抽查结果分析</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本次监督抽查依据《衣料用液体洗涤剂产品质量监督抽查实施细则》（2025年版），对衣料用液体洗涤剂的pH值、总活性物、五氧化二磷、规定污布的去污力等4个项目进行了检测。</w:t>
      </w:r>
      <w:r>
        <w:rPr>
          <w:rFonts w:hint="eastAsia" w:ascii="仿宋_GB2312" w:hAnsi="仿宋_GB2312" w:eastAsia="仿宋_GB2312" w:cs="仿宋_GB2312"/>
          <w:sz w:val="32"/>
          <w:szCs w:val="32"/>
          <w:lang w:eastAsia="zh-CN"/>
        </w:rPr>
        <w:t>经检验，</w:t>
      </w:r>
      <w:r>
        <w:rPr>
          <w:rFonts w:hint="eastAsia" w:ascii="仿宋_GB2312" w:hAnsi="仿宋_GB2312" w:eastAsia="仿宋_GB2312" w:cs="仿宋_GB2312"/>
          <w:sz w:val="32"/>
          <w:szCs w:val="32"/>
        </w:rPr>
        <w:t>未发现不合格项目。</w:t>
      </w:r>
    </w:p>
    <w:p>
      <w:pPr>
        <w:numPr>
          <w:ilvl w:val="0"/>
          <w:numId w:val="1"/>
        </w:numPr>
        <w:spacing w:line="560" w:lineRule="exact"/>
        <w:ind w:firstLine="640" w:firstLineChars="200"/>
        <w:rPr>
          <w:rFonts w:ascii="黑体" w:hAnsi="黑体" w:eastAsia="黑体" w:cs="黑体"/>
          <w:sz w:val="32"/>
          <w:szCs w:val="32"/>
        </w:rPr>
      </w:pPr>
      <w:r>
        <w:rPr>
          <w:rFonts w:hint="eastAsia" w:ascii="黑体" w:hAnsi="黑体" w:eastAsia="黑体" w:cs="黑体"/>
          <w:sz w:val="32"/>
          <w:szCs w:val="32"/>
        </w:rPr>
        <w:t>抽检企业及产品清单</w:t>
      </w:r>
    </w:p>
    <w:tbl>
      <w:tblPr>
        <w:tblStyle w:val="6"/>
        <w:tblW w:w="5000" w:type="pct"/>
        <w:tblInd w:w="0" w:type="dxa"/>
        <w:tblLayout w:type="autofit"/>
        <w:tblCellMar>
          <w:top w:w="0" w:type="dxa"/>
          <w:left w:w="108" w:type="dxa"/>
          <w:bottom w:w="0" w:type="dxa"/>
          <w:right w:w="108" w:type="dxa"/>
        </w:tblCellMar>
      </w:tblPr>
      <w:tblGrid>
        <w:gridCol w:w="645"/>
        <w:gridCol w:w="2420"/>
        <w:gridCol w:w="1898"/>
        <w:gridCol w:w="833"/>
        <w:gridCol w:w="898"/>
        <w:gridCol w:w="1476"/>
        <w:gridCol w:w="1118"/>
      </w:tblGrid>
      <w:tr>
        <w:tblPrEx>
          <w:tblCellMar>
            <w:top w:w="0" w:type="dxa"/>
            <w:left w:w="108" w:type="dxa"/>
            <w:bottom w:w="0" w:type="dxa"/>
            <w:right w:w="108" w:type="dxa"/>
          </w:tblCellMar>
        </w:tblPrEx>
        <w:trPr>
          <w:trHeight w:val="864" w:hRule="atLeast"/>
        </w:trPr>
        <w:tc>
          <w:tcPr>
            <w:tcW w:w="347"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 w:hAnsi="仿宋" w:eastAsia="仿宋" w:cs="宋体"/>
                <w:color w:val="000000"/>
                <w:kern w:val="0"/>
                <w:sz w:val="18"/>
                <w:szCs w:val="18"/>
              </w:rPr>
            </w:pPr>
            <w:r>
              <w:rPr>
                <w:rFonts w:hint="eastAsia" w:ascii="黑体" w:hAnsi="黑体" w:eastAsia="黑体" w:cs="黑体"/>
                <w:sz w:val="24"/>
                <w:szCs w:val="24"/>
              </w:rPr>
              <w:t>序号</w:t>
            </w:r>
          </w:p>
        </w:tc>
        <w:tc>
          <w:tcPr>
            <w:tcW w:w="130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 w:hAnsi="仿宋" w:eastAsia="仿宋" w:cs="宋体"/>
                <w:kern w:val="0"/>
                <w:sz w:val="18"/>
                <w:szCs w:val="18"/>
              </w:rPr>
            </w:pPr>
            <w:r>
              <w:rPr>
                <w:rFonts w:hint="eastAsia" w:ascii="黑体" w:hAnsi="黑体" w:eastAsia="黑体" w:cs="黑体"/>
                <w:sz w:val="24"/>
                <w:szCs w:val="24"/>
              </w:rPr>
              <w:t>受检单位名称</w:t>
            </w:r>
          </w:p>
        </w:tc>
        <w:tc>
          <w:tcPr>
            <w:tcW w:w="1021"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黑体" w:hAnsi="黑体" w:eastAsia="黑体" w:cs="黑体"/>
                <w:sz w:val="24"/>
                <w:szCs w:val="24"/>
              </w:rPr>
            </w:pPr>
            <w:r>
              <w:rPr>
                <w:rFonts w:hint="eastAsia" w:ascii="黑体" w:hAnsi="黑体" w:eastAsia="黑体" w:cs="黑体"/>
                <w:sz w:val="24"/>
                <w:szCs w:val="24"/>
              </w:rPr>
              <w:t>产品</w:t>
            </w:r>
          </w:p>
          <w:p>
            <w:pPr>
              <w:widowControl/>
              <w:jc w:val="center"/>
              <w:rPr>
                <w:rFonts w:ascii="黑体" w:hAnsi="黑体" w:eastAsia="黑体" w:cs="黑体"/>
                <w:sz w:val="24"/>
                <w:szCs w:val="24"/>
              </w:rPr>
            </w:pPr>
            <w:r>
              <w:rPr>
                <w:rFonts w:hint="eastAsia" w:ascii="黑体" w:hAnsi="黑体" w:eastAsia="黑体" w:cs="黑体"/>
                <w:sz w:val="24"/>
                <w:szCs w:val="24"/>
              </w:rPr>
              <w:t>名称</w:t>
            </w:r>
          </w:p>
        </w:tc>
        <w:tc>
          <w:tcPr>
            <w:tcW w:w="448"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黑体" w:hAnsi="黑体" w:eastAsia="黑体" w:cs="黑体"/>
                <w:sz w:val="24"/>
                <w:szCs w:val="24"/>
              </w:rPr>
            </w:pPr>
            <w:r>
              <w:rPr>
                <w:rFonts w:hint="eastAsia" w:ascii="黑体" w:hAnsi="黑体" w:eastAsia="黑体" w:cs="黑体"/>
                <w:sz w:val="24"/>
                <w:szCs w:val="24"/>
              </w:rPr>
              <w:t>商标</w:t>
            </w:r>
          </w:p>
        </w:tc>
        <w:tc>
          <w:tcPr>
            <w:tcW w:w="483" w:type="pct"/>
            <w:tcBorders>
              <w:top w:val="single" w:color="auto" w:sz="4" w:space="0"/>
              <w:left w:val="nil"/>
              <w:bottom w:val="single" w:color="auto" w:sz="4" w:space="0"/>
              <w:right w:val="single" w:color="auto" w:sz="4" w:space="0"/>
            </w:tcBorders>
            <w:shd w:val="clear" w:color="000000" w:fill="FFFFFF"/>
            <w:vAlign w:val="center"/>
          </w:tcPr>
          <w:p>
            <w:pPr>
              <w:widowControl/>
              <w:jc w:val="center"/>
              <w:rPr>
                <w:rFonts w:ascii="黑体" w:hAnsi="黑体" w:eastAsia="黑体" w:cs="黑体"/>
                <w:sz w:val="24"/>
                <w:szCs w:val="24"/>
              </w:rPr>
            </w:pPr>
            <w:r>
              <w:rPr>
                <w:rFonts w:hint="eastAsia" w:ascii="黑体" w:hAnsi="黑体" w:eastAsia="黑体" w:cs="黑体"/>
                <w:sz w:val="24"/>
                <w:szCs w:val="24"/>
              </w:rPr>
              <w:t>型号</w:t>
            </w:r>
          </w:p>
          <w:p>
            <w:pPr>
              <w:widowControl/>
              <w:jc w:val="center"/>
              <w:rPr>
                <w:rFonts w:ascii="黑体" w:hAnsi="黑体" w:eastAsia="黑体" w:cs="黑体"/>
                <w:sz w:val="24"/>
                <w:szCs w:val="24"/>
              </w:rPr>
            </w:pPr>
            <w:r>
              <w:rPr>
                <w:rFonts w:hint="eastAsia" w:ascii="黑体" w:hAnsi="黑体" w:eastAsia="黑体" w:cs="黑体"/>
                <w:sz w:val="24"/>
                <w:szCs w:val="24"/>
              </w:rPr>
              <w:t>规格</w:t>
            </w:r>
          </w:p>
        </w:tc>
        <w:tc>
          <w:tcPr>
            <w:tcW w:w="79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黑体" w:hAnsi="黑体" w:eastAsia="黑体" w:cs="黑体"/>
                <w:sz w:val="24"/>
                <w:szCs w:val="24"/>
              </w:rPr>
            </w:pPr>
            <w:r>
              <w:rPr>
                <w:rFonts w:hint="eastAsia" w:ascii="黑体" w:hAnsi="黑体" w:eastAsia="黑体" w:cs="黑体"/>
                <w:sz w:val="24"/>
                <w:szCs w:val="24"/>
              </w:rPr>
              <w:t>生产批号</w:t>
            </w:r>
          </w:p>
        </w:tc>
        <w:tc>
          <w:tcPr>
            <w:tcW w:w="601"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黑体" w:hAnsi="黑体" w:eastAsia="黑体" w:cs="黑体"/>
                <w:sz w:val="24"/>
                <w:szCs w:val="24"/>
              </w:rPr>
            </w:pPr>
            <w:r>
              <w:rPr>
                <w:rFonts w:hint="eastAsia" w:ascii="黑体" w:hAnsi="黑体" w:eastAsia="黑体" w:cs="黑体"/>
                <w:sz w:val="24"/>
                <w:szCs w:val="24"/>
              </w:rPr>
              <w:t>检验</w:t>
            </w:r>
          </w:p>
          <w:p>
            <w:pPr>
              <w:widowControl/>
              <w:jc w:val="center"/>
              <w:rPr>
                <w:rFonts w:ascii="仿宋" w:hAnsi="仿宋" w:eastAsia="仿宋" w:cs="宋体"/>
                <w:kern w:val="0"/>
                <w:sz w:val="18"/>
                <w:szCs w:val="18"/>
              </w:rPr>
            </w:pPr>
            <w:r>
              <w:rPr>
                <w:rFonts w:hint="eastAsia" w:ascii="黑体" w:hAnsi="黑体" w:eastAsia="黑体" w:cs="黑体"/>
                <w:sz w:val="24"/>
                <w:szCs w:val="24"/>
              </w:rPr>
              <w:t>结论</w:t>
            </w:r>
          </w:p>
        </w:tc>
      </w:tr>
      <w:tr>
        <w:tblPrEx>
          <w:tblCellMar>
            <w:top w:w="0" w:type="dxa"/>
            <w:left w:w="108" w:type="dxa"/>
            <w:bottom w:w="0" w:type="dxa"/>
            <w:right w:w="108" w:type="dxa"/>
          </w:tblCellMar>
        </w:tblPrEx>
        <w:trPr>
          <w:trHeight w:val="656" w:hRule="atLeast"/>
        </w:trPr>
        <w:tc>
          <w:tcPr>
            <w:tcW w:w="34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2"/>
              <w:numPr>
                <w:ilvl w:val="0"/>
                <w:numId w:val="2"/>
              </w:numPr>
              <w:spacing w:line="300" w:lineRule="exact"/>
              <w:ind w:firstLineChars="0"/>
              <w:jc w:val="center"/>
              <w:rPr>
                <w:rFonts w:ascii="仿宋" w:hAnsi="仿宋" w:eastAsia="仿宋"/>
                <w:sz w:val="18"/>
                <w:szCs w:val="18"/>
              </w:rPr>
            </w:pPr>
          </w:p>
        </w:tc>
        <w:tc>
          <w:tcPr>
            <w:tcW w:w="1302" w:type="pct"/>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jc w:val="center"/>
              <w:rPr>
                <w:rFonts w:ascii="仿宋" w:hAnsi="仿宋" w:eastAsia="仿宋"/>
                <w:sz w:val="18"/>
                <w:szCs w:val="18"/>
              </w:rPr>
            </w:pPr>
            <w:r>
              <w:rPr>
                <w:rFonts w:hint="eastAsia" w:ascii="仿宋" w:hAnsi="仿宋" w:eastAsia="仿宋"/>
                <w:sz w:val="18"/>
                <w:szCs w:val="18"/>
              </w:rPr>
              <w:t>珠海鹏泰优选超市有限公司</w:t>
            </w:r>
          </w:p>
        </w:tc>
        <w:tc>
          <w:tcPr>
            <w:tcW w:w="1021" w:type="pct"/>
            <w:tcBorders>
              <w:top w:val="single" w:color="auto" w:sz="4" w:space="0"/>
              <w:left w:val="nil"/>
              <w:bottom w:val="single" w:color="auto" w:sz="4" w:space="0"/>
              <w:right w:val="single" w:color="auto" w:sz="4" w:space="0"/>
            </w:tcBorders>
            <w:shd w:val="clear" w:color="000000" w:fill="FFFFFF"/>
            <w:vAlign w:val="center"/>
          </w:tcPr>
          <w:p>
            <w:pPr>
              <w:widowControl/>
              <w:adjustRightInd w:val="0"/>
              <w:snapToGrid w:val="0"/>
              <w:jc w:val="center"/>
              <w:rPr>
                <w:rFonts w:ascii="仿宋" w:hAnsi="仿宋" w:eastAsia="仿宋"/>
                <w:sz w:val="18"/>
                <w:szCs w:val="18"/>
              </w:rPr>
            </w:pPr>
            <w:r>
              <w:rPr>
                <w:rFonts w:hint="eastAsia" w:ascii="仿宋" w:hAnsi="仿宋" w:eastAsia="仿宋"/>
                <w:sz w:val="18"/>
                <w:szCs w:val="18"/>
              </w:rPr>
              <w:t>冷水快洗洗衣液</w:t>
            </w:r>
          </w:p>
        </w:tc>
        <w:tc>
          <w:tcPr>
            <w:tcW w:w="448" w:type="pct"/>
            <w:tcBorders>
              <w:top w:val="single" w:color="auto" w:sz="4" w:space="0"/>
              <w:left w:val="nil"/>
              <w:bottom w:val="single" w:color="auto" w:sz="4" w:space="0"/>
              <w:right w:val="single" w:color="auto" w:sz="4" w:space="0"/>
            </w:tcBorders>
            <w:shd w:val="clear" w:color="000000" w:fill="FFFFFF"/>
            <w:vAlign w:val="center"/>
          </w:tcPr>
          <w:p>
            <w:pPr>
              <w:widowControl/>
              <w:adjustRightInd w:val="0"/>
              <w:snapToGrid w:val="0"/>
              <w:jc w:val="center"/>
              <w:rPr>
                <w:rFonts w:ascii="仿宋" w:hAnsi="仿宋" w:eastAsia="仿宋"/>
                <w:sz w:val="18"/>
                <w:szCs w:val="18"/>
              </w:rPr>
            </w:pPr>
            <w:r>
              <w:rPr>
                <w:rFonts w:hint="eastAsia" w:ascii="仿宋" w:hAnsi="仿宋" w:eastAsia="仿宋"/>
                <w:sz w:val="18"/>
                <w:szCs w:val="18"/>
              </w:rPr>
              <w:t>奇强</w:t>
            </w:r>
          </w:p>
        </w:tc>
        <w:tc>
          <w:tcPr>
            <w:tcW w:w="483" w:type="pct"/>
            <w:tcBorders>
              <w:top w:val="single" w:color="auto" w:sz="4" w:space="0"/>
              <w:left w:val="nil"/>
              <w:bottom w:val="single" w:color="auto" w:sz="4" w:space="0"/>
              <w:right w:val="single" w:color="auto" w:sz="4" w:space="0"/>
            </w:tcBorders>
            <w:shd w:val="clear" w:color="000000" w:fill="FFFFFF"/>
            <w:vAlign w:val="center"/>
          </w:tcPr>
          <w:p>
            <w:pPr>
              <w:widowControl/>
              <w:adjustRightInd w:val="0"/>
              <w:snapToGrid w:val="0"/>
              <w:jc w:val="center"/>
              <w:rPr>
                <w:rFonts w:ascii="仿宋" w:hAnsi="仿宋" w:eastAsia="仿宋"/>
                <w:sz w:val="18"/>
                <w:szCs w:val="18"/>
              </w:rPr>
            </w:pPr>
            <w:r>
              <w:rPr>
                <w:rFonts w:hint="eastAsia" w:ascii="仿宋" w:hAnsi="仿宋" w:eastAsia="仿宋"/>
                <w:sz w:val="18"/>
                <w:szCs w:val="18"/>
              </w:rPr>
              <w:t>蔚蓝海岸</w:t>
            </w:r>
          </w:p>
        </w:tc>
        <w:tc>
          <w:tcPr>
            <w:tcW w:w="794" w:type="pct"/>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jc w:val="center"/>
              <w:rPr>
                <w:rFonts w:ascii="仿宋" w:hAnsi="仿宋" w:eastAsia="仿宋"/>
                <w:sz w:val="18"/>
                <w:szCs w:val="18"/>
              </w:rPr>
            </w:pPr>
            <w:r>
              <w:rPr>
                <w:rFonts w:hint="eastAsia" w:ascii="仿宋" w:hAnsi="仿宋" w:eastAsia="仿宋"/>
                <w:sz w:val="18"/>
                <w:szCs w:val="18"/>
              </w:rPr>
              <w:t>YC202806252E01</w:t>
            </w:r>
          </w:p>
        </w:tc>
        <w:tc>
          <w:tcPr>
            <w:tcW w:w="601" w:type="pct"/>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jc w:val="center"/>
              <w:rPr>
                <w:rFonts w:ascii="仿宋" w:hAnsi="仿宋" w:eastAsia="仿宋"/>
                <w:sz w:val="18"/>
                <w:szCs w:val="18"/>
              </w:rPr>
            </w:pPr>
            <w:r>
              <w:rPr>
                <w:rFonts w:hint="eastAsia" w:ascii="仿宋" w:hAnsi="仿宋" w:eastAsia="仿宋"/>
                <w:sz w:val="18"/>
                <w:szCs w:val="18"/>
              </w:rPr>
              <w:t>未发现不合格</w:t>
            </w:r>
          </w:p>
        </w:tc>
      </w:tr>
      <w:tr>
        <w:tblPrEx>
          <w:tblCellMar>
            <w:top w:w="0" w:type="dxa"/>
            <w:left w:w="108" w:type="dxa"/>
            <w:bottom w:w="0" w:type="dxa"/>
            <w:right w:w="108" w:type="dxa"/>
          </w:tblCellMar>
        </w:tblPrEx>
        <w:trPr>
          <w:trHeight w:val="656" w:hRule="atLeast"/>
        </w:trPr>
        <w:tc>
          <w:tcPr>
            <w:tcW w:w="34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2"/>
              <w:numPr>
                <w:ilvl w:val="0"/>
                <w:numId w:val="2"/>
              </w:numPr>
              <w:spacing w:line="300" w:lineRule="exact"/>
              <w:ind w:firstLineChars="0"/>
              <w:jc w:val="center"/>
              <w:rPr>
                <w:rFonts w:ascii="仿宋" w:hAnsi="仿宋" w:eastAsia="仿宋"/>
                <w:sz w:val="18"/>
                <w:szCs w:val="18"/>
              </w:rPr>
            </w:pPr>
          </w:p>
        </w:tc>
        <w:tc>
          <w:tcPr>
            <w:tcW w:w="1302" w:type="pct"/>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jc w:val="center"/>
              <w:rPr>
                <w:rFonts w:hint="eastAsia" w:ascii="仿宋" w:hAnsi="仿宋" w:eastAsia="仿宋"/>
                <w:sz w:val="18"/>
                <w:szCs w:val="18"/>
              </w:rPr>
            </w:pPr>
            <w:r>
              <w:rPr>
                <w:rFonts w:hint="eastAsia" w:ascii="仿宋" w:hAnsi="仿宋" w:eastAsia="仿宋"/>
                <w:sz w:val="18"/>
                <w:szCs w:val="18"/>
              </w:rPr>
              <w:t>沃尔玛（珠海）商业零售有限公司</w:t>
            </w:r>
          </w:p>
        </w:tc>
        <w:tc>
          <w:tcPr>
            <w:tcW w:w="1021" w:type="pct"/>
            <w:tcBorders>
              <w:top w:val="single" w:color="auto" w:sz="4" w:space="0"/>
              <w:left w:val="nil"/>
              <w:bottom w:val="single" w:color="auto" w:sz="4" w:space="0"/>
              <w:right w:val="single" w:color="auto" w:sz="4" w:space="0"/>
            </w:tcBorders>
            <w:shd w:val="clear" w:color="000000" w:fill="FFFFFF"/>
            <w:vAlign w:val="center"/>
          </w:tcPr>
          <w:p>
            <w:pPr>
              <w:widowControl/>
              <w:adjustRightInd w:val="0"/>
              <w:snapToGrid w:val="0"/>
              <w:jc w:val="center"/>
              <w:rPr>
                <w:rFonts w:hint="eastAsia" w:ascii="仿宋" w:hAnsi="仿宋" w:eastAsia="仿宋"/>
                <w:sz w:val="18"/>
                <w:szCs w:val="18"/>
              </w:rPr>
            </w:pPr>
            <w:r>
              <w:rPr>
                <w:rFonts w:hint="eastAsia" w:ascii="仿宋" w:hAnsi="仿宋" w:eastAsia="仿宋"/>
                <w:sz w:val="18"/>
                <w:szCs w:val="18"/>
              </w:rPr>
              <w:t>柔软洗衣液</w:t>
            </w:r>
          </w:p>
        </w:tc>
        <w:tc>
          <w:tcPr>
            <w:tcW w:w="448" w:type="pct"/>
            <w:tcBorders>
              <w:top w:val="single" w:color="auto" w:sz="4" w:space="0"/>
              <w:left w:val="nil"/>
              <w:bottom w:val="single" w:color="auto" w:sz="4" w:space="0"/>
              <w:right w:val="single" w:color="auto" w:sz="4" w:space="0"/>
            </w:tcBorders>
            <w:shd w:val="clear" w:color="000000" w:fill="FFFFFF"/>
            <w:vAlign w:val="center"/>
          </w:tcPr>
          <w:p>
            <w:pPr>
              <w:widowControl/>
              <w:adjustRightInd w:val="0"/>
              <w:snapToGrid w:val="0"/>
              <w:jc w:val="center"/>
              <w:rPr>
                <w:rFonts w:hint="eastAsia" w:ascii="仿宋" w:hAnsi="仿宋" w:eastAsia="仿宋"/>
                <w:sz w:val="18"/>
                <w:szCs w:val="18"/>
              </w:rPr>
            </w:pPr>
            <w:r>
              <w:rPr>
                <w:rFonts w:hint="eastAsia" w:ascii="仿宋" w:hAnsi="仿宋" w:eastAsia="仿宋"/>
                <w:sz w:val="18"/>
                <w:szCs w:val="18"/>
              </w:rPr>
              <w:t>芭菲</w:t>
            </w:r>
          </w:p>
        </w:tc>
        <w:tc>
          <w:tcPr>
            <w:tcW w:w="483" w:type="pct"/>
            <w:tcBorders>
              <w:top w:val="single" w:color="auto" w:sz="4" w:space="0"/>
              <w:left w:val="nil"/>
              <w:bottom w:val="single" w:color="auto" w:sz="4" w:space="0"/>
              <w:right w:val="single" w:color="auto" w:sz="4" w:space="0"/>
            </w:tcBorders>
            <w:shd w:val="clear" w:color="000000" w:fill="FFFFFF"/>
            <w:vAlign w:val="center"/>
          </w:tcPr>
          <w:p>
            <w:pPr>
              <w:widowControl/>
              <w:adjustRightInd w:val="0"/>
              <w:snapToGrid w:val="0"/>
              <w:jc w:val="center"/>
              <w:rPr>
                <w:rFonts w:hint="eastAsia" w:ascii="仿宋" w:hAnsi="仿宋" w:eastAsia="仿宋"/>
                <w:sz w:val="18"/>
                <w:szCs w:val="18"/>
              </w:rPr>
            </w:pPr>
            <w:r>
              <w:rPr>
                <w:rFonts w:ascii="仿宋" w:hAnsi="仿宋" w:eastAsia="仿宋"/>
                <w:sz w:val="18"/>
                <w:szCs w:val="18"/>
              </w:rPr>
              <w:t>700g</w:t>
            </w:r>
          </w:p>
        </w:tc>
        <w:tc>
          <w:tcPr>
            <w:tcW w:w="794" w:type="pct"/>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jc w:val="center"/>
              <w:rPr>
                <w:rFonts w:hint="eastAsia" w:ascii="仿宋" w:hAnsi="仿宋" w:eastAsia="仿宋"/>
                <w:sz w:val="18"/>
                <w:szCs w:val="18"/>
              </w:rPr>
            </w:pPr>
            <w:r>
              <w:rPr>
                <w:rFonts w:hint="eastAsia" w:ascii="仿宋" w:hAnsi="仿宋" w:eastAsia="仿宋"/>
                <w:sz w:val="18"/>
                <w:szCs w:val="18"/>
              </w:rPr>
              <w:t>——</w:t>
            </w:r>
          </w:p>
        </w:tc>
        <w:tc>
          <w:tcPr>
            <w:tcW w:w="601" w:type="pct"/>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jc w:val="center"/>
              <w:rPr>
                <w:rFonts w:hint="eastAsia" w:ascii="仿宋" w:hAnsi="仿宋" w:eastAsia="仿宋"/>
                <w:sz w:val="18"/>
                <w:szCs w:val="18"/>
              </w:rPr>
            </w:pPr>
            <w:r>
              <w:rPr>
                <w:rFonts w:hint="eastAsia" w:ascii="仿宋" w:hAnsi="仿宋" w:eastAsia="仿宋"/>
                <w:sz w:val="18"/>
                <w:szCs w:val="18"/>
              </w:rPr>
              <w:t>未发现不合格</w:t>
            </w:r>
          </w:p>
        </w:tc>
      </w:tr>
      <w:tr>
        <w:tblPrEx>
          <w:tblCellMar>
            <w:top w:w="0" w:type="dxa"/>
            <w:left w:w="108" w:type="dxa"/>
            <w:bottom w:w="0" w:type="dxa"/>
            <w:right w:w="108" w:type="dxa"/>
          </w:tblCellMar>
        </w:tblPrEx>
        <w:trPr>
          <w:trHeight w:val="850" w:hRule="atLeast"/>
        </w:trPr>
        <w:tc>
          <w:tcPr>
            <w:tcW w:w="34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2"/>
              <w:numPr>
                <w:ilvl w:val="0"/>
                <w:numId w:val="2"/>
              </w:numPr>
              <w:spacing w:line="300" w:lineRule="exact"/>
              <w:ind w:firstLineChars="0"/>
              <w:jc w:val="center"/>
              <w:rPr>
                <w:rFonts w:ascii="仿宋" w:hAnsi="仿宋" w:eastAsia="仿宋"/>
                <w:sz w:val="18"/>
                <w:szCs w:val="18"/>
              </w:rPr>
            </w:pPr>
          </w:p>
        </w:tc>
        <w:tc>
          <w:tcPr>
            <w:tcW w:w="1302" w:type="pct"/>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jc w:val="center"/>
              <w:rPr>
                <w:rFonts w:ascii="仿宋" w:hAnsi="仿宋" w:eastAsia="仿宋"/>
                <w:sz w:val="18"/>
                <w:szCs w:val="18"/>
              </w:rPr>
            </w:pPr>
            <w:r>
              <w:rPr>
                <w:rFonts w:hint="eastAsia" w:ascii="仿宋" w:hAnsi="仿宋" w:eastAsia="仿宋"/>
                <w:sz w:val="18"/>
                <w:szCs w:val="18"/>
              </w:rPr>
              <w:t>珠海鹏泰优选超市有限公司</w:t>
            </w:r>
          </w:p>
        </w:tc>
        <w:tc>
          <w:tcPr>
            <w:tcW w:w="1021" w:type="pct"/>
            <w:tcBorders>
              <w:top w:val="single" w:color="auto" w:sz="4" w:space="0"/>
              <w:left w:val="nil"/>
              <w:bottom w:val="single" w:color="auto" w:sz="4" w:space="0"/>
              <w:right w:val="single" w:color="auto" w:sz="4" w:space="0"/>
            </w:tcBorders>
            <w:shd w:val="clear" w:color="000000" w:fill="FFFFFF"/>
            <w:vAlign w:val="center"/>
          </w:tcPr>
          <w:p>
            <w:pPr>
              <w:widowControl/>
              <w:adjustRightInd w:val="0"/>
              <w:snapToGrid w:val="0"/>
              <w:jc w:val="center"/>
              <w:rPr>
                <w:rFonts w:ascii="仿宋" w:hAnsi="仿宋" w:eastAsia="仿宋"/>
                <w:sz w:val="18"/>
                <w:szCs w:val="18"/>
              </w:rPr>
            </w:pPr>
            <w:r>
              <w:rPr>
                <w:rFonts w:hint="eastAsia" w:ascii="仿宋" w:hAnsi="仿宋" w:eastAsia="仿宋"/>
                <w:sz w:val="18"/>
                <w:szCs w:val="18"/>
              </w:rPr>
              <w:t>除菌*除螨内衣精致洗衣液</w:t>
            </w:r>
          </w:p>
        </w:tc>
        <w:tc>
          <w:tcPr>
            <w:tcW w:w="448" w:type="pct"/>
            <w:tcBorders>
              <w:top w:val="single" w:color="auto" w:sz="4" w:space="0"/>
              <w:left w:val="nil"/>
              <w:bottom w:val="single" w:color="auto" w:sz="4" w:space="0"/>
              <w:right w:val="single" w:color="auto" w:sz="4" w:space="0"/>
            </w:tcBorders>
            <w:shd w:val="clear" w:color="000000" w:fill="FFFFFF"/>
            <w:vAlign w:val="center"/>
          </w:tcPr>
          <w:p>
            <w:pPr>
              <w:widowControl/>
              <w:adjustRightInd w:val="0"/>
              <w:snapToGrid w:val="0"/>
              <w:jc w:val="center"/>
              <w:rPr>
                <w:rFonts w:ascii="仿宋" w:hAnsi="仿宋" w:eastAsia="仿宋"/>
                <w:sz w:val="18"/>
                <w:szCs w:val="18"/>
              </w:rPr>
            </w:pPr>
            <w:r>
              <w:rPr>
                <w:rFonts w:hint="eastAsia" w:ascii="仿宋" w:hAnsi="仿宋" w:eastAsia="仿宋"/>
                <w:sz w:val="18"/>
                <w:szCs w:val="18"/>
              </w:rPr>
              <w:t>时尚优家</w:t>
            </w:r>
          </w:p>
        </w:tc>
        <w:tc>
          <w:tcPr>
            <w:tcW w:w="483" w:type="pct"/>
            <w:tcBorders>
              <w:top w:val="single" w:color="auto" w:sz="4" w:space="0"/>
              <w:left w:val="nil"/>
              <w:bottom w:val="single" w:color="auto" w:sz="4" w:space="0"/>
              <w:right w:val="single" w:color="auto" w:sz="4" w:space="0"/>
            </w:tcBorders>
            <w:shd w:val="clear" w:color="000000" w:fill="FFFFFF"/>
            <w:vAlign w:val="center"/>
          </w:tcPr>
          <w:p>
            <w:pPr>
              <w:widowControl/>
              <w:adjustRightInd w:val="0"/>
              <w:snapToGrid w:val="0"/>
              <w:jc w:val="center"/>
              <w:rPr>
                <w:rFonts w:ascii="仿宋" w:hAnsi="仿宋" w:eastAsia="仿宋"/>
                <w:sz w:val="18"/>
                <w:szCs w:val="18"/>
              </w:rPr>
            </w:pPr>
            <w:r>
              <w:rPr>
                <w:rFonts w:hint="eastAsia" w:ascii="仿宋" w:hAnsi="仿宋" w:eastAsia="仿宋"/>
                <w:sz w:val="18"/>
                <w:szCs w:val="18"/>
              </w:rPr>
              <w:t>A-296#</w:t>
            </w:r>
          </w:p>
        </w:tc>
        <w:tc>
          <w:tcPr>
            <w:tcW w:w="794" w:type="pct"/>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jc w:val="center"/>
              <w:rPr>
                <w:rFonts w:ascii="仿宋" w:hAnsi="仿宋" w:eastAsia="仿宋"/>
                <w:sz w:val="18"/>
                <w:szCs w:val="18"/>
              </w:rPr>
            </w:pPr>
            <w:r>
              <w:rPr>
                <w:rFonts w:hint="eastAsia" w:ascii="仿宋" w:hAnsi="仿宋" w:eastAsia="仿宋"/>
                <w:sz w:val="18"/>
                <w:szCs w:val="18"/>
              </w:rPr>
              <w:t>20241116A30</w:t>
            </w:r>
          </w:p>
        </w:tc>
        <w:tc>
          <w:tcPr>
            <w:tcW w:w="601" w:type="pct"/>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jc w:val="center"/>
              <w:rPr>
                <w:rFonts w:ascii="仿宋" w:hAnsi="仿宋" w:eastAsia="仿宋"/>
                <w:sz w:val="18"/>
                <w:szCs w:val="18"/>
              </w:rPr>
            </w:pPr>
            <w:r>
              <w:rPr>
                <w:rFonts w:hint="eastAsia" w:ascii="仿宋" w:hAnsi="仿宋" w:eastAsia="仿宋"/>
                <w:sz w:val="18"/>
                <w:szCs w:val="18"/>
              </w:rPr>
              <w:t>未发现不合格</w:t>
            </w:r>
          </w:p>
        </w:tc>
      </w:tr>
    </w:tbl>
    <w:p>
      <w:pPr>
        <w:spacing w:line="578" w:lineRule="exact"/>
        <w:rPr>
          <w:rFonts w:ascii="仿宋" w:hAnsi="仿宋" w:eastAsia="仿宋" w:cs="仿宋"/>
          <w:sz w:val="32"/>
          <w:szCs w:val="32"/>
        </w:rPr>
      </w:pPr>
    </w:p>
    <w:sectPr>
      <w:pgSz w:w="11906" w:h="16838"/>
      <w:pgMar w:top="1587" w:right="1417" w:bottom="158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FB" w:usb2="0000002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Arial"/>
    <w:panose1 w:val="020F0502020204030204"/>
    <w:charset w:val="00"/>
    <w:family w:val="swiss"/>
    <w:pitch w:val="default"/>
    <w:sig w:usb0="00000000" w:usb1="00000000" w:usb2="00000001" w:usb3="00000000" w:csb0="0000019F" w:csb1="00000000"/>
  </w:font>
  <w:font w:name="Arial">
    <w:panose1 w:val="020B0604020202020204"/>
    <w:charset w:val="00"/>
    <w:family w:val="auto"/>
    <w:pitch w:val="default"/>
    <w:sig w:usb0="E0002AFF" w:usb1="C00078FB" w:usb2="00000029" w:usb3="00000000" w:csb0="400001FF" w:csb1="FFFF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6B01DF"/>
    <w:multiLevelType w:val="multilevel"/>
    <w:tmpl w:val="786B01DF"/>
    <w:lvl w:ilvl="0" w:tentative="0">
      <w:start w:val="1"/>
      <w:numFmt w:val="decimal"/>
      <w:suff w:val="nothing"/>
      <w:lvlText w:val="%1"/>
      <w:lvlJc w:val="right"/>
      <w:pPr>
        <w:ind w:left="0" w:firstLine="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BAC4AB2"/>
    <w:multiLevelType w:val="singleLevel"/>
    <w:tmpl w:val="7BAC4AB2"/>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iYjVjNWI5MzAzZTZmMWUwMWJlOWMwMWQxNmZkMjMifQ=="/>
  </w:docVars>
  <w:rsids>
    <w:rsidRoot w:val="00E767C5"/>
    <w:rsid w:val="000048D3"/>
    <w:rsid w:val="000755F4"/>
    <w:rsid w:val="000D5A1F"/>
    <w:rsid w:val="000F3574"/>
    <w:rsid w:val="001013F1"/>
    <w:rsid w:val="00146C75"/>
    <w:rsid w:val="001C72C5"/>
    <w:rsid w:val="00221376"/>
    <w:rsid w:val="00277195"/>
    <w:rsid w:val="002D6312"/>
    <w:rsid w:val="00300C87"/>
    <w:rsid w:val="00382170"/>
    <w:rsid w:val="003A3668"/>
    <w:rsid w:val="004302F6"/>
    <w:rsid w:val="0048566A"/>
    <w:rsid w:val="004D0214"/>
    <w:rsid w:val="005226AE"/>
    <w:rsid w:val="005508E0"/>
    <w:rsid w:val="005C2F30"/>
    <w:rsid w:val="005E5177"/>
    <w:rsid w:val="005F3304"/>
    <w:rsid w:val="00655C32"/>
    <w:rsid w:val="00723D61"/>
    <w:rsid w:val="00730E44"/>
    <w:rsid w:val="00783517"/>
    <w:rsid w:val="00805BCC"/>
    <w:rsid w:val="00811219"/>
    <w:rsid w:val="008A2A56"/>
    <w:rsid w:val="008C1FAA"/>
    <w:rsid w:val="008C6674"/>
    <w:rsid w:val="008D64DD"/>
    <w:rsid w:val="008F4924"/>
    <w:rsid w:val="009A3A98"/>
    <w:rsid w:val="00A02C52"/>
    <w:rsid w:val="00A46067"/>
    <w:rsid w:val="00A5306F"/>
    <w:rsid w:val="00A63022"/>
    <w:rsid w:val="00B44056"/>
    <w:rsid w:val="00B632E2"/>
    <w:rsid w:val="00B9089B"/>
    <w:rsid w:val="00B96F8E"/>
    <w:rsid w:val="00B97545"/>
    <w:rsid w:val="00B97B1F"/>
    <w:rsid w:val="00C13521"/>
    <w:rsid w:val="00C424CF"/>
    <w:rsid w:val="00C76697"/>
    <w:rsid w:val="00D71290"/>
    <w:rsid w:val="00D75278"/>
    <w:rsid w:val="00DE0B87"/>
    <w:rsid w:val="00E75062"/>
    <w:rsid w:val="00E767C5"/>
    <w:rsid w:val="00EF2332"/>
    <w:rsid w:val="00F5250C"/>
    <w:rsid w:val="03525155"/>
    <w:rsid w:val="0E6816B2"/>
    <w:rsid w:val="16640722"/>
    <w:rsid w:val="19120228"/>
    <w:rsid w:val="25BD2428"/>
    <w:rsid w:val="2DCC49F2"/>
    <w:rsid w:val="2F8B7BFE"/>
    <w:rsid w:val="37C43DED"/>
    <w:rsid w:val="381B055E"/>
    <w:rsid w:val="3BDFDA82"/>
    <w:rsid w:val="3D8C7CFA"/>
    <w:rsid w:val="3FB3BF56"/>
    <w:rsid w:val="3FDD39F8"/>
    <w:rsid w:val="40DA033F"/>
    <w:rsid w:val="44BB0340"/>
    <w:rsid w:val="452F31D2"/>
    <w:rsid w:val="47A42BD5"/>
    <w:rsid w:val="4A82670C"/>
    <w:rsid w:val="4CFB27A6"/>
    <w:rsid w:val="4D7F5185"/>
    <w:rsid w:val="4F1638C7"/>
    <w:rsid w:val="51D8679A"/>
    <w:rsid w:val="543B28EB"/>
    <w:rsid w:val="5A455061"/>
    <w:rsid w:val="5E5D0BCB"/>
    <w:rsid w:val="5EB86788"/>
    <w:rsid w:val="5FEFCBC6"/>
    <w:rsid w:val="67DF2072"/>
    <w:rsid w:val="681947C1"/>
    <w:rsid w:val="68ED7898"/>
    <w:rsid w:val="6A7D507C"/>
    <w:rsid w:val="721BF0ED"/>
    <w:rsid w:val="7655127C"/>
    <w:rsid w:val="775E029C"/>
    <w:rsid w:val="7C044924"/>
    <w:rsid w:val="7EFB8CF0"/>
    <w:rsid w:val="7FB79D40"/>
    <w:rsid w:val="8DBB271C"/>
    <w:rsid w:val="B5F742F2"/>
    <w:rsid w:val="C1DF2E3F"/>
    <w:rsid w:val="C7780E84"/>
    <w:rsid w:val="CDEE35A7"/>
    <w:rsid w:val="E93720B0"/>
    <w:rsid w:val="F7ABBEAA"/>
    <w:rsid w:val="FAFF87CC"/>
    <w:rsid w:val="FBDD416C"/>
    <w:rsid w:val="FF997E7A"/>
    <w:rsid w:val="FFFA3E9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9"/>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rPr>
  </w:style>
  <w:style w:type="character" w:customStyle="1" w:styleId="9">
    <w:name w:val="标题 1 Char"/>
    <w:basedOn w:val="7"/>
    <w:link w:val="2"/>
    <w:qFormat/>
    <w:uiPriority w:val="9"/>
    <w:rPr>
      <w:rFonts w:ascii="宋体" w:hAnsi="宋体" w:eastAsia="宋体" w:cs="宋体"/>
      <w:b/>
      <w:bCs/>
      <w:kern w:val="36"/>
      <w:sz w:val="48"/>
      <w:szCs w:val="48"/>
    </w:rPr>
  </w:style>
  <w:style w:type="character" w:customStyle="1" w:styleId="10">
    <w:name w:val="页眉 Char"/>
    <w:basedOn w:val="7"/>
    <w:link w:val="4"/>
    <w:qFormat/>
    <w:uiPriority w:val="99"/>
    <w:rPr>
      <w:sz w:val="18"/>
      <w:szCs w:val="18"/>
    </w:rPr>
  </w:style>
  <w:style w:type="character" w:customStyle="1" w:styleId="11">
    <w:name w:val="页脚 Char"/>
    <w:basedOn w:val="7"/>
    <w:link w:val="3"/>
    <w:qFormat/>
    <w:uiPriority w:val="99"/>
    <w:rPr>
      <w:sz w:val="18"/>
      <w:szCs w:val="18"/>
    </w:rPr>
  </w:style>
  <w:style w:type="paragraph"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Pages>
  <Words>83</Words>
  <Characters>475</Characters>
  <Lines>3</Lines>
  <Paragraphs>1</Paragraphs>
  <TotalTime>26</TotalTime>
  <ScaleCrop>false</ScaleCrop>
  <LinksUpToDate>false</LinksUpToDate>
  <CharactersWithSpaces>557</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2024-12-10T11:15:00Z</dcterms:created>
  <dc:creator>615</dc:creator>
  <cp:lastModifiedBy>admin1</cp:lastModifiedBy>
  <cp:lastPrinted>2023-01-10T14:46:00Z</cp:lastPrinted>
  <dcterms:modified xsi:type="dcterms:W3CDTF">2026-05-11T16:56:24Z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04428DBC035F478992325ABE585E445F</vt:lpwstr>
  </property>
</Properties>
</file>