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珠海市市场监督管理局关于2025年珠海市电动自行车电池产品质量监督抽查结果的通告</w:t>
      </w:r>
    </w:p>
    <w:p>
      <w:pPr>
        <w:widowControl/>
        <w:shd w:val="clear" w:color="auto" w:fill="FFFFFF"/>
        <w:wordWrap w:val="0"/>
        <w:spacing w:line="560" w:lineRule="exact"/>
        <w:ind w:firstLine="640" w:firstLineChars="200"/>
        <w:jc w:val="left"/>
        <w:rPr>
          <w:rFonts w:ascii="仿宋" w:hAnsi="仿宋" w:eastAsia="仿宋" w:cs="仿宋"/>
          <w:sz w:val="32"/>
          <w:szCs w:val="32"/>
        </w:rPr>
      </w:pPr>
    </w:p>
    <w:p>
      <w:pPr>
        <w:widowControl/>
        <w:shd w:val="clear" w:color="auto" w:fill="FFFFFF"/>
        <w:wordWrap w:val="0"/>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产品质量法》《广东省产品质量监督条例》及《产品质量监督抽查管理暂行办法》等相关规定，2025年,珠海市市场监督管理局开展了电动自行车电池产品质量监督抽查工作，现将有关情况通告如下：</w:t>
      </w:r>
    </w:p>
    <w:p>
      <w:pPr>
        <w:widowControl/>
        <w:shd w:val="clear" w:color="auto" w:fill="FFFFFF"/>
        <w:wordWrap w:val="0"/>
        <w:spacing w:line="560" w:lineRule="exact"/>
        <w:ind w:firstLine="640" w:firstLineChars="200"/>
        <w:jc w:val="left"/>
        <w:rPr>
          <w:rFonts w:ascii="微软雅黑" w:hAnsi="微软雅黑" w:eastAsia="微软雅黑" w:cs="宋体"/>
          <w:color w:val="424242"/>
          <w:kern w:val="0"/>
          <w:sz w:val="27"/>
          <w:szCs w:val="27"/>
        </w:rPr>
      </w:pPr>
      <w:r>
        <w:rPr>
          <w:rFonts w:hint="eastAsia" w:ascii="黑体" w:hAnsi="黑体" w:eastAsia="黑体" w:cs="黑体"/>
          <w:sz w:val="32"/>
          <w:szCs w:val="32"/>
        </w:rPr>
        <w:t>一、基本情况</w:t>
      </w:r>
    </w:p>
    <w:p>
      <w:pPr>
        <w:widowControl/>
        <w:shd w:val="clear" w:color="auto" w:fill="FFFFFF"/>
        <w:wordWrap w:val="0"/>
        <w:spacing w:line="560" w:lineRule="exact"/>
        <w:ind w:firstLine="640" w:firstLineChars="200"/>
        <w:jc w:val="left"/>
        <w:rPr>
          <w:rFonts w:ascii="仿宋_GB2312" w:hAnsi="仿宋_GB2312" w:eastAsia="仿宋_GB2312" w:cs="仿宋_GB2312"/>
          <w:color w:val="424242"/>
          <w:kern w:val="0"/>
          <w:sz w:val="27"/>
          <w:szCs w:val="27"/>
        </w:rPr>
      </w:pPr>
      <w:r>
        <w:rPr>
          <w:rFonts w:hint="eastAsia" w:ascii="仿宋_GB2312" w:hAnsi="仿宋_GB2312" w:eastAsia="仿宋_GB2312" w:cs="仿宋_GB2312"/>
          <w:sz w:val="32"/>
          <w:szCs w:val="32"/>
        </w:rPr>
        <w:t>本次抽查涉及我市销售企业。抽查了流通领域3家企业销售的3批次电动自行车电池产品。经检验，未发现质量不合格产品。</w:t>
      </w:r>
    </w:p>
    <w:p>
      <w:pPr>
        <w:widowControl/>
        <w:shd w:val="clear" w:color="auto" w:fill="FFFFFF"/>
        <w:wordWrap w:val="0"/>
        <w:spacing w:line="560" w:lineRule="exact"/>
        <w:ind w:firstLine="640" w:firstLineChars="200"/>
        <w:jc w:val="left"/>
        <w:rPr>
          <w:rFonts w:ascii="微软雅黑" w:hAnsi="微软雅黑" w:eastAsia="微软雅黑" w:cs="宋体"/>
          <w:color w:val="424242"/>
          <w:kern w:val="0"/>
          <w:sz w:val="27"/>
          <w:szCs w:val="27"/>
        </w:rPr>
      </w:pPr>
      <w:r>
        <w:rPr>
          <w:rFonts w:hint="eastAsia" w:ascii="黑体" w:hAnsi="黑体" w:eastAsia="黑体" w:cs="黑体"/>
          <w:sz w:val="32"/>
          <w:szCs w:val="32"/>
        </w:rPr>
        <w:t>二、抽查结果分析</w:t>
      </w:r>
    </w:p>
    <w:p>
      <w:pPr>
        <w:widowControl/>
        <w:shd w:val="clear" w:color="auto" w:fill="FFFFFF"/>
        <w:wordWrap w:val="0"/>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本次监督抽查依据《锂离子电池产品质量监督抽查实施细则》，对电动助力车用阀控式铅酸蓄电池产品的2hr容量、大电流放电、能量密度、快速充电能力、防爆能力等5个项目进行了检测。</w:t>
      </w:r>
      <w:bookmarkStart w:id="0" w:name="_GoBack"/>
      <w:bookmarkEnd w:id="0"/>
      <w:r>
        <w:rPr>
          <w:rFonts w:hint="eastAsia" w:ascii="仿宋_GB2312" w:hAnsi="仿宋_GB2312" w:eastAsia="仿宋_GB2312" w:cs="仿宋_GB2312"/>
          <w:sz w:val="32"/>
          <w:szCs w:val="32"/>
        </w:rPr>
        <w:t>未发现不合格项目。</w:t>
      </w:r>
    </w:p>
    <w:p>
      <w:pPr>
        <w:widowControl/>
        <w:shd w:val="clear" w:color="auto" w:fill="FFFFFF"/>
        <w:wordWrap w:val="0"/>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三、抽检企业及产品清单</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773"/>
        <w:gridCol w:w="1394"/>
        <w:gridCol w:w="1018"/>
        <w:gridCol w:w="2111"/>
        <w:gridCol w:w="1295"/>
        <w:gridCol w:w="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trPr>
        <w:tc>
          <w:tcPr>
            <w:tcW w:w="389" w:type="pct"/>
            <w:shd w:val="clear" w:color="auto" w:fill="FFFFFF"/>
            <w:vAlign w:val="center"/>
          </w:tcPr>
          <w:p>
            <w:pPr>
              <w:spacing w:after="0" w:line="300" w:lineRule="exact"/>
              <w:jc w:val="center"/>
              <w:rPr>
                <w:rFonts w:ascii="黑体" w:hAnsi="黑体" w:eastAsia="黑体" w:cs="黑体"/>
                <w:sz w:val="24"/>
                <w:szCs w:val="24"/>
              </w:rPr>
            </w:pPr>
            <w:r>
              <w:rPr>
                <w:rFonts w:hint="eastAsia" w:ascii="黑体" w:hAnsi="黑体" w:eastAsia="黑体" w:cs="黑体"/>
                <w:sz w:val="24"/>
                <w:szCs w:val="24"/>
              </w:rPr>
              <w:t>序号</w:t>
            </w:r>
          </w:p>
        </w:tc>
        <w:tc>
          <w:tcPr>
            <w:tcW w:w="954" w:type="pct"/>
            <w:shd w:val="clear" w:color="auto" w:fill="FFFFFF"/>
            <w:vAlign w:val="center"/>
          </w:tcPr>
          <w:p>
            <w:pPr>
              <w:spacing w:after="0" w:line="300" w:lineRule="exact"/>
              <w:jc w:val="center"/>
              <w:rPr>
                <w:rFonts w:ascii="黑体" w:hAnsi="黑体" w:eastAsia="黑体" w:cs="黑体"/>
                <w:sz w:val="24"/>
                <w:szCs w:val="24"/>
              </w:rPr>
            </w:pPr>
            <w:r>
              <w:rPr>
                <w:rFonts w:hint="eastAsia" w:ascii="黑体" w:hAnsi="黑体" w:eastAsia="黑体" w:cs="黑体"/>
                <w:sz w:val="24"/>
                <w:szCs w:val="24"/>
              </w:rPr>
              <w:t>受检单位名称</w:t>
            </w:r>
          </w:p>
        </w:tc>
        <w:tc>
          <w:tcPr>
            <w:tcW w:w="750" w:type="pct"/>
            <w:shd w:val="clear" w:color="auto" w:fill="FFFFFF"/>
            <w:vAlign w:val="center"/>
          </w:tcPr>
          <w:p>
            <w:pPr>
              <w:spacing w:after="0" w:line="300" w:lineRule="exact"/>
              <w:jc w:val="center"/>
              <w:rPr>
                <w:rFonts w:ascii="黑体" w:hAnsi="黑体" w:eastAsia="黑体" w:cs="黑体"/>
                <w:sz w:val="24"/>
                <w:szCs w:val="24"/>
              </w:rPr>
            </w:pPr>
            <w:r>
              <w:rPr>
                <w:rFonts w:hint="eastAsia" w:ascii="黑体" w:hAnsi="黑体" w:eastAsia="黑体" w:cs="黑体"/>
                <w:sz w:val="24"/>
                <w:szCs w:val="24"/>
              </w:rPr>
              <w:t>产品名称</w:t>
            </w:r>
          </w:p>
        </w:tc>
        <w:tc>
          <w:tcPr>
            <w:tcW w:w="548" w:type="pct"/>
            <w:shd w:val="clear" w:color="auto" w:fill="FFFFFF"/>
            <w:vAlign w:val="center"/>
          </w:tcPr>
          <w:p>
            <w:pPr>
              <w:spacing w:after="0" w:line="300" w:lineRule="exact"/>
              <w:jc w:val="center"/>
              <w:rPr>
                <w:rFonts w:ascii="黑体" w:hAnsi="黑体" w:eastAsia="黑体" w:cs="黑体"/>
                <w:sz w:val="24"/>
                <w:szCs w:val="24"/>
              </w:rPr>
            </w:pPr>
            <w:r>
              <w:rPr>
                <w:rFonts w:hint="eastAsia" w:ascii="黑体" w:hAnsi="黑体" w:eastAsia="黑体" w:cs="黑体"/>
                <w:sz w:val="24"/>
                <w:szCs w:val="24"/>
              </w:rPr>
              <w:t>商标</w:t>
            </w:r>
          </w:p>
        </w:tc>
        <w:tc>
          <w:tcPr>
            <w:tcW w:w="1136" w:type="pct"/>
            <w:shd w:val="clear" w:color="auto" w:fill="FFFFFF"/>
            <w:vAlign w:val="center"/>
          </w:tcPr>
          <w:p>
            <w:pPr>
              <w:spacing w:after="0" w:line="300" w:lineRule="exact"/>
              <w:jc w:val="center"/>
              <w:rPr>
                <w:rFonts w:ascii="黑体" w:hAnsi="黑体" w:eastAsia="黑体" w:cs="黑体"/>
                <w:sz w:val="24"/>
                <w:szCs w:val="24"/>
              </w:rPr>
            </w:pPr>
            <w:r>
              <w:rPr>
                <w:rFonts w:hint="eastAsia" w:ascii="黑体" w:hAnsi="黑体" w:eastAsia="黑体" w:cs="黑体"/>
                <w:sz w:val="24"/>
                <w:szCs w:val="24"/>
              </w:rPr>
              <w:t>型号规格</w:t>
            </w:r>
          </w:p>
        </w:tc>
        <w:tc>
          <w:tcPr>
            <w:tcW w:w="697" w:type="pct"/>
            <w:shd w:val="clear" w:color="auto" w:fill="FFFFFF"/>
            <w:vAlign w:val="center"/>
          </w:tcPr>
          <w:p>
            <w:pPr>
              <w:spacing w:after="0" w:line="300" w:lineRule="exact"/>
              <w:jc w:val="center"/>
              <w:rPr>
                <w:rFonts w:ascii="黑体" w:hAnsi="黑体" w:eastAsia="黑体" w:cs="黑体"/>
                <w:sz w:val="24"/>
                <w:szCs w:val="24"/>
              </w:rPr>
            </w:pPr>
            <w:r>
              <w:rPr>
                <w:rFonts w:hint="eastAsia" w:ascii="黑体" w:hAnsi="黑体" w:eastAsia="黑体" w:cs="黑体"/>
                <w:sz w:val="24"/>
                <w:szCs w:val="24"/>
              </w:rPr>
              <w:t>生产日期</w:t>
            </w:r>
          </w:p>
        </w:tc>
        <w:tc>
          <w:tcPr>
            <w:tcW w:w="521" w:type="pct"/>
            <w:shd w:val="clear" w:color="auto" w:fill="FFFFFF"/>
            <w:vAlign w:val="center"/>
          </w:tcPr>
          <w:p>
            <w:pPr>
              <w:spacing w:after="0" w:line="300" w:lineRule="exact"/>
              <w:jc w:val="center"/>
              <w:rPr>
                <w:rFonts w:ascii="黑体" w:hAnsi="黑体" w:eastAsia="黑体" w:cs="黑体"/>
                <w:sz w:val="24"/>
                <w:szCs w:val="24"/>
              </w:rPr>
            </w:pPr>
            <w:r>
              <w:rPr>
                <w:rFonts w:hint="eastAsia" w:ascii="黑体" w:hAnsi="黑体" w:eastAsia="黑体" w:cs="黑体"/>
                <w:sz w:val="24"/>
                <w:szCs w:val="24"/>
              </w:rPr>
              <w:t>检验结论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389" w:type="pct"/>
            <w:shd w:val="clear" w:color="auto" w:fill="FFFFFF"/>
            <w:vAlign w:val="center"/>
          </w:tcPr>
          <w:p>
            <w:pPr>
              <w:spacing w:after="0" w:line="240" w:lineRule="auto"/>
              <w:jc w:val="center"/>
              <w:textAlignment w:val="top"/>
              <w:rPr>
                <w:rFonts w:ascii="仿宋" w:hAnsi="仿宋" w:eastAsia="仿宋" w:cs="仿宋_GB2312"/>
                <w:szCs w:val="21"/>
              </w:rPr>
            </w:pPr>
            <w:r>
              <w:rPr>
                <w:rFonts w:hint="eastAsia" w:ascii="仿宋" w:hAnsi="仿宋" w:eastAsia="仿宋" w:cs="仿宋_GB2312"/>
                <w:szCs w:val="21"/>
              </w:rPr>
              <w:t>1</w:t>
            </w:r>
          </w:p>
        </w:tc>
        <w:tc>
          <w:tcPr>
            <w:tcW w:w="954" w:type="pct"/>
            <w:shd w:val="clear" w:color="000000" w:fill="FFFFFF"/>
            <w:vAlign w:val="center"/>
          </w:tcPr>
          <w:p>
            <w:pPr>
              <w:spacing w:after="0" w:line="240" w:lineRule="auto"/>
              <w:jc w:val="center"/>
              <w:rPr>
                <w:rFonts w:ascii="仿宋" w:hAnsi="仿宋" w:eastAsia="仿宋"/>
                <w:szCs w:val="21"/>
              </w:rPr>
            </w:pPr>
            <w:r>
              <w:rPr>
                <w:rFonts w:hint="eastAsia" w:ascii="仿宋" w:hAnsi="仿宋" w:eastAsia="仿宋"/>
                <w:szCs w:val="21"/>
              </w:rPr>
              <w:t>珠海市金湾区新兄弟车行（个体工商户）</w:t>
            </w:r>
          </w:p>
        </w:tc>
        <w:tc>
          <w:tcPr>
            <w:tcW w:w="750" w:type="pct"/>
            <w:shd w:val="clear" w:color="auto" w:fill="FFFFFF"/>
            <w:vAlign w:val="center"/>
          </w:tcPr>
          <w:p>
            <w:pPr>
              <w:spacing w:after="0" w:line="240" w:lineRule="auto"/>
              <w:jc w:val="center"/>
              <w:rPr>
                <w:rFonts w:ascii="仿宋" w:hAnsi="仿宋" w:eastAsia="仿宋"/>
                <w:szCs w:val="21"/>
              </w:rPr>
            </w:pPr>
            <w:r>
              <w:rPr>
                <w:rFonts w:hint="eastAsia" w:ascii="仿宋" w:hAnsi="仿宋" w:eastAsia="仿宋"/>
                <w:szCs w:val="21"/>
              </w:rPr>
              <w:t>小刀电动车超威电池</w:t>
            </w:r>
          </w:p>
        </w:tc>
        <w:tc>
          <w:tcPr>
            <w:tcW w:w="548" w:type="pct"/>
            <w:shd w:val="clear" w:color="auto" w:fill="FFFFFF"/>
            <w:vAlign w:val="center"/>
          </w:tcPr>
          <w:p>
            <w:pPr>
              <w:spacing w:after="0" w:line="240" w:lineRule="auto"/>
              <w:jc w:val="center"/>
              <w:rPr>
                <w:rFonts w:ascii="仿宋" w:hAnsi="仿宋" w:eastAsia="仿宋"/>
                <w:szCs w:val="21"/>
              </w:rPr>
            </w:pPr>
            <w:r>
              <w:rPr>
                <w:rFonts w:hint="eastAsia" w:ascii="仿宋" w:hAnsi="仿宋" w:eastAsia="仿宋"/>
                <w:szCs w:val="21"/>
              </w:rPr>
              <w:t>超威电池</w:t>
            </w:r>
          </w:p>
        </w:tc>
        <w:tc>
          <w:tcPr>
            <w:tcW w:w="1136" w:type="pct"/>
            <w:shd w:val="clear" w:color="auto" w:fill="FFFFFF"/>
            <w:vAlign w:val="center"/>
          </w:tcPr>
          <w:p>
            <w:pPr>
              <w:spacing w:after="0" w:line="240" w:lineRule="auto"/>
              <w:jc w:val="center"/>
              <w:rPr>
                <w:rFonts w:ascii="仿宋" w:hAnsi="仿宋" w:eastAsia="仿宋"/>
                <w:szCs w:val="21"/>
              </w:rPr>
            </w:pPr>
            <w:r>
              <w:rPr>
                <w:rFonts w:hint="eastAsia" w:ascii="仿宋" w:hAnsi="仿宋" w:eastAsia="仿宋"/>
                <w:szCs w:val="21"/>
              </w:rPr>
              <w:t>S-DZF-12</w:t>
            </w:r>
          </w:p>
        </w:tc>
        <w:tc>
          <w:tcPr>
            <w:tcW w:w="697" w:type="pct"/>
            <w:shd w:val="clear" w:color="auto" w:fill="FFFFFF"/>
            <w:vAlign w:val="center"/>
          </w:tcPr>
          <w:p>
            <w:pPr>
              <w:spacing w:after="0" w:line="240" w:lineRule="auto"/>
              <w:jc w:val="center"/>
              <w:rPr>
                <w:rFonts w:ascii="仿宋" w:hAnsi="仿宋" w:eastAsia="仿宋"/>
                <w:szCs w:val="21"/>
              </w:rPr>
            </w:pPr>
            <w:r>
              <w:rPr>
                <w:rFonts w:hint="eastAsia" w:ascii="仿宋" w:hAnsi="仿宋" w:eastAsia="仿宋"/>
                <w:szCs w:val="21"/>
              </w:rPr>
              <w:t>2025/6/5</w:t>
            </w:r>
          </w:p>
        </w:tc>
        <w:tc>
          <w:tcPr>
            <w:tcW w:w="521" w:type="pct"/>
            <w:shd w:val="clear" w:color="auto" w:fill="FFFFFF"/>
            <w:vAlign w:val="center"/>
          </w:tcPr>
          <w:p>
            <w:pPr>
              <w:spacing w:after="0" w:line="240" w:lineRule="auto"/>
              <w:jc w:val="center"/>
              <w:rPr>
                <w:rFonts w:ascii="仿宋" w:hAnsi="仿宋" w:eastAsia="仿宋" w:cs="宋体"/>
                <w:szCs w:val="21"/>
              </w:rPr>
            </w:pPr>
            <w:r>
              <w:rPr>
                <w:rFonts w:hint="eastAsia" w:ascii="仿宋" w:hAnsi="仿宋" w:eastAsia="仿宋"/>
                <w:szCs w:val="21"/>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389" w:type="pct"/>
            <w:shd w:val="clear" w:color="auto" w:fill="FFFFFF"/>
            <w:vAlign w:val="center"/>
          </w:tcPr>
          <w:p>
            <w:pPr>
              <w:spacing w:after="0" w:line="240" w:lineRule="auto"/>
              <w:jc w:val="center"/>
              <w:textAlignment w:val="top"/>
              <w:rPr>
                <w:rFonts w:ascii="仿宋" w:hAnsi="仿宋" w:eastAsia="仿宋" w:cs="仿宋_GB2312"/>
                <w:szCs w:val="21"/>
              </w:rPr>
            </w:pPr>
            <w:r>
              <w:rPr>
                <w:rFonts w:hint="eastAsia" w:ascii="仿宋" w:hAnsi="仿宋" w:eastAsia="仿宋" w:cs="仿宋_GB2312"/>
                <w:szCs w:val="21"/>
              </w:rPr>
              <w:t>2</w:t>
            </w:r>
          </w:p>
        </w:tc>
        <w:tc>
          <w:tcPr>
            <w:tcW w:w="954" w:type="pct"/>
            <w:shd w:val="clear" w:color="000000" w:fill="FFFFFF"/>
            <w:vAlign w:val="center"/>
          </w:tcPr>
          <w:p>
            <w:pPr>
              <w:spacing w:after="0" w:line="240" w:lineRule="auto"/>
              <w:jc w:val="center"/>
              <w:rPr>
                <w:rFonts w:ascii="仿宋" w:hAnsi="仿宋" w:eastAsia="仿宋"/>
                <w:szCs w:val="21"/>
              </w:rPr>
            </w:pPr>
            <w:r>
              <w:rPr>
                <w:rFonts w:hint="eastAsia" w:ascii="仿宋" w:hAnsi="仿宋" w:eastAsia="仿宋"/>
                <w:szCs w:val="21"/>
              </w:rPr>
              <w:t>珠海市金湾区晨圆电动车店</w:t>
            </w:r>
          </w:p>
        </w:tc>
        <w:tc>
          <w:tcPr>
            <w:tcW w:w="750" w:type="pct"/>
            <w:shd w:val="clear" w:color="auto" w:fill="FFFFFF"/>
            <w:vAlign w:val="center"/>
          </w:tcPr>
          <w:p>
            <w:pPr>
              <w:spacing w:after="0" w:line="240" w:lineRule="auto"/>
              <w:jc w:val="center"/>
              <w:rPr>
                <w:rFonts w:ascii="仿宋" w:hAnsi="仿宋" w:eastAsia="仿宋"/>
                <w:szCs w:val="21"/>
              </w:rPr>
            </w:pPr>
            <w:r>
              <w:rPr>
                <w:rFonts w:hint="eastAsia" w:ascii="仿宋" w:hAnsi="仿宋" w:eastAsia="仿宋"/>
                <w:szCs w:val="21"/>
              </w:rPr>
              <w:t>电动自行车用阀控式铅酸蓄电池</w:t>
            </w:r>
          </w:p>
        </w:tc>
        <w:tc>
          <w:tcPr>
            <w:tcW w:w="548" w:type="pct"/>
            <w:shd w:val="clear" w:color="auto" w:fill="FFFFFF"/>
            <w:vAlign w:val="center"/>
          </w:tcPr>
          <w:p>
            <w:pPr>
              <w:spacing w:after="0" w:line="240" w:lineRule="auto"/>
              <w:jc w:val="center"/>
              <w:rPr>
                <w:rFonts w:ascii="仿宋" w:hAnsi="仿宋" w:eastAsia="仿宋"/>
                <w:szCs w:val="21"/>
              </w:rPr>
            </w:pPr>
            <w:r>
              <w:rPr>
                <w:rFonts w:hint="eastAsia" w:ascii="仿宋" w:hAnsi="仿宋" w:eastAsia="仿宋"/>
                <w:szCs w:val="21"/>
              </w:rPr>
              <w:t>超威电池</w:t>
            </w:r>
          </w:p>
        </w:tc>
        <w:tc>
          <w:tcPr>
            <w:tcW w:w="1136" w:type="pct"/>
            <w:shd w:val="clear" w:color="auto" w:fill="FFFFFF"/>
            <w:vAlign w:val="center"/>
          </w:tcPr>
          <w:p>
            <w:pPr>
              <w:spacing w:after="0" w:line="240" w:lineRule="auto"/>
              <w:jc w:val="center"/>
              <w:rPr>
                <w:rFonts w:ascii="仿宋" w:hAnsi="仿宋" w:eastAsia="仿宋"/>
                <w:szCs w:val="21"/>
              </w:rPr>
            </w:pPr>
            <w:r>
              <w:rPr>
                <w:rFonts w:hint="eastAsia" w:ascii="仿宋" w:hAnsi="仿宋" w:eastAsia="仿宋"/>
                <w:szCs w:val="21"/>
              </w:rPr>
              <w:t>S-DZF-12</w:t>
            </w:r>
          </w:p>
        </w:tc>
        <w:tc>
          <w:tcPr>
            <w:tcW w:w="697" w:type="pct"/>
            <w:shd w:val="clear" w:color="auto" w:fill="FFFFFF"/>
            <w:vAlign w:val="center"/>
          </w:tcPr>
          <w:p>
            <w:pPr>
              <w:spacing w:after="0" w:line="240" w:lineRule="auto"/>
              <w:jc w:val="center"/>
              <w:rPr>
                <w:rFonts w:ascii="仿宋" w:hAnsi="仿宋" w:eastAsia="仿宋"/>
                <w:szCs w:val="21"/>
              </w:rPr>
            </w:pPr>
            <w:r>
              <w:rPr>
                <w:rFonts w:hint="eastAsia" w:ascii="仿宋" w:hAnsi="仿宋" w:eastAsia="仿宋"/>
                <w:szCs w:val="21"/>
              </w:rPr>
              <w:t>2025/7/28</w:t>
            </w:r>
          </w:p>
        </w:tc>
        <w:tc>
          <w:tcPr>
            <w:tcW w:w="521" w:type="pct"/>
            <w:shd w:val="clear" w:color="auto" w:fill="FFFFFF"/>
            <w:vAlign w:val="center"/>
          </w:tcPr>
          <w:p>
            <w:pPr>
              <w:spacing w:after="0" w:line="240" w:lineRule="auto"/>
              <w:jc w:val="center"/>
              <w:rPr>
                <w:rFonts w:ascii="仿宋" w:hAnsi="仿宋" w:eastAsia="仿宋" w:cs="宋体"/>
                <w:szCs w:val="21"/>
              </w:rPr>
            </w:pPr>
            <w:r>
              <w:rPr>
                <w:rFonts w:hint="eastAsia" w:ascii="仿宋" w:hAnsi="仿宋" w:eastAsia="仿宋"/>
                <w:szCs w:val="21"/>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389" w:type="pct"/>
            <w:shd w:val="clear" w:color="auto" w:fill="FFFFFF"/>
            <w:vAlign w:val="center"/>
          </w:tcPr>
          <w:p>
            <w:pPr>
              <w:spacing w:after="0" w:line="240" w:lineRule="auto"/>
              <w:jc w:val="center"/>
              <w:textAlignment w:val="top"/>
              <w:rPr>
                <w:rFonts w:ascii="仿宋" w:hAnsi="仿宋" w:eastAsia="仿宋" w:cs="仿宋_GB2312"/>
                <w:szCs w:val="21"/>
              </w:rPr>
            </w:pPr>
            <w:r>
              <w:rPr>
                <w:rFonts w:hint="eastAsia" w:ascii="仿宋" w:hAnsi="仿宋" w:eastAsia="仿宋" w:cs="仿宋_GB2312"/>
                <w:szCs w:val="21"/>
              </w:rPr>
              <w:t>3</w:t>
            </w:r>
          </w:p>
        </w:tc>
        <w:tc>
          <w:tcPr>
            <w:tcW w:w="954" w:type="pct"/>
            <w:shd w:val="clear" w:color="000000" w:fill="FFFFFF"/>
            <w:vAlign w:val="center"/>
          </w:tcPr>
          <w:p>
            <w:pPr>
              <w:spacing w:after="0" w:line="240" w:lineRule="auto"/>
              <w:jc w:val="center"/>
              <w:rPr>
                <w:rFonts w:ascii="仿宋" w:hAnsi="仿宋" w:eastAsia="仿宋"/>
                <w:szCs w:val="21"/>
              </w:rPr>
            </w:pPr>
            <w:r>
              <w:rPr>
                <w:rFonts w:hint="eastAsia" w:ascii="仿宋" w:hAnsi="仿宋" w:eastAsia="仿宋"/>
                <w:szCs w:val="21"/>
              </w:rPr>
              <w:t>珠海市金湾区三灶镇运好运车行（个体工商户）</w:t>
            </w:r>
          </w:p>
        </w:tc>
        <w:tc>
          <w:tcPr>
            <w:tcW w:w="750" w:type="pct"/>
            <w:shd w:val="clear" w:color="auto" w:fill="FFFFFF"/>
            <w:vAlign w:val="center"/>
          </w:tcPr>
          <w:p>
            <w:pPr>
              <w:spacing w:after="0" w:line="240" w:lineRule="auto"/>
              <w:jc w:val="center"/>
              <w:rPr>
                <w:rFonts w:ascii="仿宋" w:hAnsi="仿宋" w:eastAsia="仿宋"/>
                <w:szCs w:val="21"/>
              </w:rPr>
            </w:pPr>
            <w:r>
              <w:rPr>
                <w:rFonts w:hint="eastAsia" w:ascii="仿宋" w:hAnsi="仿宋" w:eastAsia="仿宋"/>
                <w:szCs w:val="21"/>
              </w:rPr>
              <w:t>电动自行车用阀控式铅酸蓄电池</w:t>
            </w:r>
          </w:p>
        </w:tc>
        <w:tc>
          <w:tcPr>
            <w:tcW w:w="548" w:type="pct"/>
            <w:shd w:val="clear" w:color="auto" w:fill="FFFFFF"/>
            <w:vAlign w:val="center"/>
          </w:tcPr>
          <w:p>
            <w:pPr>
              <w:spacing w:after="0" w:line="240" w:lineRule="auto"/>
              <w:jc w:val="center"/>
              <w:rPr>
                <w:rFonts w:ascii="仿宋" w:hAnsi="仿宋" w:eastAsia="仿宋"/>
                <w:szCs w:val="21"/>
              </w:rPr>
            </w:pPr>
            <w:r>
              <w:rPr>
                <w:rFonts w:hint="eastAsia" w:ascii="仿宋" w:hAnsi="仿宋" w:eastAsia="仿宋"/>
                <w:szCs w:val="21"/>
              </w:rPr>
              <w:t>爱玛</w:t>
            </w:r>
          </w:p>
        </w:tc>
        <w:tc>
          <w:tcPr>
            <w:tcW w:w="1136" w:type="pct"/>
            <w:shd w:val="clear" w:color="auto" w:fill="FFFFFF"/>
            <w:vAlign w:val="center"/>
          </w:tcPr>
          <w:p>
            <w:pPr>
              <w:spacing w:after="0" w:line="240" w:lineRule="auto"/>
              <w:jc w:val="center"/>
              <w:rPr>
                <w:rFonts w:ascii="仿宋" w:hAnsi="仿宋" w:eastAsia="仿宋"/>
                <w:szCs w:val="21"/>
              </w:rPr>
            </w:pPr>
            <w:r>
              <w:rPr>
                <w:rFonts w:hint="eastAsia" w:ascii="仿宋" w:hAnsi="仿宋" w:eastAsia="仿宋"/>
                <w:szCs w:val="21"/>
              </w:rPr>
              <w:t>12V 12Ah/6-DZF-12</w:t>
            </w:r>
          </w:p>
        </w:tc>
        <w:tc>
          <w:tcPr>
            <w:tcW w:w="697" w:type="pct"/>
            <w:shd w:val="clear" w:color="auto" w:fill="FFFFFF"/>
            <w:vAlign w:val="center"/>
          </w:tcPr>
          <w:p>
            <w:pPr>
              <w:spacing w:after="0" w:line="240" w:lineRule="auto"/>
              <w:jc w:val="center"/>
              <w:rPr>
                <w:rFonts w:ascii="仿宋" w:hAnsi="仿宋" w:eastAsia="仿宋"/>
                <w:szCs w:val="21"/>
              </w:rPr>
            </w:pPr>
            <w:r>
              <w:rPr>
                <w:rFonts w:hint="eastAsia" w:ascii="仿宋" w:hAnsi="仿宋" w:eastAsia="仿宋"/>
                <w:szCs w:val="21"/>
              </w:rPr>
              <w:t>2025/8/27</w:t>
            </w:r>
          </w:p>
        </w:tc>
        <w:tc>
          <w:tcPr>
            <w:tcW w:w="521" w:type="pct"/>
            <w:shd w:val="clear" w:color="auto" w:fill="FFFFFF"/>
            <w:vAlign w:val="center"/>
          </w:tcPr>
          <w:p>
            <w:pPr>
              <w:spacing w:after="0" w:line="240" w:lineRule="auto"/>
              <w:jc w:val="center"/>
              <w:rPr>
                <w:rFonts w:ascii="仿宋" w:hAnsi="仿宋" w:eastAsia="仿宋" w:cs="宋体"/>
                <w:szCs w:val="21"/>
              </w:rPr>
            </w:pPr>
            <w:r>
              <w:rPr>
                <w:rFonts w:hint="eastAsia" w:ascii="仿宋" w:hAnsi="仿宋" w:eastAsia="仿宋"/>
                <w:szCs w:val="21"/>
              </w:rPr>
              <w:t>未发现不合格</w:t>
            </w:r>
          </w:p>
        </w:tc>
      </w:tr>
    </w:tbl>
    <w:p>
      <w:pPr>
        <w:spacing w:line="560" w:lineRule="exact"/>
        <w:rPr>
          <w:rFonts w:ascii="仿宋_GB2312" w:hAnsi="仿宋_GB2312" w:eastAsia="仿宋_GB2312" w:cs="仿宋_GB2312"/>
          <w:sz w:val="32"/>
          <w:szCs w:val="32"/>
        </w:rPr>
      </w:pPr>
    </w:p>
    <w:sectPr>
      <w:pgSz w:w="11906" w:h="16838"/>
      <w:pgMar w:top="1587" w:right="1417" w:bottom="158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7C7A11"/>
    <w:rsid w:val="00003E32"/>
    <w:rsid w:val="00051C3E"/>
    <w:rsid w:val="00095655"/>
    <w:rsid w:val="00192D8B"/>
    <w:rsid w:val="001A4601"/>
    <w:rsid w:val="001C77DC"/>
    <w:rsid w:val="002D6C35"/>
    <w:rsid w:val="00314477"/>
    <w:rsid w:val="00327F35"/>
    <w:rsid w:val="00330390"/>
    <w:rsid w:val="0036293D"/>
    <w:rsid w:val="003868AC"/>
    <w:rsid w:val="003A1E8D"/>
    <w:rsid w:val="003A4754"/>
    <w:rsid w:val="004670ED"/>
    <w:rsid w:val="004C0657"/>
    <w:rsid w:val="005615B4"/>
    <w:rsid w:val="005C4617"/>
    <w:rsid w:val="005F0CAC"/>
    <w:rsid w:val="00640F48"/>
    <w:rsid w:val="00771E73"/>
    <w:rsid w:val="00775BD4"/>
    <w:rsid w:val="0078103E"/>
    <w:rsid w:val="007B7AAC"/>
    <w:rsid w:val="007C7A11"/>
    <w:rsid w:val="007F3B8A"/>
    <w:rsid w:val="00800B86"/>
    <w:rsid w:val="008D51FE"/>
    <w:rsid w:val="008D66B0"/>
    <w:rsid w:val="0093128D"/>
    <w:rsid w:val="0099439B"/>
    <w:rsid w:val="009D1339"/>
    <w:rsid w:val="00A66341"/>
    <w:rsid w:val="00A71163"/>
    <w:rsid w:val="00A931A0"/>
    <w:rsid w:val="00AB71CB"/>
    <w:rsid w:val="00B1156C"/>
    <w:rsid w:val="00BC475F"/>
    <w:rsid w:val="00BE11AB"/>
    <w:rsid w:val="00C37A2F"/>
    <w:rsid w:val="00D24F9E"/>
    <w:rsid w:val="00D5384C"/>
    <w:rsid w:val="00D713B6"/>
    <w:rsid w:val="00DA0DBB"/>
    <w:rsid w:val="00DF3269"/>
    <w:rsid w:val="00E06FD7"/>
    <w:rsid w:val="00E1377D"/>
    <w:rsid w:val="00E217B1"/>
    <w:rsid w:val="00E70FEB"/>
    <w:rsid w:val="00EF43B6"/>
    <w:rsid w:val="00F80EF3"/>
    <w:rsid w:val="01C34939"/>
    <w:rsid w:val="06E0088A"/>
    <w:rsid w:val="070748F2"/>
    <w:rsid w:val="0A053D41"/>
    <w:rsid w:val="0B7D3DAB"/>
    <w:rsid w:val="0FDD306A"/>
    <w:rsid w:val="11124F95"/>
    <w:rsid w:val="16EA295C"/>
    <w:rsid w:val="1D64350F"/>
    <w:rsid w:val="24AB32DF"/>
    <w:rsid w:val="2A331DAD"/>
    <w:rsid w:val="2D431A90"/>
    <w:rsid w:val="2D9B2143"/>
    <w:rsid w:val="388A34DF"/>
    <w:rsid w:val="422A47BA"/>
    <w:rsid w:val="47F02F67"/>
    <w:rsid w:val="490C1EA4"/>
    <w:rsid w:val="498D3C83"/>
    <w:rsid w:val="4A721E8D"/>
    <w:rsid w:val="4D0F1DAD"/>
    <w:rsid w:val="50DE21C3"/>
    <w:rsid w:val="51937547"/>
    <w:rsid w:val="5A6C083F"/>
    <w:rsid w:val="5D514AD6"/>
    <w:rsid w:val="60C71D22"/>
    <w:rsid w:val="65E971E8"/>
    <w:rsid w:val="675E5D99"/>
    <w:rsid w:val="73816CB2"/>
    <w:rsid w:val="75BDB985"/>
    <w:rsid w:val="7CEA58C8"/>
    <w:rsid w:val="7DFD162B"/>
    <w:rsid w:val="7E494870"/>
    <w:rsid w:val="7F3805A2"/>
    <w:rsid w:val="7F4A08A0"/>
    <w:rsid w:val="7F770605"/>
    <w:rsid w:val="7FFFD609"/>
    <w:rsid w:val="E19FDCDA"/>
    <w:rsid w:val="F4DFCE48"/>
    <w:rsid w:val="FBB3B56B"/>
    <w:rsid w:val="FBFF8B92"/>
    <w:rsid w:val="FD6F99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修订1"/>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90</Words>
  <Characters>513</Characters>
  <Lines>4</Lines>
  <Paragraphs>1</Paragraphs>
  <TotalTime>1</TotalTime>
  <ScaleCrop>false</ScaleCrop>
  <LinksUpToDate>false</LinksUpToDate>
  <CharactersWithSpaces>602</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2024-12-10T08:46:00Z</dcterms:created>
  <dc:creator>pyq</dc:creator>
  <cp:lastModifiedBy>admin1</cp:lastModifiedBy>
  <dcterms:modified xsi:type="dcterms:W3CDTF">2026-05-11T16:27:10Z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574B4BCFFCA24A988C8EEE58CAAE2F0B</vt:lpwstr>
  </property>
</Properties>
</file>