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珠海市市场监督管理局关于2025年珠海市</w:t>
      </w: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液化石油气产品质量监督抽查结果的通告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产品质量法》《广东省产品质量监督条例》及《产品质量监督抽查管理暂行办法》等相关规定，2025年，珠海市市场监督管理局开展了液化石油气产品质量监督抽查工作，现将有关情况通告如下：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一、基本情况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本次抽查涉及生产领域3家企业生产的3批次液化石油气产品、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流通领域</w:t>
      </w:r>
      <w:r>
        <w:rPr>
          <w:rFonts w:hint="eastAsia" w:ascii="仿宋_GB2312" w:hAnsi="仿宋_GB2312" w:eastAsia="仿宋_GB2312" w:cs="仿宋_GB2312"/>
          <w:sz w:val="32"/>
          <w:szCs w:val="32"/>
        </w:rPr>
        <w:t>2家企业销售的2批次液化石油气产品。经检验，未发现质量不合格产品。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二、抽查结果分析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本次监督抽查依据《珠海市液化石油气产品质量监督抽查实施细则》（2025年版），对液化石油气的密度、蒸气压、组分蒸发残留物、残留物油渍观察、铜片腐蚀、总硫含量、游离水、硫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化氢等9个项目进行了检测。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经检验，</w:t>
      </w:r>
      <w:r>
        <w:rPr>
          <w:rFonts w:hint="eastAsia" w:ascii="仿宋_GB2312" w:hAnsi="仿宋_GB2312" w:eastAsia="仿宋_GB2312" w:cs="仿宋_GB2312"/>
          <w:sz w:val="32"/>
          <w:szCs w:val="32"/>
        </w:rPr>
        <w:t>未发现不合格项目。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抽检企业及产品清单</w:t>
      </w:r>
    </w:p>
    <w:tbl>
      <w:tblPr>
        <w:tblStyle w:val="7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4"/>
        <w:gridCol w:w="2647"/>
        <w:gridCol w:w="1321"/>
        <w:gridCol w:w="1323"/>
        <w:gridCol w:w="1802"/>
        <w:gridCol w:w="14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395" w:type="pct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序号</w:t>
            </w:r>
          </w:p>
        </w:tc>
        <w:tc>
          <w:tcPr>
            <w:tcW w:w="1425" w:type="pct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生产/销售企业名称</w:t>
            </w:r>
          </w:p>
        </w:tc>
        <w:tc>
          <w:tcPr>
            <w:tcW w:w="711" w:type="pct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产品名称</w:t>
            </w:r>
          </w:p>
        </w:tc>
        <w:tc>
          <w:tcPr>
            <w:tcW w:w="712" w:type="pct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型号规格</w:t>
            </w:r>
          </w:p>
        </w:tc>
        <w:tc>
          <w:tcPr>
            <w:tcW w:w="970" w:type="pct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生产日期</w:t>
            </w:r>
          </w:p>
        </w:tc>
        <w:tc>
          <w:tcPr>
            <w:tcW w:w="783" w:type="pct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检验结论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95" w:type="pct"/>
            <w:vAlign w:val="center"/>
          </w:tcPr>
          <w:p>
            <w:pPr>
              <w:pStyle w:val="13"/>
              <w:numPr>
                <w:ilvl w:val="0"/>
                <w:numId w:val="2"/>
              </w:numPr>
              <w:spacing w:line="300" w:lineRule="exact"/>
              <w:ind w:firstLineChars="0"/>
              <w:jc w:val="center"/>
              <w:rPr>
                <w:rFonts w:ascii="仿宋" w:hAnsi="仿宋" w:eastAsia="仿宋"/>
                <w:sz w:val="18"/>
                <w:szCs w:val="18"/>
              </w:rPr>
            </w:pPr>
          </w:p>
        </w:tc>
        <w:tc>
          <w:tcPr>
            <w:tcW w:w="1425" w:type="pct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珠海一丰能源有限公司</w:t>
            </w:r>
          </w:p>
        </w:tc>
        <w:tc>
          <w:tcPr>
            <w:tcW w:w="711" w:type="pct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液化石油气</w:t>
            </w:r>
          </w:p>
        </w:tc>
        <w:tc>
          <w:tcPr>
            <w:tcW w:w="712" w:type="pct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散装</w:t>
            </w:r>
          </w:p>
        </w:tc>
        <w:tc>
          <w:tcPr>
            <w:tcW w:w="970" w:type="pct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2025/7</w:t>
            </w:r>
          </w:p>
        </w:tc>
        <w:tc>
          <w:tcPr>
            <w:tcW w:w="783" w:type="pct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95" w:type="pct"/>
            <w:vAlign w:val="center"/>
          </w:tcPr>
          <w:p>
            <w:pPr>
              <w:pStyle w:val="13"/>
              <w:numPr>
                <w:ilvl w:val="0"/>
                <w:numId w:val="2"/>
              </w:numPr>
              <w:spacing w:line="300" w:lineRule="exact"/>
              <w:ind w:firstLineChars="0"/>
              <w:jc w:val="center"/>
              <w:rPr>
                <w:rFonts w:ascii="仿宋" w:hAnsi="仿宋" w:eastAsia="仿宋"/>
                <w:sz w:val="18"/>
                <w:szCs w:val="18"/>
              </w:rPr>
            </w:pPr>
          </w:p>
        </w:tc>
        <w:tc>
          <w:tcPr>
            <w:tcW w:w="1425" w:type="pct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珠海市煤气有限公司</w:t>
            </w:r>
          </w:p>
        </w:tc>
        <w:tc>
          <w:tcPr>
            <w:tcW w:w="711" w:type="pct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液化石油气</w:t>
            </w:r>
          </w:p>
        </w:tc>
        <w:tc>
          <w:tcPr>
            <w:tcW w:w="712" w:type="pct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散装</w:t>
            </w:r>
          </w:p>
        </w:tc>
        <w:tc>
          <w:tcPr>
            <w:tcW w:w="970" w:type="pct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——</w:t>
            </w:r>
          </w:p>
        </w:tc>
        <w:tc>
          <w:tcPr>
            <w:tcW w:w="783" w:type="pct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95" w:type="pct"/>
            <w:vAlign w:val="center"/>
          </w:tcPr>
          <w:p>
            <w:pPr>
              <w:pStyle w:val="13"/>
              <w:numPr>
                <w:ilvl w:val="0"/>
                <w:numId w:val="2"/>
              </w:numPr>
              <w:spacing w:line="300" w:lineRule="exact"/>
              <w:ind w:firstLineChars="0"/>
              <w:jc w:val="center"/>
              <w:rPr>
                <w:rFonts w:ascii="仿宋" w:hAnsi="仿宋" w:eastAsia="仿宋"/>
                <w:sz w:val="18"/>
                <w:szCs w:val="18"/>
              </w:rPr>
            </w:pPr>
          </w:p>
        </w:tc>
        <w:tc>
          <w:tcPr>
            <w:tcW w:w="1425" w:type="pct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珠海市斗门区石油化工有限公司</w:t>
            </w:r>
          </w:p>
        </w:tc>
        <w:tc>
          <w:tcPr>
            <w:tcW w:w="711" w:type="pct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液化石油气</w:t>
            </w:r>
          </w:p>
        </w:tc>
        <w:tc>
          <w:tcPr>
            <w:tcW w:w="712" w:type="pct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散装</w:t>
            </w:r>
          </w:p>
        </w:tc>
        <w:tc>
          <w:tcPr>
            <w:tcW w:w="970" w:type="pct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2025/11/3</w:t>
            </w:r>
          </w:p>
        </w:tc>
        <w:tc>
          <w:tcPr>
            <w:tcW w:w="783" w:type="pct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95" w:type="pct"/>
            <w:vAlign w:val="center"/>
          </w:tcPr>
          <w:p>
            <w:pPr>
              <w:pStyle w:val="13"/>
              <w:numPr>
                <w:ilvl w:val="0"/>
                <w:numId w:val="2"/>
              </w:numPr>
              <w:spacing w:line="300" w:lineRule="exact"/>
              <w:ind w:firstLineChars="0"/>
              <w:jc w:val="center"/>
              <w:rPr>
                <w:rFonts w:ascii="仿宋" w:hAnsi="仿宋" w:eastAsia="仿宋"/>
                <w:sz w:val="18"/>
                <w:szCs w:val="18"/>
              </w:rPr>
            </w:pPr>
          </w:p>
        </w:tc>
        <w:tc>
          <w:tcPr>
            <w:tcW w:w="1425" w:type="pct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珠海市百岛能源有限公司</w:t>
            </w:r>
          </w:p>
        </w:tc>
        <w:tc>
          <w:tcPr>
            <w:tcW w:w="711" w:type="pct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液化石油气</w:t>
            </w:r>
          </w:p>
        </w:tc>
        <w:tc>
          <w:tcPr>
            <w:tcW w:w="712" w:type="pct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散装</w:t>
            </w:r>
          </w:p>
        </w:tc>
        <w:tc>
          <w:tcPr>
            <w:tcW w:w="970" w:type="pct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2025/10/31</w:t>
            </w:r>
          </w:p>
        </w:tc>
        <w:tc>
          <w:tcPr>
            <w:tcW w:w="783" w:type="pct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95" w:type="pct"/>
            <w:vAlign w:val="center"/>
          </w:tcPr>
          <w:p>
            <w:pPr>
              <w:pStyle w:val="13"/>
              <w:numPr>
                <w:ilvl w:val="0"/>
                <w:numId w:val="2"/>
              </w:numPr>
              <w:spacing w:line="300" w:lineRule="exact"/>
              <w:ind w:firstLineChars="0"/>
              <w:jc w:val="center"/>
              <w:rPr>
                <w:rFonts w:ascii="仿宋" w:hAnsi="仿宋" w:eastAsia="仿宋"/>
                <w:sz w:val="18"/>
                <w:szCs w:val="18"/>
              </w:rPr>
            </w:pPr>
          </w:p>
        </w:tc>
        <w:tc>
          <w:tcPr>
            <w:tcW w:w="1425" w:type="pct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珠海市康大燃气有限公司</w:t>
            </w:r>
          </w:p>
        </w:tc>
        <w:tc>
          <w:tcPr>
            <w:tcW w:w="711" w:type="pct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液化石油气</w:t>
            </w:r>
          </w:p>
        </w:tc>
        <w:tc>
          <w:tcPr>
            <w:tcW w:w="712" w:type="pct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散装</w:t>
            </w:r>
          </w:p>
        </w:tc>
        <w:tc>
          <w:tcPr>
            <w:tcW w:w="970" w:type="pc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2025/7/30</w:t>
            </w:r>
          </w:p>
        </w:tc>
        <w:tc>
          <w:tcPr>
            <w:tcW w:w="783" w:type="pct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未发现不合格</w:t>
            </w:r>
          </w:p>
        </w:tc>
      </w:tr>
    </w:tbl>
    <w:p>
      <w:pPr>
        <w:spacing w:line="578" w:lineRule="exact"/>
        <w:rPr>
          <w:rFonts w:ascii="仿宋" w:hAnsi="仿宋" w:eastAsia="仿宋" w:cs="仿宋"/>
          <w:sz w:val="32"/>
          <w:szCs w:val="32"/>
        </w:rPr>
      </w:pPr>
    </w:p>
    <w:sectPr>
      <w:pgSz w:w="11906" w:h="16838"/>
      <w:pgMar w:top="1587" w:right="1417" w:bottom="158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FB" w:usb2="0000002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FB" w:usb2="00000029" w:usb3="00000000" w:csb0="400001FF" w:csb1="FFFF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ED5DE5"/>
    <w:multiLevelType w:val="multilevel"/>
    <w:tmpl w:val="36ED5DE5"/>
    <w:lvl w:ilvl="0" w:tentative="0">
      <w:start w:val="1"/>
      <w:numFmt w:val="decimal"/>
      <w:suff w:val="nothing"/>
      <w:lvlText w:val="%1"/>
      <w:lvlJc w:val="right"/>
      <w:pPr>
        <w:ind w:left="0" w:firstLine="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BAC4AB2"/>
    <w:multiLevelType w:val="singleLevel"/>
    <w:tmpl w:val="7BAC4AB2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RiYjVjNWI5MzAzZTZmMWUwMWJlOWMwMWQxNmZkMjMifQ=="/>
  </w:docVars>
  <w:rsids>
    <w:rsidRoot w:val="00E767C5"/>
    <w:rsid w:val="000048D3"/>
    <w:rsid w:val="000755F4"/>
    <w:rsid w:val="00083D8F"/>
    <w:rsid w:val="000D5A1F"/>
    <w:rsid w:val="000F3574"/>
    <w:rsid w:val="00146C75"/>
    <w:rsid w:val="001C72C5"/>
    <w:rsid w:val="00221376"/>
    <w:rsid w:val="00277195"/>
    <w:rsid w:val="002D6312"/>
    <w:rsid w:val="00300C87"/>
    <w:rsid w:val="00382170"/>
    <w:rsid w:val="003A3668"/>
    <w:rsid w:val="004302F6"/>
    <w:rsid w:val="004D0214"/>
    <w:rsid w:val="005226AE"/>
    <w:rsid w:val="005508E0"/>
    <w:rsid w:val="005C2F30"/>
    <w:rsid w:val="005E5177"/>
    <w:rsid w:val="005F3304"/>
    <w:rsid w:val="00655C32"/>
    <w:rsid w:val="00723D61"/>
    <w:rsid w:val="00730E44"/>
    <w:rsid w:val="00805BCC"/>
    <w:rsid w:val="00811219"/>
    <w:rsid w:val="008A2A56"/>
    <w:rsid w:val="008A41CE"/>
    <w:rsid w:val="008C1FAA"/>
    <w:rsid w:val="008C6674"/>
    <w:rsid w:val="008D64DD"/>
    <w:rsid w:val="008F4924"/>
    <w:rsid w:val="009A3A98"/>
    <w:rsid w:val="009A4A02"/>
    <w:rsid w:val="00A02C52"/>
    <w:rsid w:val="00A16608"/>
    <w:rsid w:val="00A46067"/>
    <w:rsid w:val="00A5306F"/>
    <w:rsid w:val="00A63022"/>
    <w:rsid w:val="00B9089B"/>
    <w:rsid w:val="00B97545"/>
    <w:rsid w:val="00B97B1F"/>
    <w:rsid w:val="00C13521"/>
    <w:rsid w:val="00C267DE"/>
    <w:rsid w:val="00C424CF"/>
    <w:rsid w:val="00C76697"/>
    <w:rsid w:val="00D71290"/>
    <w:rsid w:val="00D75278"/>
    <w:rsid w:val="00DE0B87"/>
    <w:rsid w:val="00DE1184"/>
    <w:rsid w:val="00E767C5"/>
    <w:rsid w:val="00EF2332"/>
    <w:rsid w:val="03525155"/>
    <w:rsid w:val="0E6816B2"/>
    <w:rsid w:val="16640722"/>
    <w:rsid w:val="19120228"/>
    <w:rsid w:val="25BD2428"/>
    <w:rsid w:val="2DCC49F2"/>
    <w:rsid w:val="2F8B7BFE"/>
    <w:rsid w:val="37C43DED"/>
    <w:rsid w:val="381B055E"/>
    <w:rsid w:val="3BDFDA82"/>
    <w:rsid w:val="3D8C7CFA"/>
    <w:rsid w:val="3FB3BF56"/>
    <w:rsid w:val="3FDD39F8"/>
    <w:rsid w:val="40DA033F"/>
    <w:rsid w:val="44BB0340"/>
    <w:rsid w:val="452F31D2"/>
    <w:rsid w:val="47A42BD5"/>
    <w:rsid w:val="4A82670C"/>
    <w:rsid w:val="4CFB27A6"/>
    <w:rsid w:val="4D7F5185"/>
    <w:rsid w:val="4F1638C7"/>
    <w:rsid w:val="51D8679A"/>
    <w:rsid w:val="543B28EB"/>
    <w:rsid w:val="5A455061"/>
    <w:rsid w:val="5E5D0BCB"/>
    <w:rsid w:val="5EB86788"/>
    <w:rsid w:val="5FEFCBC6"/>
    <w:rsid w:val="67DF2072"/>
    <w:rsid w:val="681947C1"/>
    <w:rsid w:val="68ED7898"/>
    <w:rsid w:val="6A7D507C"/>
    <w:rsid w:val="721BF0ED"/>
    <w:rsid w:val="7655127C"/>
    <w:rsid w:val="775E029C"/>
    <w:rsid w:val="7C044924"/>
    <w:rsid w:val="7EFB8CF0"/>
    <w:rsid w:val="8DBB271C"/>
    <w:rsid w:val="B5F742F2"/>
    <w:rsid w:val="C1DF2E3F"/>
    <w:rsid w:val="C7780E84"/>
    <w:rsid w:val="CDEE35A7"/>
    <w:rsid w:val="E93720B0"/>
    <w:rsid w:val="F7ABBEAA"/>
    <w:rsid w:val="FAFF87CC"/>
    <w:rsid w:val="FBDD416C"/>
    <w:rsid w:val="FF997E7A"/>
    <w:rsid w:val="FF9F42A6"/>
    <w:rsid w:val="FFFA3E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22"/>
    <w:rPr>
      <w:b/>
    </w:rPr>
  </w:style>
  <w:style w:type="character" w:customStyle="1" w:styleId="10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1">
    <w:name w:val="页眉 Char"/>
    <w:basedOn w:val="8"/>
    <w:link w:val="4"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3"/>
    <w:qFormat/>
    <w:uiPriority w:val="99"/>
    <w:rPr>
      <w:sz w:val="18"/>
      <w:szCs w:val="18"/>
    </w:rPr>
  </w:style>
  <w:style w:type="paragraph" w:styleId="13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89</Words>
  <Characters>513</Characters>
  <Lines>4</Lines>
  <Paragraphs>1</Paragraphs>
  <TotalTime>1</TotalTime>
  <ScaleCrop>false</ScaleCrop>
  <LinksUpToDate>false</LinksUpToDate>
  <CharactersWithSpaces>601</CharactersWithSpaces>
  <Application>WPS Office_11.8.2.12128_F1E327BC-269C-435d-A152-05C5408002CA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2024-12-10T16:57:00Z</dcterms:created>
  <dc:creator>615</dc:creator>
  <cp:lastModifiedBy>admin1</cp:lastModifiedBy>
  <cp:lastPrinted>2023-01-10T14:46:00Z</cp:lastPrinted>
  <dcterms:modified xsi:type="dcterms:W3CDTF">2026-05-11T16:54:31Z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2052-11.8.2.12128</vt:lpwstr>
  </property>
  <property fmtid="{D5CDD505-2E9C-101B-9397-08002B2CF9AE}" pid="3" name="ICV">
    <vt:lpwstr>04428DBC035F478992325ABE585E445F</vt:lpwstr>
  </property>
</Properties>
</file>