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826BE1">
      <w:pPr>
        <w:pStyle w:val="3"/>
        <w:bidi w:val="0"/>
        <w:ind w:left="0" w:leftChars="0" w:firstLine="0" w:firstLineChars="0"/>
        <w:rPr>
          <w:rFonts w:hint="eastAsia"/>
          <w:highlight w:val="none"/>
          <w:lang w:val="en-US" w:eastAsia="zh-CN"/>
        </w:rPr>
      </w:pPr>
      <w:r>
        <w:rPr>
          <w:rFonts w:hint="default"/>
          <w:highlight w:val="none"/>
          <w:lang w:eastAsia="zh-CN"/>
        </w:rPr>
        <w:t>附件</w:t>
      </w:r>
      <w:r>
        <w:rPr>
          <w:rFonts w:hint="eastAsia"/>
          <w:highlight w:val="none"/>
          <w:lang w:val="en-US" w:eastAsia="zh-CN"/>
        </w:rPr>
        <w:t>1</w:t>
      </w:r>
    </w:p>
    <w:p w14:paraId="2624F90A">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lang w:eastAsia="zh-CN"/>
        </w:rPr>
      </w:pPr>
    </w:p>
    <w:p w14:paraId="6F6CC9BF">
      <w:pPr>
        <w:pStyle w:val="3"/>
        <w:bidi w:val="0"/>
        <w:ind w:left="0" w:leftChars="0" w:firstLine="0" w:firstLineChars="0"/>
        <w:jc w:val="center"/>
        <w:rPr>
          <w:rFonts w:hint="eastAsia" w:ascii="小标宋" w:hAnsi="小标宋" w:eastAsia="小标宋" w:cs="小标宋"/>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广东省数据知识产权价值评价指标体系</w:t>
      </w:r>
    </w:p>
    <w:p w14:paraId="5AAD94FF">
      <w:pPr>
        <w:pStyle w:val="4"/>
        <w:keepNext w:val="0"/>
        <w:keepLines w:val="0"/>
        <w:pageBreakBefore w:val="0"/>
        <w:widowControl w:val="0"/>
        <w:kinsoku/>
        <w:wordWrap/>
        <w:overflowPunct/>
        <w:topLinePunct w:val="0"/>
        <w:autoSpaceDE/>
        <w:autoSpaceDN/>
        <w:bidi w:val="0"/>
        <w:adjustRightInd/>
        <w:snapToGrid/>
        <w:spacing w:line="260" w:lineRule="exact"/>
        <w:ind w:left="641"/>
        <w:jc w:val="center"/>
        <w:textAlignment w:val="auto"/>
        <w:rPr>
          <w:rFonts w:hint="eastAsia"/>
          <w:highlight w:val="none"/>
          <w:lang w:val="en-US" w:eastAsia="zh-CN"/>
        </w:rPr>
      </w:pPr>
      <w:bookmarkStart w:id="0" w:name="_Toc15663"/>
      <w:bookmarkStart w:id="1" w:name="_Toc433"/>
    </w:p>
    <w:p w14:paraId="2A905D33">
      <w:pPr>
        <w:pStyle w:val="4"/>
        <w:bidi w:val="0"/>
        <w:jc w:val="center"/>
        <w:rPr>
          <w:rFonts w:hint="default" w:ascii="黑体" w:hAnsi="黑体" w:eastAsia="黑体" w:cs="黑体"/>
          <w:sz w:val="36"/>
          <w:szCs w:val="36"/>
          <w:highlight w:val="none"/>
          <w:lang w:val="en-US" w:eastAsia="zh-CN"/>
        </w:rPr>
      </w:pPr>
      <w:r>
        <w:rPr>
          <w:rFonts w:hint="eastAsia" w:ascii="黑体" w:hAnsi="黑体" w:eastAsia="黑体" w:cs="黑体"/>
          <w:sz w:val="36"/>
          <w:szCs w:val="36"/>
          <w:highlight w:val="none"/>
          <w:lang w:val="en-US" w:eastAsia="zh-CN"/>
        </w:rPr>
        <w:t>成本法</w:t>
      </w:r>
      <w:r>
        <w:rPr>
          <w:rFonts w:hint="eastAsia" w:ascii="黑体" w:hAnsi="黑体" w:eastAsia="黑体" w:cs="黑体"/>
          <w:sz w:val="36"/>
          <w:szCs w:val="36"/>
          <w:highlight w:val="none"/>
        </w:rPr>
        <w:t>指标</w:t>
      </w:r>
      <w:bookmarkEnd w:id="0"/>
      <w:bookmarkEnd w:id="1"/>
      <w:r>
        <w:rPr>
          <w:rFonts w:hint="eastAsia" w:ascii="黑体" w:hAnsi="黑体" w:eastAsia="黑体" w:cs="黑体"/>
          <w:sz w:val="36"/>
          <w:szCs w:val="36"/>
          <w:highlight w:val="none"/>
          <w:lang w:val="en-US" w:eastAsia="zh-CN"/>
        </w:rPr>
        <w:t>体系及说明</w:t>
      </w:r>
    </w:p>
    <w:p w14:paraId="7C81F0DD">
      <w:pPr>
        <w:rPr>
          <w:rFonts w:hint="eastAsia"/>
          <w:lang w:val="en-US" w:eastAsia="zh-CN"/>
        </w:rPr>
      </w:pPr>
    </w:p>
    <w:tbl>
      <w:tblPr>
        <w:tblStyle w:val="5"/>
        <w:tblW w:w="8522"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73"/>
        <w:gridCol w:w="763"/>
        <w:gridCol w:w="1662"/>
        <w:gridCol w:w="5324"/>
      </w:tblGrid>
      <w:tr w14:paraId="47EEAE8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73" w:type="dxa"/>
            <w:noWrap w:val="0"/>
            <w:vAlign w:val="center"/>
          </w:tcPr>
          <w:p w14:paraId="5D06D336">
            <w:pPr>
              <w:widowControl/>
              <w:spacing w:line="400" w:lineRule="exact"/>
              <w:ind w:left="0" w:leftChars="0" w:firstLine="0" w:firstLineChars="0"/>
              <w:jc w:val="both"/>
              <w:rPr>
                <w:rFonts w:hint="default" w:ascii="Times New Roman" w:hAnsi="Times New Roman" w:eastAsia="仿宋_GB2312" w:cs="Times New Roman"/>
                <w:b/>
                <w:color w:val="000000"/>
                <w:kern w:val="0"/>
                <w:sz w:val="24"/>
                <w:szCs w:val="24"/>
                <w:highlight w:val="none"/>
              </w:rPr>
            </w:pPr>
            <w:r>
              <w:rPr>
                <w:rFonts w:hint="default" w:ascii="Times New Roman" w:hAnsi="Times New Roman" w:eastAsia="仿宋_GB2312" w:cs="Times New Roman"/>
                <w:b/>
                <w:color w:val="000000"/>
                <w:kern w:val="0"/>
                <w:sz w:val="24"/>
                <w:szCs w:val="24"/>
                <w:highlight w:val="none"/>
              </w:rPr>
              <w:t>一级指标</w:t>
            </w:r>
          </w:p>
        </w:tc>
        <w:tc>
          <w:tcPr>
            <w:tcW w:w="763" w:type="dxa"/>
            <w:noWrap w:val="0"/>
            <w:vAlign w:val="center"/>
          </w:tcPr>
          <w:p w14:paraId="77D3A549">
            <w:pPr>
              <w:widowControl/>
              <w:spacing w:line="400" w:lineRule="exact"/>
              <w:ind w:left="0" w:leftChars="0" w:firstLine="0" w:firstLineChars="0"/>
              <w:jc w:val="both"/>
              <w:rPr>
                <w:rFonts w:hint="eastAsia" w:ascii="Times New Roman" w:hAnsi="Times New Roman" w:eastAsia="仿宋_GB2312" w:cs="Times New Roman"/>
                <w:b/>
                <w:color w:val="000000"/>
                <w:kern w:val="0"/>
                <w:sz w:val="24"/>
                <w:szCs w:val="24"/>
                <w:highlight w:val="none"/>
                <w:lang w:val="en-US" w:eastAsia="zh-CN"/>
              </w:rPr>
            </w:pPr>
            <w:r>
              <w:rPr>
                <w:rFonts w:hint="eastAsia" w:ascii="Times New Roman" w:hAnsi="Times New Roman" w:cs="Times New Roman"/>
                <w:b/>
                <w:color w:val="000000"/>
                <w:kern w:val="0"/>
                <w:sz w:val="24"/>
                <w:szCs w:val="24"/>
                <w:highlight w:val="none"/>
                <w:lang w:val="en-US" w:eastAsia="zh-CN"/>
              </w:rPr>
              <w:t>二级指标</w:t>
            </w:r>
          </w:p>
        </w:tc>
        <w:tc>
          <w:tcPr>
            <w:tcW w:w="1662" w:type="dxa"/>
            <w:noWrap w:val="0"/>
            <w:vAlign w:val="center"/>
          </w:tcPr>
          <w:p w14:paraId="7DCE06D5">
            <w:pPr>
              <w:widowControl/>
              <w:spacing w:line="400" w:lineRule="exact"/>
              <w:ind w:left="0" w:leftChars="0" w:firstLine="0" w:firstLineChars="0"/>
              <w:jc w:val="center"/>
              <w:rPr>
                <w:rFonts w:hint="default" w:ascii="Times New Roman" w:hAnsi="Times New Roman" w:eastAsia="仿宋_GB2312" w:cs="Times New Roman"/>
                <w:b/>
                <w:color w:val="000000"/>
                <w:kern w:val="0"/>
                <w:sz w:val="24"/>
                <w:szCs w:val="24"/>
                <w:highlight w:val="none"/>
              </w:rPr>
            </w:pPr>
            <w:r>
              <w:rPr>
                <w:rFonts w:hint="eastAsia" w:ascii="Times New Roman" w:hAnsi="Times New Roman" w:cs="Times New Roman"/>
                <w:b/>
                <w:color w:val="000000"/>
                <w:kern w:val="0"/>
                <w:sz w:val="24"/>
                <w:szCs w:val="24"/>
                <w:highlight w:val="none"/>
                <w:lang w:val="en-US" w:eastAsia="zh-CN"/>
              </w:rPr>
              <w:t>三</w:t>
            </w:r>
            <w:r>
              <w:rPr>
                <w:rFonts w:hint="default" w:ascii="Times New Roman" w:hAnsi="Times New Roman" w:eastAsia="仿宋_GB2312" w:cs="Times New Roman"/>
                <w:b/>
                <w:color w:val="000000"/>
                <w:kern w:val="0"/>
                <w:sz w:val="24"/>
                <w:szCs w:val="24"/>
                <w:highlight w:val="none"/>
              </w:rPr>
              <w:t>级指标</w:t>
            </w:r>
          </w:p>
        </w:tc>
        <w:tc>
          <w:tcPr>
            <w:tcW w:w="5324" w:type="dxa"/>
            <w:noWrap w:val="0"/>
            <w:vAlign w:val="center"/>
          </w:tcPr>
          <w:p w14:paraId="1BD708D3">
            <w:pPr>
              <w:widowControl/>
              <w:spacing w:line="400" w:lineRule="exact"/>
              <w:ind w:left="0" w:leftChars="0" w:firstLine="0" w:firstLineChars="0"/>
              <w:jc w:val="center"/>
              <w:rPr>
                <w:rFonts w:hint="default" w:ascii="Times New Roman" w:hAnsi="Times New Roman" w:cs="Times New Roman"/>
                <w:b/>
                <w:color w:val="000000"/>
                <w:kern w:val="0"/>
                <w:sz w:val="24"/>
                <w:szCs w:val="24"/>
                <w:highlight w:val="none"/>
                <w:lang w:val="en-US" w:eastAsia="zh-CN"/>
              </w:rPr>
            </w:pPr>
            <w:r>
              <w:rPr>
                <w:rFonts w:hint="eastAsia" w:cs="Times New Roman"/>
                <w:b/>
                <w:color w:val="000000"/>
                <w:kern w:val="0"/>
                <w:sz w:val="24"/>
                <w:szCs w:val="24"/>
                <w:highlight w:val="none"/>
                <w:lang w:val="en-US" w:eastAsia="zh-CN"/>
              </w:rPr>
              <w:t>参数说明</w:t>
            </w:r>
          </w:p>
        </w:tc>
      </w:tr>
      <w:tr w14:paraId="458EC5B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73" w:type="dxa"/>
            <w:vMerge w:val="restart"/>
            <w:noWrap w:val="0"/>
            <w:vAlign w:val="center"/>
          </w:tcPr>
          <w:p w14:paraId="30793CAE">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成本指标</w:t>
            </w:r>
          </w:p>
        </w:tc>
        <w:tc>
          <w:tcPr>
            <w:tcW w:w="763" w:type="dxa"/>
            <w:vMerge w:val="restart"/>
            <w:noWrap w:val="0"/>
            <w:vAlign w:val="center"/>
          </w:tcPr>
          <w:p w14:paraId="74C6618E">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成本基本指标</w:t>
            </w:r>
          </w:p>
        </w:tc>
        <w:tc>
          <w:tcPr>
            <w:tcW w:w="1662" w:type="dxa"/>
            <w:noWrap w:val="0"/>
            <w:vAlign w:val="center"/>
          </w:tcPr>
          <w:p w14:paraId="2689926B">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eastAsia" w:ascii="Times New Roman" w:hAnsi="Times New Roman" w:eastAsia="仿宋_GB2312" w:cs="Times New Roman"/>
                <w:bCs/>
                <w:color w:val="000000"/>
                <w:kern w:val="0"/>
                <w:sz w:val="24"/>
                <w:szCs w:val="24"/>
                <w:highlight w:val="none"/>
                <w:lang w:val="en-US" w:eastAsia="zh-CN" w:bidi="ar-SA"/>
              </w:rPr>
            </w:pPr>
            <w:r>
              <w:rPr>
                <w:rFonts w:hint="default" w:ascii="Times New Roman" w:hAnsi="Times New Roman" w:eastAsia="仿宋_GB2312" w:cs="Times New Roman"/>
                <w:bCs/>
                <w:color w:val="000000"/>
                <w:kern w:val="0"/>
                <w:sz w:val="24"/>
                <w:szCs w:val="24"/>
                <w:highlight w:val="none"/>
                <w:lang w:val="en-US" w:eastAsia="zh-CN" w:bidi="ar-SA"/>
              </w:rPr>
              <w:t>至</w:t>
            </w:r>
            <w:r>
              <w:rPr>
                <w:rFonts w:hint="eastAsia" w:ascii="Times New Roman" w:hAnsi="Times New Roman" w:eastAsia="仿宋_GB2312" w:cs="Times New Roman"/>
                <w:bCs/>
                <w:color w:val="000000"/>
                <w:kern w:val="0"/>
                <w:sz w:val="24"/>
                <w:szCs w:val="24"/>
                <w:highlight w:val="none"/>
                <w:lang w:val="en-US" w:eastAsia="zh-CN" w:bidi="ar-SA"/>
              </w:rPr>
              <w:t>评价</w:t>
            </w:r>
            <w:r>
              <w:rPr>
                <w:rFonts w:hint="default" w:ascii="Times New Roman" w:hAnsi="Times New Roman" w:eastAsia="仿宋_GB2312" w:cs="Times New Roman"/>
                <w:bCs/>
                <w:color w:val="000000"/>
                <w:kern w:val="0"/>
                <w:sz w:val="24"/>
                <w:szCs w:val="24"/>
                <w:highlight w:val="none"/>
                <w:lang w:val="en-US" w:eastAsia="zh-CN" w:bidi="ar-SA"/>
              </w:rPr>
              <w:t>基准日的支出采集成本</w:t>
            </w:r>
          </w:p>
        </w:tc>
        <w:tc>
          <w:tcPr>
            <w:tcW w:w="5324" w:type="dxa"/>
            <w:noWrap w:val="0"/>
            <w:vAlign w:val="center"/>
          </w:tcPr>
          <w:p w14:paraId="5978F590">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eastAsia"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从企业内外部获取数据所投入的成本，数据采集形式的不同，具体分为：</w:t>
            </w:r>
          </w:p>
          <w:p w14:paraId="74285720">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eastAsia"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——外部数据采购：包括购买价款、相关税费、保险费，以及达到预期使用状态前的相关费用；</w:t>
            </w:r>
          </w:p>
          <w:p w14:paraId="26B015A7">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eastAsia"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——内部数据采集：包括采集人员、采集设备/工具等相关费用。</w:t>
            </w:r>
          </w:p>
        </w:tc>
      </w:tr>
      <w:tr w14:paraId="678C58B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73" w:type="dxa"/>
            <w:vMerge w:val="continue"/>
            <w:noWrap w:val="0"/>
            <w:vAlign w:val="center"/>
          </w:tcPr>
          <w:p w14:paraId="257FBAA1">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763" w:type="dxa"/>
            <w:vMerge w:val="continue"/>
            <w:noWrap w:val="0"/>
            <w:vAlign w:val="center"/>
          </w:tcPr>
          <w:p w14:paraId="544C62CA">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1662" w:type="dxa"/>
            <w:noWrap w:val="0"/>
            <w:vAlign w:val="center"/>
          </w:tcPr>
          <w:p w14:paraId="1E83BE00">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default" w:ascii="Times New Roman" w:hAnsi="Times New Roman" w:eastAsia="仿宋_GB2312" w:cs="Times New Roman"/>
                <w:bCs/>
                <w:color w:val="000000"/>
                <w:kern w:val="0"/>
                <w:sz w:val="24"/>
                <w:szCs w:val="24"/>
                <w:highlight w:val="none"/>
                <w:lang w:val="en-US" w:eastAsia="zh-CN" w:bidi="ar-SA"/>
              </w:rPr>
              <w:t>至</w:t>
            </w:r>
            <w:r>
              <w:rPr>
                <w:rFonts w:hint="eastAsia" w:ascii="Times New Roman" w:hAnsi="Times New Roman" w:eastAsia="仿宋_GB2312" w:cs="Times New Roman"/>
                <w:bCs/>
                <w:color w:val="000000"/>
                <w:kern w:val="0"/>
                <w:sz w:val="24"/>
                <w:szCs w:val="24"/>
                <w:highlight w:val="none"/>
                <w:lang w:val="en-US" w:eastAsia="zh-CN" w:bidi="ar-SA"/>
              </w:rPr>
              <w:t>评价</w:t>
            </w:r>
            <w:r>
              <w:rPr>
                <w:rFonts w:hint="default" w:ascii="Times New Roman" w:hAnsi="Times New Roman" w:eastAsia="仿宋_GB2312" w:cs="Times New Roman"/>
                <w:bCs/>
                <w:color w:val="000000"/>
                <w:kern w:val="0"/>
                <w:sz w:val="24"/>
                <w:szCs w:val="24"/>
                <w:highlight w:val="none"/>
                <w:lang w:val="en-US" w:eastAsia="zh-CN" w:bidi="ar-SA"/>
              </w:rPr>
              <w:t>基准日的支出加工成本</w:t>
            </w:r>
          </w:p>
        </w:tc>
        <w:tc>
          <w:tcPr>
            <w:tcW w:w="5324" w:type="dxa"/>
            <w:noWrap w:val="0"/>
            <w:vAlign w:val="center"/>
          </w:tcPr>
          <w:p w14:paraId="48123190">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eastAsia"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对基于业务需求，对数据进行清洗、转换等操作所投入的成本，包括数据加工人员费用、第三方数据加工服务费用（非软件建设类）。</w:t>
            </w:r>
          </w:p>
        </w:tc>
      </w:tr>
      <w:tr w14:paraId="1754DB4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73" w:type="dxa"/>
            <w:vMerge w:val="continue"/>
            <w:noWrap w:val="0"/>
            <w:vAlign w:val="center"/>
          </w:tcPr>
          <w:p w14:paraId="53021B01">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763" w:type="dxa"/>
            <w:vMerge w:val="continue"/>
            <w:noWrap w:val="0"/>
            <w:vAlign w:val="center"/>
          </w:tcPr>
          <w:p w14:paraId="079C2334">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1662" w:type="dxa"/>
            <w:noWrap w:val="0"/>
            <w:vAlign w:val="center"/>
          </w:tcPr>
          <w:p w14:paraId="686D75B6">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default" w:ascii="Times New Roman" w:hAnsi="Times New Roman" w:eastAsia="仿宋_GB2312" w:cs="Times New Roman"/>
                <w:bCs/>
                <w:color w:val="000000"/>
                <w:kern w:val="0"/>
                <w:sz w:val="24"/>
                <w:szCs w:val="24"/>
                <w:highlight w:val="none"/>
                <w:lang w:val="en-US" w:eastAsia="zh-CN" w:bidi="ar-SA"/>
              </w:rPr>
              <w:t>至</w:t>
            </w:r>
            <w:r>
              <w:rPr>
                <w:rFonts w:hint="eastAsia" w:ascii="Times New Roman" w:hAnsi="Times New Roman" w:eastAsia="仿宋_GB2312" w:cs="Times New Roman"/>
                <w:bCs/>
                <w:color w:val="000000"/>
                <w:kern w:val="0"/>
                <w:sz w:val="24"/>
                <w:szCs w:val="24"/>
                <w:highlight w:val="none"/>
                <w:lang w:val="en-US" w:eastAsia="zh-CN" w:bidi="ar-SA"/>
              </w:rPr>
              <w:t>评价</w:t>
            </w:r>
            <w:r>
              <w:rPr>
                <w:rFonts w:hint="default" w:ascii="Times New Roman" w:hAnsi="Times New Roman" w:eastAsia="仿宋_GB2312" w:cs="Times New Roman"/>
                <w:bCs/>
                <w:color w:val="000000"/>
                <w:kern w:val="0"/>
                <w:sz w:val="24"/>
                <w:szCs w:val="24"/>
                <w:highlight w:val="none"/>
                <w:lang w:val="en-US" w:eastAsia="zh-CN" w:bidi="ar-SA"/>
              </w:rPr>
              <w:t>基准日的支出应用成本</w:t>
            </w:r>
          </w:p>
        </w:tc>
        <w:tc>
          <w:tcPr>
            <w:tcW w:w="5324" w:type="dxa"/>
            <w:noWrap w:val="0"/>
            <w:vAlign w:val="center"/>
          </w:tcPr>
          <w:p w14:paraId="710BA0B1">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eastAsia"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对基于业务需求，对数据进行分析、挖掘、运维等操作所投入的成本，包括数据应用人员费用、第三方数据应用服务费用（非软件建设类）。</w:t>
            </w:r>
          </w:p>
        </w:tc>
      </w:tr>
      <w:tr w14:paraId="185FD5C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773" w:type="dxa"/>
            <w:vMerge w:val="continue"/>
            <w:noWrap w:val="0"/>
            <w:vAlign w:val="center"/>
          </w:tcPr>
          <w:p w14:paraId="3380E7E3">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763" w:type="dxa"/>
            <w:vMerge w:val="continue"/>
            <w:noWrap w:val="0"/>
            <w:vAlign w:val="center"/>
          </w:tcPr>
          <w:p w14:paraId="2D5488BE">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1662" w:type="dxa"/>
            <w:noWrap w:val="0"/>
            <w:vAlign w:val="center"/>
          </w:tcPr>
          <w:p w14:paraId="3A01355D">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default" w:ascii="Times New Roman" w:hAnsi="Times New Roman" w:eastAsia="仿宋_GB2312" w:cs="Times New Roman"/>
                <w:bCs/>
                <w:color w:val="000000"/>
                <w:kern w:val="0"/>
                <w:sz w:val="24"/>
                <w:szCs w:val="24"/>
                <w:highlight w:val="none"/>
                <w:lang w:val="en-US" w:eastAsia="zh-CN" w:bidi="ar-SA"/>
              </w:rPr>
              <w:t>至</w:t>
            </w:r>
            <w:r>
              <w:rPr>
                <w:rFonts w:hint="eastAsia" w:ascii="Times New Roman" w:hAnsi="Times New Roman" w:eastAsia="仿宋_GB2312" w:cs="Times New Roman"/>
                <w:bCs/>
                <w:color w:val="000000"/>
                <w:kern w:val="0"/>
                <w:sz w:val="24"/>
                <w:szCs w:val="24"/>
                <w:highlight w:val="none"/>
                <w:lang w:val="en-US" w:eastAsia="zh-CN" w:bidi="ar-SA"/>
              </w:rPr>
              <w:t>评价</w:t>
            </w:r>
            <w:r>
              <w:rPr>
                <w:rFonts w:hint="default" w:ascii="Times New Roman" w:hAnsi="Times New Roman" w:eastAsia="仿宋_GB2312" w:cs="Times New Roman"/>
                <w:bCs/>
                <w:color w:val="000000"/>
                <w:kern w:val="0"/>
                <w:sz w:val="24"/>
                <w:szCs w:val="24"/>
                <w:highlight w:val="none"/>
                <w:lang w:val="en-US" w:eastAsia="zh-CN" w:bidi="ar-SA"/>
              </w:rPr>
              <w:t>基准日的支出管理成本</w:t>
            </w:r>
          </w:p>
        </w:tc>
        <w:tc>
          <w:tcPr>
            <w:tcW w:w="5324" w:type="dxa"/>
            <w:noWrap w:val="0"/>
            <w:vAlign w:val="center"/>
          </w:tcPr>
          <w:p w14:paraId="18852FAF">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eastAsia"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为满足数据治理、数据质量、数据安全等数据管理需求所投入的成本，包括数据管理人员费用、第三方数据管理服务费用。</w:t>
            </w:r>
          </w:p>
        </w:tc>
      </w:tr>
      <w:tr w14:paraId="4D2B511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73" w:type="dxa"/>
            <w:vMerge w:val="continue"/>
            <w:noWrap w:val="0"/>
            <w:vAlign w:val="center"/>
          </w:tcPr>
          <w:p w14:paraId="7DC2C45D">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763" w:type="dxa"/>
            <w:vMerge w:val="continue"/>
            <w:noWrap w:val="0"/>
            <w:vAlign w:val="center"/>
          </w:tcPr>
          <w:p w14:paraId="412D19C2">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1662" w:type="dxa"/>
            <w:noWrap w:val="0"/>
            <w:vAlign w:val="center"/>
          </w:tcPr>
          <w:p w14:paraId="1D33DCF5">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default" w:ascii="Times New Roman" w:hAnsi="Times New Roman" w:eastAsia="仿宋_GB2312" w:cs="Times New Roman"/>
                <w:bCs/>
                <w:color w:val="000000"/>
                <w:kern w:val="0"/>
                <w:sz w:val="24"/>
                <w:szCs w:val="24"/>
                <w:highlight w:val="none"/>
                <w:lang w:val="en-US" w:eastAsia="zh-CN" w:bidi="ar-SA"/>
              </w:rPr>
              <w:t>至</w:t>
            </w:r>
            <w:r>
              <w:rPr>
                <w:rFonts w:hint="eastAsia" w:ascii="Times New Roman" w:hAnsi="Times New Roman" w:eastAsia="仿宋_GB2312" w:cs="Times New Roman"/>
                <w:bCs/>
                <w:color w:val="000000"/>
                <w:kern w:val="0"/>
                <w:sz w:val="24"/>
                <w:szCs w:val="24"/>
                <w:highlight w:val="none"/>
                <w:lang w:val="en-US" w:eastAsia="zh-CN" w:bidi="ar-SA"/>
              </w:rPr>
              <w:t>评价</w:t>
            </w:r>
            <w:r>
              <w:rPr>
                <w:rFonts w:hint="default" w:ascii="Times New Roman" w:hAnsi="Times New Roman" w:eastAsia="仿宋_GB2312" w:cs="Times New Roman"/>
                <w:bCs/>
                <w:color w:val="000000"/>
                <w:kern w:val="0"/>
                <w:sz w:val="24"/>
                <w:szCs w:val="24"/>
                <w:highlight w:val="none"/>
                <w:lang w:val="en-US" w:eastAsia="zh-CN" w:bidi="ar-SA"/>
              </w:rPr>
              <w:t>基准日的支出其他成本与其他成本指标</w:t>
            </w:r>
          </w:p>
        </w:tc>
        <w:tc>
          <w:tcPr>
            <w:tcW w:w="5324" w:type="dxa"/>
            <w:noWrap w:val="0"/>
            <w:vAlign w:val="center"/>
          </w:tcPr>
          <w:p w14:paraId="2E71F5F9">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eastAsia"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除采集、加工、应用、管理成本外，数据知识产权涉及的其他相关成本。</w:t>
            </w:r>
          </w:p>
        </w:tc>
      </w:tr>
      <w:tr w14:paraId="71B032D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73" w:type="dxa"/>
            <w:vMerge w:val="continue"/>
            <w:noWrap w:val="0"/>
            <w:vAlign w:val="center"/>
          </w:tcPr>
          <w:p w14:paraId="390BD231">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763" w:type="dxa"/>
            <w:vMerge w:val="restart"/>
            <w:noWrap w:val="0"/>
            <w:vAlign w:val="center"/>
          </w:tcPr>
          <w:p w14:paraId="749C09D1">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其他成本指标</w:t>
            </w:r>
          </w:p>
        </w:tc>
        <w:tc>
          <w:tcPr>
            <w:tcW w:w="1662" w:type="dxa"/>
            <w:noWrap w:val="0"/>
            <w:vAlign w:val="center"/>
          </w:tcPr>
          <w:p w14:paraId="29A2ABF3">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default" w:ascii="Times New Roman" w:hAnsi="Times New Roman" w:eastAsia="仿宋_GB2312" w:cs="Times New Roman"/>
                <w:bCs/>
                <w:color w:val="000000"/>
                <w:kern w:val="0"/>
                <w:sz w:val="24"/>
                <w:szCs w:val="24"/>
                <w:highlight w:val="none"/>
                <w:lang w:val="en-US" w:eastAsia="zh-CN" w:bidi="ar-SA"/>
              </w:rPr>
              <w:t>数据知识产权流通税费</w:t>
            </w:r>
          </w:p>
        </w:tc>
        <w:tc>
          <w:tcPr>
            <w:tcW w:w="5324" w:type="dxa"/>
            <w:noWrap w:val="0"/>
            <w:vAlign w:val="center"/>
          </w:tcPr>
          <w:p w14:paraId="42636701">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eastAsia"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在计算数据知识产权重置成本时，需要考虑的与数据知识产权相关的税费，这些税费可能包括购买资产时需要缴纳的各种税款，如关税、附加税等。</w:t>
            </w:r>
          </w:p>
        </w:tc>
      </w:tr>
      <w:tr w14:paraId="514482D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73" w:type="dxa"/>
            <w:vMerge w:val="continue"/>
            <w:noWrap w:val="0"/>
            <w:vAlign w:val="center"/>
          </w:tcPr>
          <w:p w14:paraId="505BF390">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763" w:type="dxa"/>
            <w:vMerge w:val="continue"/>
            <w:noWrap w:val="0"/>
            <w:vAlign w:val="center"/>
          </w:tcPr>
          <w:p w14:paraId="1F3C460C">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1662" w:type="dxa"/>
            <w:noWrap w:val="0"/>
            <w:vAlign w:val="center"/>
          </w:tcPr>
          <w:p w14:paraId="0E1A0AB5">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default" w:ascii="Times New Roman" w:hAnsi="Times New Roman" w:eastAsia="仿宋_GB2312" w:cs="Times New Roman"/>
                <w:bCs/>
                <w:color w:val="000000"/>
                <w:kern w:val="0"/>
                <w:sz w:val="24"/>
                <w:szCs w:val="24"/>
                <w:highlight w:val="none"/>
                <w:lang w:val="en-US" w:eastAsia="zh-CN" w:bidi="ar-SA"/>
              </w:rPr>
              <w:t>数据知识产权</w:t>
            </w:r>
            <w:r>
              <w:rPr>
                <w:rFonts w:hint="eastAsia" w:ascii="Times New Roman" w:hAnsi="Times New Roman" w:eastAsia="仿宋_GB2312" w:cs="Times New Roman"/>
                <w:bCs/>
                <w:color w:val="000000"/>
                <w:kern w:val="0"/>
                <w:sz w:val="24"/>
                <w:szCs w:val="24"/>
                <w:highlight w:val="none"/>
                <w:lang w:val="en-US" w:eastAsia="zh-CN" w:bidi="ar-SA"/>
              </w:rPr>
              <w:t>机会成本</w:t>
            </w:r>
          </w:p>
        </w:tc>
        <w:tc>
          <w:tcPr>
            <w:tcW w:w="5324" w:type="dxa"/>
            <w:noWrap w:val="0"/>
            <w:vAlign w:val="center"/>
          </w:tcPr>
          <w:p w14:paraId="12274C45">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eastAsia"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在计算数据知识产权重置成本时加入的投资者期望从数据知识产权投资中获得的利润以及其资金放在银行理财仍能获取一定的资金成本。</w:t>
            </w:r>
          </w:p>
        </w:tc>
      </w:tr>
      <w:tr w14:paraId="1194DAB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73" w:type="dxa"/>
            <w:vMerge w:val="continue"/>
            <w:noWrap w:val="0"/>
            <w:vAlign w:val="center"/>
          </w:tcPr>
          <w:p w14:paraId="7067E1E5">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763" w:type="dxa"/>
            <w:vMerge w:val="continue"/>
            <w:noWrap w:val="0"/>
            <w:vAlign w:val="center"/>
          </w:tcPr>
          <w:p w14:paraId="6DBD4B56">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1662" w:type="dxa"/>
            <w:noWrap w:val="0"/>
            <w:vAlign w:val="center"/>
          </w:tcPr>
          <w:p w14:paraId="679A369F">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数据知识产权规模</w:t>
            </w:r>
          </w:p>
        </w:tc>
        <w:tc>
          <w:tcPr>
            <w:tcW w:w="5324" w:type="dxa"/>
            <w:noWrap w:val="0"/>
            <w:vAlign w:val="center"/>
          </w:tcPr>
          <w:p w14:paraId="324B034C">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default" w:ascii="Times New Roman" w:hAnsi="Times New Roman" w:eastAsia="仿宋_GB2312" w:cs="Times New Roman"/>
                <w:bCs/>
                <w:color w:val="000000"/>
                <w:kern w:val="0"/>
                <w:sz w:val="24"/>
                <w:szCs w:val="24"/>
                <w:highlight w:val="none"/>
                <w:lang w:val="en-US" w:eastAsia="zh-CN" w:bidi="ar-SA"/>
              </w:rPr>
              <w:t>构成数据知识产权的各数据项所包含的数据记录数量之和</w:t>
            </w:r>
            <w:r>
              <w:rPr>
                <w:rFonts w:hint="eastAsia" w:ascii="Times New Roman" w:hAnsi="Times New Roman" w:eastAsia="仿宋_GB2312" w:cs="Times New Roman"/>
                <w:bCs/>
                <w:color w:val="000000"/>
                <w:kern w:val="0"/>
                <w:sz w:val="24"/>
                <w:szCs w:val="24"/>
                <w:highlight w:val="none"/>
                <w:lang w:val="en-US" w:eastAsia="zh-CN" w:bidi="ar-SA"/>
              </w:rPr>
              <w:t>。</w:t>
            </w:r>
          </w:p>
        </w:tc>
      </w:tr>
      <w:tr w14:paraId="419E786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73" w:type="dxa"/>
            <w:vMerge w:val="continue"/>
            <w:noWrap w:val="0"/>
            <w:vAlign w:val="center"/>
          </w:tcPr>
          <w:p w14:paraId="7251EFFF">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763" w:type="dxa"/>
            <w:vMerge w:val="continue"/>
            <w:noWrap w:val="0"/>
            <w:vAlign w:val="center"/>
          </w:tcPr>
          <w:p w14:paraId="2867A13E">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1662" w:type="dxa"/>
            <w:noWrap w:val="0"/>
            <w:vAlign w:val="center"/>
          </w:tcPr>
          <w:p w14:paraId="1F6F0F59">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数据知识产权生产率</w:t>
            </w:r>
          </w:p>
        </w:tc>
        <w:tc>
          <w:tcPr>
            <w:tcW w:w="5324" w:type="dxa"/>
            <w:noWrap w:val="0"/>
            <w:vAlign w:val="center"/>
          </w:tcPr>
          <w:p w14:paraId="2666A415">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eastAsia"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处理一个数据记录的数据项所需的人时。</w:t>
            </w:r>
          </w:p>
        </w:tc>
      </w:tr>
      <w:tr w14:paraId="4AAC806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73" w:type="dxa"/>
            <w:vMerge w:val="continue"/>
            <w:noWrap w:val="0"/>
            <w:vAlign w:val="center"/>
          </w:tcPr>
          <w:p w14:paraId="1E851A1C">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763" w:type="dxa"/>
            <w:vMerge w:val="continue"/>
            <w:noWrap w:val="0"/>
            <w:vAlign w:val="center"/>
          </w:tcPr>
          <w:p w14:paraId="7E14B07E">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1662" w:type="dxa"/>
            <w:noWrap w:val="0"/>
            <w:vAlign w:val="center"/>
          </w:tcPr>
          <w:p w14:paraId="68140071">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数据知识产权人月费率</w:t>
            </w:r>
          </w:p>
        </w:tc>
        <w:tc>
          <w:tcPr>
            <w:tcW w:w="5324" w:type="dxa"/>
            <w:noWrap w:val="0"/>
            <w:vAlign w:val="center"/>
          </w:tcPr>
          <w:p w14:paraId="61A92A90">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eastAsia"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投入每人月工作量所需支出的费用，包含数据知识产权的直接人力成本、间接成本以及合理利润，但不包括直接非人力成本。</w:t>
            </w:r>
          </w:p>
        </w:tc>
      </w:tr>
      <w:tr w14:paraId="75A9009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73" w:type="dxa"/>
            <w:vMerge w:val="continue"/>
            <w:noWrap w:val="0"/>
            <w:vAlign w:val="center"/>
          </w:tcPr>
          <w:p w14:paraId="425B8AAF">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763" w:type="dxa"/>
            <w:vMerge w:val="continue"/>
            <w:noWrap w:val="0"/>
            <w:vAlign w:val="center"/>
          </w:tcPr>
          <w:p w14:paraId="350D6144">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1662" w:type="dxa"/>
            <w:noWrap w:val="0"/>
            <w:vAlign w:val="center"/>
          </w:tcPr>
          <w:p w14:paraId="78062118">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直接非人力成本</w:t>
            </w:r>
          </w:p>
        </w:tc>
        <w:tc>
          <w:tcPr>
            <w:tcW w:w="5324" w:type="dxa"/>
            <w:noWrap w:val="0"/>
            <w:vAlign w:val="center"/>
          </w:tcPr>
          <w:p w14:paraId="62C5C227">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eastAsia"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和项目直接相关的、人力成本之外的成本，通常包括软硬件、知识产权等内容的购置、租赁费用，以及专为本项目投入的差旅成本等。</w:t>
            </w:r>
          </w:p>
        </w:tc>
      </w:tr>
      <w:tr w14:paraId="03ECBBF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73" w:type="dxa"/>
            <w:vMerge w:val="continue"/>
            <w:noWrap w:val="0"/>
            <w:vAlign w:val="center"/>
          </w:tcPr>
          <w:p w14:paraId="4CE3B38C">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763" w:type="dxa"/>
            <w:vMerge w:val="continue"/>
            <w:noWrap w:val="0"/>
            <w:vAlign w:val="center"/>
          </w:tcPr>
          <w:p w14:paraId="351ACB80">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1662" w:type="dxa"/>
            <w:noWrap w:val="0"/>
            <w:vAlign w:val="center"/>
          </w:tcPr>
          <w:p w14:paraId="3DBB9728">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贬值率</w:t>
            </w:r>
          </w:p>
        </w:tc>
        <w:tc>
          <w:tcPr>
            <w:tcW w:w="5324" w:type="dxa"/>
            <w:noWrap w:val="0"/>
            <w:vAlign w:val="center"/>
          </w:tcPr>
          <w:p w14:paraId="15689A03">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eastAsia"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贬值率评价主要通过剩余经济寿命法，剩余经济寿命法公式为剩余经济寿命/</w:t>
            </w:r>
            <w:r>
              <w:rPr>
                <w:rFonts w:hint="eastAsia" w:cs="Times New Roman"/>
                <w:bCs/>
                <w:color w:val="000000"/>
                <w:kern w:val="0"/>
                <w:sz w:val="24"/>
                <w:szCs w:val="24"/>
                <w:highlight w:val="none"/>
                <w:lang w:val="en-US" w:eastAsia="zh-CN" w:bidi="ar-SA"/>
              </w:rPr>
              <w:t>（</w:t>
            </w:r>
            <w:r>
              <w:rPr>
                <w:rFonts w:hint="eastAsia" w:ascii="Times New Roman" w:hAnsi="Times New Roman" w:eastAsia="仿宋_GB2312" w:cs="Times New Roman"/>
                <w:bCs/>
                <w:color w:val="000000"/>
                <w:kern w:val="0"/>
                <w:sz w:val="24"/>
                <w:szCs w:val="24"/>
                <w:highlight w:val="none"/>
                <w:lang w:val="en-US" w:eastAsia="zh-CN" w:bidi="ar-SA"/>
              </w:rPr>
              <w:t>已使用寿命+剩余经济寿命</w:t>
            </w:r>
            <w:r>
              <w:rPr>
                <w:rFonts w:hint="eastAsia" w:cs="Times New Roman"/>
                <w:bCs/>
                <w:color w:val="000000"/>
                <w:kern w:val="0"/>
                <w:sz w:val="24"/>
                <w:szCs w:val="24"/>
                <w:highlight w:val="none"/>
                <w:lang w:val="en-US" w:eastAsia="zh-CN" w:bidi="ar-SA"/>
              </w:rPr>
              <w:t>）</w:t>
            </w:r>
            <w:r>
              <w:rPr>
                <w:rFonts w:hint="eastAsia" w:ascii="Times New Roman" w:hAnsi="Times New Roman" w:eastAsia="仿宋_GB2312" w:cs="Times New Roman"/>
                <w:bCs/>
                <w:color w:val="000000"/>
                <w:kern w:val="0"/>
                <w:sz w:val="24"/>
                <w:szCs w:val="24"/>
                <w:highlight w:val="none"/>
                <w:lang w:val="en-US" w:eastAsia="zh-CN" w:bidi="ar-SA"/>
              </w:rPr>
              <w:t>×100%。</w:t>
            </w:r>
          </w:p>
        </w:tc>
      </w:tr>
      <w:tr w14:paraId="5C71DA9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3" w:type="dxa"/>
            <w:vMerge w:val="continue"/>
            <w:noWrap w:val="0"/>
            <w:vAlign w:val="center"/>
          </w:tcPr>
          <w:p w14:paraId="1629C3AA">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eastAsia" w:ascii="Times New Roman" w:hAnsi="Times New Roman" w:eastAsia="仿宋_GB2312" w:cs="Times New Roman"/>
                <w:bCs/>
                <w:color w:val="000000"/>
                <w:kern w:val="0"/>
                <w:sz w:val="24"/>
                <w:szCs w:val="24"/>
                <w:highlight w:val="none"/>
                <w:lang w:val="en-US" w:eastAsia="zh-CN" w:bidi="ar-SA"/>
              </w:rPr>
            </w:pPr>
          </w:p>
        </w:tc>
        <w:tc>
          <w:tcPr>
            <w:tcW w:w="763" w:type="dxa"/>
            <w:vMerge w:val="restart"/>
            <w:noWrap w:val="0"/>
            <w:vAlign w:val="center"/>
          </w:tcPr>
          <w:p w14:paraId="217DDDF1">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成本调整指标</w:t>
            </w:r>
          </w:p>
        </w:tc>
        <w:tc>
          <w:tcPr>
            <w:tcW w:w="1662" w:type="dxa"/>
            <w:noWrap w:val="0"/>
            <w:vAlign w:val="center"/>
          </w:tcPr>
          <w:p w14:paraId="0C71A7C8">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default" w:ascii="Times New Roman" w:hAnsi="Times New Roman" w:eastAsia="仿宋_GB2312" w:cs="Times New Roman"/>
                <w:bCs/>
                <w:color w:val="000000"/>
                <w:kern w:val="0"/>
                <w:sz w:val="24"/>
                <w:szCs w:val="24"/>
                <w:highlight w:val="none"/>
                <w:lang w:val="en-US" w:eastAsia="zh-CN" w:bidi="ar-SA"/>
              </w:rPr>
              <w:t>质量特性调整因子</w:t>
            </w:r>
          </w:p>
        </w:tc>
        <w:tc>
          <w:tcPr>
            <w:tcW w:w="5324" w:type="dxa"/>
            <w:noWrap w:val="0"/>
            <w:vAlign w:val="center"/>
          </w:tcPr>
          <w:p w14:paraId="5594407C">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eastAsia"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数据知识产权由于其实际特性，对质量有所要求，不同的质量要求会对工作量造成较大影响。</w:t>
            </w:r>
          </w:p>
        </w:tc>
      </w:tr>
      <w:tr w14:paraId="54C05F8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73" w:type="dxa"/>
            <w:vMerge w:val="continue"/>
            <w:noWrap w:val="0"/>
            <w:vAlign w:val="center"/>
          </w:tcPr>
          <w:p w14:paraId="4C17EAF7">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eastAsia" w:ascii="Times New Roman" w:hAnsi="Times New Roman" w:eastAsia="仿宋_GB2312" w:cs="Times New Roman"/>
                <w:bCs/>
                <w:color w:val="000000"/>
                <w:kern w:val="0"/>
                <w:sz w:val="24"/>
                <w:szCs w:val="24"/>
                <w:highlight w:val="none"/>
                <w:lang w:val="en-US" w:eastAsia="zh-CN" w:bidi="ar-SA"/>
              </w:rPr>
            </w:pPr>
          </w:p>
        </w:tc>
        <w:tc>
          <w:tcPr>
            <w:tcW w:w="763" w:type="dxa"/>
            <w:vMerge w:val="continue"/>
            <w:noWrap w:val="0"/>
            <w:vAlign w:val="center"/>
          </w:tcPr>
          <w:p w14:paraId="29437B5B">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eastAsia" w:ascii="Times New Roman" w:hAnsi="Times New Roman" w:eastAsia="仿宋_GB2312" w:cs="Times New Roman"/>
                <w:bCs/>
                <w:color w:val="000000"/>
                <w:kern w:val="0"/>
                <w:sz w:val="24"/>
                <w:szCs w:val="24"/>
                <w:highlight w:val="none"/>
                <w:lang w:val="en-US" w:eastAsia="zh-CN" w:bidi="ar-SA"/>
              </w:rPr>
            </w:pPr>
          </w:p>
        </w:tc>
        <w:tc>
          <w:tcPr>
            <w:tcW w:w="1662" w:type="dxa"/>
            <w:noWrap w:val="0"/>
            <w:vAlign w:val="center"/>
          </w:tcPr>
          <w:p w14:paraId="72028020">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合规性调整因子</w:t>
            </w:r>
          </w:p>
        </w:tc>
        <w:tc>
          <w:tcPr>
            <w:tcW w:w="5324" w:type="dxa"/>
            <w:noWrap w:val="0"/>
            <w:vAlign w:val="center"/>
          </w:tcPr>
          <w:p w14:paraId="2D040BCA">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eastAsia"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合规性调整因子是一个量化指标或系数，用于在风险评价、定价等场景中，动态反映和纳入特定实体的合规风险状况或合规表现，并据此对初始评价结果、定价基础、额度建议或其他业务决策参数进行正向或负向的调整，正向因子&gt;1.0、中性因子=1.0、负向因子&lt;1.0。</w:t>
            </w:r>
          </w:p>
        </w:tc>
      </w:tr>
      <w:tr w14:paraId="5A35DBD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73" w:type="dxa"/>
            <w:vMerge w:val="continue"/>
            <w:noWrap w:val="0"/>
            <w:vAlign w:val="center"/>
          </w:tcPr>
          <w:p w14:paraId="79304F1A">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763" w:type="dxa"/>
            <w:vMerge w:val="continue"/>
            <w:noWrap w:val="0"/>
            <w:vAlign w:val="center"/>
          </w:tcPr>
          <w:p w14:paraId="4B60D7D9">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1662" w:type="dxa"/>
            <w:noWrap w:val="0"/>
            <w:vAlign w:val="center"/>
          </w:tcPr>
          <w:p w14:paraId="7F6DF777">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default" w:ascii="Times New Roman" w:hAnsi="Times New Roman" w:eastAsia="仿宋_GB2312" w:cs="Times New Roman"/>
                <w:bCs/>
                <w:color w:val="000000"/>
                <w:kern w:val="0"/>
                <w:sz w:val="24"/>
                <w:szCs w:val="24"/>
                <w:highlight w:val="none"/>
                <w:lang w:val="en-US" w:eastAsia="zh-CN" w:bidi="ar-SA"/>
              </w:rPr>
              <w:t>行业应用领域调整因子</w:t>
            </w:r>
          </w:p>
        </w:tc>
        <w:tc>
          <w:tcPr>
            <w:tcW w:w="5324" w:type="dxa"/>
            <w:noWrap w:val="0"/>
            <w:vAlign w:val="center"/>
          </w:tcPr>
          <w:p w14:paraId="36377EA4">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eastAsia"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行业、领域、区域等不同应用场景的数据知识产权，其商业模式、应用风险对其价值有较大影响，根据被评价数据知识产权所处的行业应用领域，选择不同的调整因子。</w:t>
            </w:r>
          </w:p>
        </w:tc>
      </w:tr>
      <w:tr w14:paraId="4D852FE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73" w:type="dxa"/>
            <w:vMerge w:val="continue"/>
            <w:noWrap w:val="0"/>
            <w:vAlign w:val="center"/>
          </w:tcPr>
          <w:p w14:paraId="3188DC37">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763" w:type="dxa"/>
            <w:vMerge w:val="continue"/>
            <w:noWrap w:val="0"/>
            <w:vAlign w:val="center"/>
          </w:tcPr>
          <w:p w14:paraId="288635D7">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1662" w:type="dxa"/>
            <w:noWrap w:val="0"/>
            <w:vAlign w:val="center"/>
          </w:tcPr>
          <w:p w14:paraId="7FF2ABEC">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default" w:ascii="Times New Roman" w:hAnsi="Times New Roman" w:eastAsia="仿宋_GB2312" w:cs="Times New Roman"/>
                <w:bCs/>
                <w:color w:val="000000"/>
                <w:kern w:val="0"/>
                <w:sz w:val="24"/>
                <w:szCs w:val="24"/>
                <w:highlight w:val="none"/>
                <w:lang w:val="en-US" w:eastAsia="zh-CN" w:bidi="ar-SA"/>
              </w:rPr>
              <w:t>数据稀缺性调整因子</w:t>
            </w:r>
          </w:p>
        </w:tc>
        <w:tc>
          <w:tcPr>
            <w:tcW w:w="5324" w:type="dxa"/>
            <w:noWrap w:val="0"/>
            <w:vAlign w:val="center"/>
          </w:tcPr>
          <w:p w14:paraId="197EC817">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稀缺性主要描述数据在市场中的供给数量及供给方数量的多寡。数据稀缺性是与经济性相关的一个评价因素，市场上该类数据越稀缺，数据知识产权价值越大。</w:t>
            </w:r>
          </w:p>
        </w:tc>
      </w:tr>
      <w:tr w14:paraId="7D2F7E5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3" w:type="dxa"/>
            <w:vMerge w:val="continue"/>
            <w:noWrap w:val="0"/>
            <w:vAlign w:val="top"/>
          </w:tcPr>
          <w:p w14:paraId="3D74C414">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763" w:type="dxa"/>
            <w:vMerge w:val="continue"/>
            <w:noWrap w:val="0"/>
            <w:vAlign w:val="top"/>
          </w:tcPr>
          <w:p w14:paraId="364095AD">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tc>
        <w:tc>
          <w:tcPr>
            <w:tcW w:w="1662" w:type="dxa"/>
            <w:noWrap w:val="0"/>
            <w:vAlign w:val="center"/>
          </w:tcPr>
          <w:p w14:paraId="22A14705">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其他调整因子</w:t>
            </w:r>
          </w:p>
        </w:tc>
        <w:tc>
          <w:tcPr>
            <w:tcW w:w="5324" w:type="dxa"/>
            <w:noWrap w:val="0"/>
            <w:vAlign w:val="center"/>
          </w:tcPr>
          <w:p w14:paraId="62E7747C">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en-US" w:bidi="ar-SA"/>
              </w:rPr>
            </w:pPr>
            <w:r>
              <w:rPr>
                <w:rFonts w:hint="eastAsia" w:ascii="Times New Roman" w:hAnsi="Times New Roman" w:eastAsia="仿宋_GB2312" w:cs="Times New Roman"/>
                <w:bCs/>
                <w:color w:val="000000"/>
                <w:kern w:val="0"/>
                <w:sz w:val="24"/>
                <w:szCs w:val="24"/>
                <w:highlight w:val="none"/>
                <w:lang w:val="en-US" w:eastAsia="zh-CN" w:bidi="ar-SA"/>
              </w:rPr>
              <w:t>在应用成本法</w:t>
            </w:r>
            <w:r>
              <w:rPr>
                <w:rFonts w:hint="eastAsia" w:cs="Times New Roman"/>
                <w:bCs/>
                <w:color w:val="000000"/>
                <w:kern w:val="0"/>
                <w:sz w:val="24"/>
                <w:szCs w:val="24"/>
                <w:highlight w:val="none"/>
                <w:lang w:val="en-US" w:eastAsia="zh-CN" w:bidi="ar-SA"/>
              </w:rPr>
              <w:t>评价</w:t>
            </w:r>
            <w:r>
              <w:rPr>
                <w:rFonts w:hint="eastAsia" w:ascii="Times New Roman" w:hAnsi="Times New Roman" w:eastAsia="仿宋_GB2312" w:cs="Times New Roman"/>
                <w:bCs/>
                <w:color w:val="000000"/>
                <w:kern w:val="0"/>
                <w:sz w:val="24"/>
                <w:szCs w:val="24"/>
                <w:highlight w:val="none"/>
                <w:lang w:val="en-US" w:eastAsia="zh-CN" w:bidi="ar-SA"/>
              </w:rPr>
              <w:t>数据知识产权价值时，综合考虑其他因素对其价值的影响，选择可量化的调整因子。</w:t>
            </w:r>
          </w:p>
        </w:tc>
      </w:tr>
    </w:tbl>
    <w:p w14:paraId="546E2107">
      <w:pPr>
        <w:keepNext w:val="0"/>
        <w:keepLines w:val="0"/>
        <w:pageBreakBefore w:val="0"/>
        <w:widowControl/>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p>
    <w:p w14:paraId="74BA88D3">
      <w:pPr>
        <w:rPr>
          <w:rFonts w:hint="default" w:ascii="Times New Roman" w:hAnsi="Times New Roman" w:eastAsia="黑体" w:cs="Times New Roman"/>
          <w:bCs/>
          <w:color w:val="000000"/>
          <w:szCs w:val="28"/>
          <w:highlight w:val="none"/>
        </w:rPr>
      </w:pPr>
    </w:p>
    <w:p w14:paraId="338949AF">
      <w:pPr>
        <w:pStyle w:val="2"/>
        <w:rPr>
          <w:rFonts w:hint="default" w:ascii="Times New Roman" w:hAnsi="Times New Roman" w:eastAsia="黑体" w:cs="Times New Roman"/>
          <w:bCs/>
          <w:color w:val="000000"/>
          <w:szCs w:val="28"/>
          <w:highlight w:val="none"/>
        </w:rPr>
      </w:pPr>
    </w:p>
    <w:p w14:paraId="5060510F">
      <w:pPr>
        <w:rPr>
          <w:rFonts w:hint="default"/>
        </w:rPr>
      </w:pPr>
    </w:p>
    <w:p w14:paraId="38EE01AD">
      <w:pPr>
        <w:pStyle w:val="2"/>
        <w:rPr>
          <w:rFonts w:hint="default"/>
        </w:rPr>
      </w:pPr>
    </w:p>
    <w:p w14:paraId="42F97C90">
      <w:pPr>
        <w:pStyle w:val="4"/>
        <w:bidi w:val="0"/>
        <w:jc w:val="center"/>
        <w:rPr>
          <w:rFonts w:hint="eastAsia" w:ascii="黑体" w:hAnsi="黑体" w:eastAsia="黑体" w:cs="黑体"/>
          <w:sz w:val="36"/>
          <w:szCs w:val="36"/>
          <w:highlight w:val="none"/>
          <w:lang w:val="en-US" w:eastAsia="zh-CN"/>
        </w:rPr>
      </w:pPr>
      <w:bookmarkStart w:id="2" w:name="_Toc27722"/>
      <w:r>
        <w:rPr>
          <w:rFonts w:hint="eastAsia" w:ascii="黑体" w:hAnsi="黑体" w:eastAsia="黑体" w:cs="黑体"/>
          <w:sz w:val="36"/>
          <w:szCs w:val="36"/>
          <w:highlight w:val="none"/>
          <w:lang w:val="en-US" w:eastAsia="zh-CN"/>
        </w:rPr>
        <w:t>收益法</w:t>
      </w:r>
      <w:bookmarkEnd w:id="2"/>
      <w:r>
        <w:rPr>
          <w:rFonts w:hint="eastAsia" w:ascii="黑体" w:hAnsi="黑体" w:eastAsia="黑体" w:cs="黑体"/>
          <w:sz w:val="36"/>
          <w:szCs w:val="36"/>
          <w:highlight w:val="none"/>
        </w:rPr>
        <w:t>指标</w:t>
      </w:r>
      <w:r>
        <w:rPr>
          <w:rFonts w:hint="eastAsia" w:ascii="黑体" w:hAnsi="黑体" w:eastAsia="黑体" w:cs="黑体"/>
          <w:sz w:val="36"/>
          <w:szCs w:val="36"/>
          <w:highlight w:val="none"/>
          <w:lang w:val="en-US" w:eastAsia="zh-CN"/>
        </w:rPr>
        <w:t>体系及说明</w:t>
      </w:r>
    </w:p>
    <w:p w14:paraId="4B8509EC">
      <w:pPr>
        <w:rPr>
          <w:rFonts w:hint="eastAsia"/>
          <w:lang w:val="en-US" w:eastAsia="zh-CN"/>
        </w:rPr>
      </w:pPr>
    </w:p>
    <w:tbl>
      <w:tblPr>
        <w:tblStyle w:val="5"/>
        <w:tblW w:w="8519"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85"/>
        <w:gridCol w:w="762"/>
        <w:gridCol w:w="1650"/>
        <w:gridCol w:w="5322"/>
      </w:tblGrid>
      <w:tr w14:paraId="3C8F85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5" w:type="dxa"/>
            <w:noWrap w:val="0"/>
            <w:vAlign w:val="center"/>
          </w:tcPr>
          <w:p w14:paraId="4D37882F">
            <w:pPr>
              <w:widowControl/>
              <w:spacing w:line="400" w:lineRule="exact"/>
              <w:ind w:left="0" w:leftChars="0" w:firstLine="0" w:firstLineChars="0"/>
              <w:jc w:val="center"/>
              <w:rPr>
                <w:rFonts w:hint="default" w:ascii="Times New Roman" w:hAnsi="Times New Roman" w:eastAsia="仿宋_GB2312" w:cs="Times New Roman"/>
                <w:b/>
                <w:color w:val="000000"/>
                <w:kern w:val="0"/>
                <w:sz w:val="24"/>
                <w:szCs w:val="24"/>
                <w:highlight w:val="none"/>
              </w:rPr>
            </w:pPr>
            <w:r>
              <w:rPr>
                <w:rFonts w:hint="default" w:ascii="Times New Roman" w:hAnsi="Times New Roman" w:eastAsia="仿宋_GB2312" w:cs="Times New Roman"/>
                <w:b/>
                <w:color w:val="000000"/>
                <w:kern w:val="0"/>
                <w:sz w:val="24"/>
                <w:szCs w:val="24"/>
                <w:highlight w:val="none"/>
              </w:rPr>
              <w:t>一级指标</w:t>
            </w:r>
          </w:p>
        </w:tc>
        <w:tc>
          <w:tcPr>
            <w:tcW w:w="762" w:type="dxa"/>
            <w:noWrap w:val="0"/>
            <w:vAlign w:val="center"/>
          </w:tcPr>
          <w:p w14:paraId="3524DF39">
            <w:pPr>
              <w:widowControl/>
              <w:spacing w:line="400" w:lineRule="exact"/>
              <w:ind w:left="0" w:leftChars="0" w:firstLine="0" w:firstLineChars="0"/>
              <w:jc w:val="center"/>
              <w:rPr>
                <w:rFonts w:hint="eastAsia" w:ascii="Times New Roman" w:hAnsi="Times New Roman" w:eastAsia="仿宋_GB2312" w:cs="Times New Roman"/>
                <w:b/>
                <w:color w:val="000000"/>
                <w:kern w:val="0"/>
                <w:sz w:val="24"/>
                <w:szCs w:val="24"/>
                <w:highlight w:val="none"/>
                <w:lang w:val="en-US" w:eastAsia="zh-CN"/>
              </w:rPr>
            </w:pPr>
            <w:r>
              <w:rPr>
                <w:rFonts w:hint="eastAsia" w:ascii="Times New Roman" w:hAnsi="Times New Roman" w:cs="Times New Roman"/>
                <w:b/>
                <w:color w:val="000000"/>
                <w:kern w:val="0"/>
                <w:sz w:val="24"/>
                <w:szCs w:val="24"/>
                <w:highlight w:val="none"/>
                <w:lang w:val="en-US" w:eastAsia="zh-CN"/>
              </w:rPr>
              <w:t>二级指标</w:t>
            </w:r>
          </w:p>
        </w:tc>
        <w:tc>
          <w:tcPr>
            <w:tcW w:w="1650" w:type="dxa"/>
            <w:noWrap w:val="0"/>
            <w:vAlign w:val="center"/>
          </w:tcPr>
          <w:p w14:paraId="33F4F4E1">
            <w:pPr>
              <w:widowControl/>
              <w:spacing w:line="400" w:lineRule="exact"/>
              <w:ind w:left="0" w:leftChars="0" w:firstLine="0" w:firstLineChars="0"/>
              <w:jc w:val="center"/>
              <w:rPr>
                <w:rFonts w:hint="default" w:ascii="Times New Roman" w:hAnsi="Times New Roman" w:eastAsia="仿宋_GB2312" w:cs="Times New Roman"/>
                <w:b/>
                <w:color w:val="000000"/>
                <w:kern w:val="0"/>
                <w:sz w:val="24"/>
                <w:szCs w:val="24"/>
                <w:highlight w:val="none"/>
              </w:rPr>
            </w:pPr>
            <w:r>
              <w:rPr>
                <w:rFonts w:hint="eastAsia" w:ascii="Times New Roman" w:hAnsi="Times New Roman" w:cs="Times New Roman"/>
                <w:b/>
                <w:color w:val="000000"/>
                <w:kern w:val="0"/>
                <w:sz w:val="24"/>
                <w:szCs w:val="24"/>
                <w:highlight w:val="none"/>
                <w:lang w:val="en-US" w:eastAsia="zh-CN"/>
              </w:rPr>
              <w:t>三</w:t>
            </w:r>
            <w:r>
              <w:rPr>
                <w:rFonts w:hint="default" w:ascii="Times New Roman" w:hAnsi="Times New Roman" w:eastAsia="仿宋_GB2312" w:cs="Times New Roman"/>
                <w:b/>
                <w:color w:val="000000"/>
                <w:kern w:val="0"/>
                <w:sz w:val="24"/>
                <w:szCs w:val="24"/>
                <w:highlight w:val="none"/>
              </w:rPr>
              <w:t>级指标</w:t>
            </w:r>
          </w:p>
        </w:tc>
        <w:tc>
          <w:tcPr>
            <w:tcW w:w="5322" w:type="dxa"/>
            <w:noWrap w:val="0"/>
            <w:vAlign w:val="center"/>
          </w:tcPr>
          <w:p w14:paraId="7B1568CF">
            <w:pPr>
              <w:widowControl/>
              <w:spacing w:line="400" w:lineRule="exact"/>
              <w:ind w:left="0" w:leftChars="0" w:firstLine="0" w:firstLineChars="0"/>
              <w:jc w:val="center"/>
              <w:rPr>
                <w:rFonts w:hint="default" w:ascii="Times New Roman" w:hAnsi="Times New Roman" w:cs="Times New Roman"/>
                <w:b/>
                <w:color w:val="000000"/>
                <w:kern w:val="0"/>
                <w:sz w:val="24"/>
                <w:szCs w:val="24"/>
                <w:highlight w:val="none"/>
                <w:lang w:val="en-US" w:eastAsia="zh-CN"/>
              </w:rPr>
            </w:pPr>
            <w:r>
              <w:rPr>
                <w:rFonts w:hint="eastAsia" w:cs="Times New Roman"/>
                <w:b/>
                <w:color w:val="000000"/>
                <w:kern w:val="0"/>
                <w:sz w:val="24"/>
                <w:szCs w:val="24"/>
                <w:highlight w:val="none"/>
                <w:lang w:val="en-US" w:eastAsia="zh-CN"/>
              </w:rPr>
              <w:t>参数说明</w:t>
            </w:r>
          </w:p>
        </w:tc>
      </w:tr>
      <w:tr w14:paraId="34667A2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5" w:type="dxa"/>
            <w:vMerge w:val="restart"/>
            <w:noWrap w:val="0"/>
            <w:vAlign w:val="center"/>
          </w:tcPr>
          <w:p w14:paraId="5F73A74A">
            <w:pPr>
              <w:widowControl/>
              <w:spacing w:line="400" w:lineRule="exact"/>
              <w:ind w:left="0" w:leftChars="0" w:firstLine="0" w:firstLineChars="0"/>
              <w:jc w:val="center"/>
              <w:rPr>
                <w:rFonts w:hint="default"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cs="Times New Roman"/>
                <w:bCs/>
                <w:color w:val="000000"/>
                <w:kern w:val="0"/>
                <w:sz w:val="24"/>
                <w:szCs w:val="24"/>
                <w:highlight w:val="none"/>
                <w:lang w:val="en-US" w:eastAsia="zh-CN"/>
              </w:rPr>
              <w:t>收益指标</w:t>
            </w:r>
          </w:p>
        </w:tc>
        <w:tc>
          <w:tcPr>
            <w:tcW w:w="762" w:type="dxa"/>
            <w:vMerge w:val="restart"/>
            <w:noWrap w:val="0"/>
            <w:vAlign w:val="center"/>
          </w:tcPr>
          <w:p w14:paraId="247522E5">
            <w:pPr>
              <w:widowControl/>
              <w:spacing w:line="400" w:lineRule="exact"/>
              <w:ind w:left="0" w:leftChars="0" w:firstLine="0" w:firstLineChars="0"/>
              <w:jc w:val="center"/>
              <w:rPr>
                <w:rFonts w:hint="default"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cs="Times New Roman"/>
                <w:bCs/>
                <w:color w:val="000000"/>
                <w:kern w:val="0"/>
                <w:sz w:val="24"/>
                <w:szCs w:val="24"/>
                <w:highlight w:val="none"/>
                <w:lang w:val="en-US" w:eastAsia="zh-CN" w:bidi="ar-SA"/>
              </w:rPr>
              <w:t>收益基本指标</w:t>
            </w:r>
          </w:p>
        </w:tc>
        <w:tc>
          <w:tcPr>
            <w:tcW w:w="1650" w:type="dxa"/>
            <w:noWrap w:val="0"/>
            <w:vAlign w:val="center"/>
          </w:tcPr>
          <w:p w14:paraId="5BDE1C21">
            <w:pPr>
              <w:spacing w:line="400" w:lineRule="exact"/>
              <w:ind w:left="0" w:leftChars="0" w:firstLine="0" w:firstLineChars="0"/>
              <w:jc w:val="both"/>
              <w:rPr>
                <w:rFonts w:hint="default" w:ascii="Times New Roman" w:hAnsi="Times New Roman" w:cs="Times New Roman"/>
                <w:b w:val="0"/>
                <w:bCs/>
                <w:color w:val="000000"/>
                <w:sz w:val="24"/>
                <w:szCs w:val="24"/>
                <w:highlight w:val="none"/>
                <w:lang w:val="en-US" w:eastAsia="zh-CN"/>
              </w:rPr>
            </w:pPr>
            <w:r>
              <w:rPr>
                <w:rFonts w:hint="eastAsia" w:ascii="Times New Roman" w:hAnsi="Times New Roman" w:cs="Times New Roman"/>
                <w:b w:val="0"/>
                <w:bCs/>
                <w:color w:val="000000"/>
                <w:sz w:val="24"/>
                <w:szCs w:val="24"/>
                <w:highlight w:val="none"/>
                <w:lang w:eastAsia="zh-CN"/>
              </w:rPr>
              <w:t>数据知识产权</w:t>
            </w:r>
            <w:r>
              <w:rPr>
                <w:rFonts w:hint="default" w:ascii="Times New Roman" w:hAnsi="Times New Roman" w:cs="Times New Roman"/>
                <w:b w:val="0"/>
                <w:bCs/>
                <w:color w:val="000000"/>
                <w:sz w:val="24"/>
                <w:szCs w:val="24"/>
                <w:highlight w:val="none"/>
              </w:rPr>
              <w:t>预期收益额</w:t>
            </w:r>
          </w:p>
        </w:tc>
        <w:tc>
          <w:tcPr>
            <w:tcW w:w="5322" w:type="dxa"/>
            <w:noWrap w:val="0"/>
            <w:vAlign w:val="center"/>
          </w:tcPr>
          <w:p w14:paraId="0AF0FAB8">
            <w:pPr>
              <w:pStyle w:val="7"/>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eastAsia"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预期收益是指数据知识产权在未来第t年，通过特定使用场景创造的净收益（或节约的成本）。通过对企业顾客群体细分、模拟实境、个性化精准推荐、数据搜索，合理区分并剔除与委托评价的数据知识产权无关的业务产生的收益，合理预测数据知识产权能为接受服务的客户带来多少超额收益，或者能帮助客户节约多少成本费用。</w:t>
            </w:r>
          </w:p>
        </w:tc>
      </w:tr>
      <w:tr w14:paraId="675F6F1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5" w:type="dxa"/>
            <w:vMerge w:val="continue"/>
            <w:noWrap w:val="0"/>
            <w:vAlign w:val="center"/>
          </w:tcPr>
          <w:p w14:paraId="7F024921">
            <w:pPr>
              <w:widowControl/>
              <w:spacing w:line="400" w:lineRule="exact"/>
              <w:jc w:val="center"/>
              <w:rPr>
                <w:rFonts w:hint="default" w:ascii="Times New Roman" w:hAnsi="Times New Roman" w:eastAsia="仿宋_GB2312" w:cs="Times New Roman"/>
                <w:bCs/>
                <w:color w:val="000000"/>
                <w:kern w:val="0"/>
                <w:sz w:val="24"/>
                <w:szCs w:val="24"/>
                <w:highlight w:val="none"/>
              </w:rPr>
            </w:pPr>
          </w:p>
        </w:tc>
        <w:tc>
          <w:tcPr>
            <w:tcW w:w="762" w:type="dxa"/>
            <w:vMerge w:val="continue"/>
            <w:noWrap w:val="0"/>
            <w:vAlign w:val="center"/>
          </w:tcPr>
          <w:p w14:paraId="2A44DF6E">
            <w:pPr>
              <w:widowControl/>
              <w:spacing w:line="400" w:lineRule="exact"/>
              <w:jc w:val="center"/>
              <w:rPr>
                <w:rFonts w:hint="default" w:ascii="Times New Roman" w:hAnsi="Times New Roman" w:eastAsia="仿宋_GB2312" w:cs="Times New Roman"/>
                <w:bCs/>
                <w:color w:val="000000"/>
                <w:kern w:val="0"/>
                <w:sz w:val="24"/>
                <w:szCs w:val="24"/>
                <w:highlight w:val="none"/>
                <w:lang w:val="en-US" w:eastAsia="zh-CN" w:bidi="ar-SA"/>
              </w:rPr>
            </w:pPr>
          </w:p>
        </w:tc>
        <w:tc>
          <w:tcPr>
            <w:tcW w:w="1650" w:type="dxa"/>
            <w:noWrap w:val="0"/>
            <w:vAlign w:val="center"/>
          </w:tcPr>
          <w:p w14:paraId="0BA29857">
            <w:pPr>
              <w:spacing w:line="400" w:lineRule="exact"/>
              <w:ind w:left="0" w:leftChars="0" w:firstLine="0" w:firstLineChars="0"/>
              <w:jc w:val="both"/>
              <w:rPr>
                <w:rFonts w:hint="eastAsia" w:ascii="Times New Roman" w:hAnsi="Times New Roman" w:eastAsia="仿宋_GB2312" w:cs="Times New Roman"/>
                <w:b w:val="0"/>
                <w:bCs/>
                <w:color w:val="000000"/>
                <w:sz w:val="24"/>
                <w:szCs w:val="24"/>
                <w:highlight w:val="none"/>
                <w:lang w:val="en-US" w:eastAsia="zh-CN"/>
              </w:rPr>
            </w:pPr>
            <w:r>
              <w:rPr>
                <w:rFonts w:hint="default" w:ascii="Times New Roman" w:hAnsi="Times New Roman" w:cs="Times New Roman"/>
                <w:b w:val="0"/>
                <w:bCs/>
                <w:color w:val="000000"/>
                <w:sz w:val="24"/>
                <w:szCs w:val="24"/>
                <w:highlight w:val="none"/>
              </w:rPr>
              <w:t>剩余收益期</w:t>
            </w:r>
            <w:r>
              <w:rPr>
                <w:rFonts w:hint="eastAsia" w:cs="Times New Roman"/>
                <w:b w:val="0"/>
                <w:bCs/>
                <w:color w:val="000000"/>
                <w:sz w:val="24"/>
                <w:szCs w:val="24"/>
                <w:highlight w:val="none"/>
                <w:lang w:val="en-US" w:eastAsia="zh-CN"/>
              </w:rPr>
              <w:t>限</w:t>
            </w:r>
          </w:p>
        </w:tc>
        <w:tc>
          <w:tcPr>
            <w:tcW w:w="5322" w:type="dxa"/>
            <w:noWrap w:val="0"/>
            <w:vAlign w:val="center"/>
          </w:tcPr>
          <w:p w14:paraId="3961F991">
            <w:pPr>
              <w:pStyle w:val="7"/>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剩余收益期限指数据知识产权能够持续为权利人带来预期收益的“有效年限”，即经调整至评价基准日起至未来不能获取收益之日止的时间段。</w:t>
            </w:r>
          </w:p>
        </w:tc>
      </w:tr>
      <w:tr w14:paraId="3DC4EE1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5" w:type="dxa"/>
            <w:vMerge w:val="continue"/>
            <w:noWrap w:val="0"/>
            <w:vAlign w:val="center"/>
          </w:tcPr>
          <w:p w14:paraId="505C8139">
            <w:pPr>
              <w:widowControl/>
              <w:spacing w:line="400" w:lineRule="exact"/>
              <w:jc w:val="center"/>
              <w:rPr>
                <w:rFonts w:hint="default" w:ascii="Times New Roman" w:hAnsi="Times New Roman" w:eastAsia="仿宋_GB2312" w:cs="Times New Roman"/>
                <w:bCs/>
                <w:color w:val="000000"/>
                <w:kern w:val="0"/>
                <w:sz w:val="24"/>
                <w:szCs w:val="24"/>
                <w:highlight w:val="none"/>
              </w:rPr>
            </w:pPr>
          </w:p>
        </w:tc>
        <w:tc>
          <w:tcPr>
            <w:tcW w:w="762" w:type="dxa"/>
            <w:vMerge w:val="continue"/>
            <w:noWrap w:val="0"/>
            <w:vAlign w:val="center"/>
          </w:tcPr>
          <w:p w14:paraId="53322F36">
            <w:pPr>
              <w:widowControl/>
              <w:spacing w:line="400" w:lineRule="exact"/>
              <w:jc w:val="center"/>
              <w:rPr>
                <w:rFonts w:hint="default" w:ascii="Times New Roman" w:hAnsi="Times New Roman" w:eastAsia="仿宋_GB2312" w:cs="Times New Roman"/>
                <w:bCs/>
                <w:color w:val="000000"/>
                <w:kern w:val="0"/>
                <w:sz w:val="24"/>
                <w:szCs w:val="24"/>
                <w:highlight w:val="none"/>
                <w:lang w:val="en-US" w:eastAsia="zh-CN" w:bidi="ar-SA"/>
              </w:rPr>
            </w:pPr>
          </w:p>
        </w:tc>
        <w:tc>
          <w:tcPr>
            <w:tcW w:w="1650" w:type="dxa"/>
            <w:noWrap w:val="0"/>
            <w:vAlign w:val="center"/>
          </w:tcPr>
          <w:p w14:paraId="6E82216D">
            <w:pPr>
              <w:spacing w:line="400" w:lineRule="exact"/>
              <w:ind w:left="0" w:leftChars="0" w:firstLine="0" w:firstLineChars="0"/>
              <w:jc w:val="both"/>
              <w:rPr>
                <w:rFonts w:hint="eastAsia" w:ascii="Times New Roman" w:hAnsi="Times New Roman" w:eastAsia="仿宋_GB2312" w:cs="Times New Roman"/>
                <w:b w:val="0"/>
                <w:bCs/>
                <w:color w:val="000000"/>
                <w:sz w:val="24"/>
                <w:szCs w:val="24"/>
                <w:highlight w:val="none"/>
                <w:lang w:val="en-US" w:eastAsia="zh-CN"/>
              </w:rPr>
            </w:pPr>
            <w:r>
              <w:rPr>
                <w:rFonts w:hint="eastAsia" w:cs="Times New Roman"/>
                <w:b w:val="0"/>
                <w:bCs/>
                <w:color w:val="000000"/>
                <w:sz w:val="24"/>
                <w:szCs w:val="24"/>
                <w:highlight w:val="none"/>
                <w:lang w:eastAsia="zh-CN"/>
              </w:rPr>
              <w:t>评价</w:t>
            </w:r>
            <w:r>
              <w:rPr>
                <w:rFonts w:hint="eastAsia" w:ascii="Times New Roman" w:hAnsi="Times New Roman" w:cs="Times New Roman"/>
                <w:b w:val="0"/>
                <w:bCs/>
                <w:color w:val="000000"/>
                <w:sz w:val="24"/>
                <w:szCs w:val="24"/>
                <w:highlight w:val="none"/>
              </w:rPr>
              <w:t>基准日后第t年</w:t>
            </w:r>
          </w:p>
        </w:tc>
        <w:tc>
          <w:tcPr>
            <w:tcW w:w="5322" w:type="dxa"/>
            <w:noWrap w:val="0"/>
            <w:vAlign w:val="center"/>
          </w:tcPr>
          <w:p w14:paraId="61526FFB">
            <w:pPr>
              <w:pStyle w:val="7"/>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eastAsia"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剩余收益期内的第t个完整年度。</w:t>
            </w:r>
          </w:p>
        </w:tc>
      </w:tr>
      <w:tr w14:paraId="630AD11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5" w:type="dxa"/>
            <w:vMerge w:val="continue"/>
            <w:noWrap w:val="0"/>
            <w:vAlign w:val="center"/>
          </w:tcPr>
          <w:p w14:paraId="3732F80C">
            <w:pPr>
              <w:widowControl/>
              <w:spacing w:line="400" w:lineRule="exact"/>
              <w:jc w:val="center"/>
              <w:rPr>
                <w:rFonts w:hint="default" w:ascii="Times New Roman" w:hAnsi="Times New Roman" w:eastAsia="仿宋_GB2312" w:cs="Times New Roman"/>
                <w:bCs/>
                <w:color w:val="000000"/>
                <w:kern w:val="0"/>
                <w:sz w:val="24"/>
                <w:szCs w:val="24"/>
                <w:highlight w:val="none"/>
              </w:rPr>
            </w:pPr>
          </w:p>
        </w:tc>
        <w:tc>
          <w:tcPr>
            <w:tcW w:w="762" w:type="dxa"/>
            <w:vMerge w:val="continue"/>
            <w:noWrap w:val="0"/>
            <w:vAlign w:val="center"/>
          </w:tcPr>
          <w:p w14:paraId="33714A32">
            <w:pPr>
              <w:widowControl/>
              <w:spacing w:line="400" w:lineRule="exact"/>
              <w:jc w:val="center"/>
              <w:rPr>
                <w:rFonts w:hint="default" w:ascii="Times New Roman" w:hAnsi="Times New Roman" w:eastAsia="仿宋_GB2312" w:cs="Times New Roman"/>
                <w:bCs/>
                <w:color w:val="000000"/>
                <w:kern w:val="0"/>
                <w:sz w:val="24"/>
                <w:szCs w:val="24"/>
                <w:highlight w:val="none"/>
                <w:lang w:val="en-US" w:eastAsia="zh-CN" w:bidi="ar-SA"/>
              </w:rPr>
            </w:pPr>
          </w:p>
        </w:tc>
        <w:tc>
          <w:tcPr>
            <w:tcW w:w="1650" w:type="dxa"/>
            <w:noWrap w:val="0"/>
            <w:vAlign w:val="center"/>
          </w:tcPr>
          <w:p w14:paraId="58920ABC">
            <w:pPr>
              <w:spacing w:line="400" w:lineRule="exact"/>
              <w:ind w:left="0" w:leftChars="0" w:firstLine="0" w:firstLineChars="0"/>
              <w:jc w:val="both"/>
              <w:rPr>
                <w:rFonts w:hint="default" w:ascii="Times New Roman" w:hAnsi="Times New Roman" w:cs="Times New Roman"/>
                <w:b w:val="0"/>
                <w:bCs/>
                <w:color w:val="000000"/>
                <w:sz w:val="24"/>
                <w:szCs w:val="24"/>
                <w:highlight w:val="none"/>
                <w:lang w:val="en-US" w:eastAsia="zh-CN"/>
              </w:rPr>
            </w:pPr>
            <w:r>
              <w:rPr>
                <w:rFonts w:hint="default" w:ascii="Times New Roman" w:hAnsi="Times New Roman" w:cs="Times New Roman"/>
                <w:b w:val="0"/>
                <w:bCs/>
                <w:color w:val="000000"/>
                <w:sz w:val="24"/>
                <w:szCs w:val="24"/>
                <w:highlight w:val="none"/>
              </w:rPr>
              <w:t>折现率</w:t>
            </w:r>
          </w:p>
        </w:tc>
        <w:tc>
          <w:tcPr>
            <w:tcW w:w="5322" w:type="dxa"/>
            <w:noWrap w:val="0"/>
            <w:vAlign w:val="center"/>
          </w:tcPr>
          <w:p w14:paraId="1EA7884F">
            <w:pPr>
              <w:pStyle w:val="7"/>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将预计未来收益折算成现值的比率，反映投资者对投资数据知识产权所承担相应风险要求的回报，即投资者的期望报酬。</w:t>
            </w:r>
          </w:p>
        </w:tc>
      </w:tr>
      <w:tr w14:paraId="32762E7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5" w:type="dxa"/>
            <w:vMerge w:val="continue"/>
            <w:noWrap w:val="0"/>
            <w:vAlign w:val="center"/>
          </w:tcPr>
          <w:p w14:paraId="0129783D">
            <w:pPr>
              <w:widowControl/>
              <w:spacing w:line="400" w:lineRule="exact"/>
              <w:jc w:val="center"/>
              <w:rPr>
                <w:rFonts w:hint="default" w:ascii="Times New Roman" w:hAnsi="Times New Roman" w:eastAsia="仿宋_GB2312" w:cs="Times New Roman"/>
                <w:bCs/>
                <w:color w:val="000000"/>
                <w:kern w:val="0"/>
                <w:sz w:val="24"/>
                <w:szCs w:val="24"/>
                <w:highlight w:val="none"/>
              </w:rPr>
            </w:pPr>
          </w:p>
        </w:tc>
        <w:tc>
          <w:tcPr>
            <w:tcW w:w="762" w:type="dxa"/>
            <w:vMerge w:val="restart"/>
            <w:noWrap w:val="0"/>
            <w:vAlign w:val="center"/>
          </w:tcPr>
          <w:p w14:paraId="6750407A">
            <w:pPr>
              <w:widowControl/>
              <w:spacing w:line="400" w:lineRule="exact"/>
              <w:ind w:left="0" w:leftChars="0" w:firstLine="0" w:firstLineChars="0"/>
              <w:jc w:val="center"/>
              <w:rPr>
                <w:rFonts w:hint="default"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cs="Times New Roman"/>
                <w:bCs/>
                <w:color w:val="000000"/>
                <w:kern w:val="0"/>
                <w:sz w:val="24"/>
                <w:szCs w:val="24"/>
                <w:highlight w:val="none"/>
                <w:lang w:val="en-US" w:eastAsia="zh-CN" w:bidi="ar-SA"/>
              </w:rPr>
              <w:t>收益</w:t>
            </w:r>
            <w:r>
              <w:rPr>
                <w:rFonts w:hint="eastAsia" w:cs="Times New Roman"/>
                <w:bCs/>
                <w:color w:val="000000"/>
                <w:kern w:val="0"/>
                <w:sz w:val="24"/>
                <w:szCs w:val="24"/>
                <w:highlight w:val="none"/>
                <w:lang w:val="en-US" w:eastAsia="zh-CN" w:bidi="ar-SA"/>
              </w:rPr>
              <w:t>调整</w:t>
            </w:r>
            <w:r>
              <w:rPr>
                <w:rFonts w:hint="eastAsia" w:ascii="Times New Roman" w:hAnsi="Times New Roman" w:cs="Times New Roman"/>
                <w:bCs/>
                <w:color w:val="000000"/>
                <w:kern w:val="0"/>
                <w:sz w:val="24"/>
                <w:szCs w:val="24"/>
                <w:highlight w:val="none"/>
                <w:lang w:val="en-US" w:eastAsia="zh-CN" w:bidi="ar-SA"/>
              </w:rPr>
              <w:t>指标</w:t>
            </w:r>
          </w:p>
        </w:tc>
        <w:tc>
          <w:tcPr>
            <w:tcW w:w="1650" w:type="dxa"/>
            <w:noWrap w:val="0"/>
            <w:vAlign w:val="center"/>
          </w:tcPr>
          <w:p w14:paraId="764CA9E7">
            <w:pPr>
              <w:spacing w:line="400" w:lineRule="exact"/>
              <w:ind w:left="0" w:leftChars="0" w:firstLine="0" w:firstLineChars="0"/>
              <w:jc w:val="both"/>
              <w:rPr>
                <w:rFonts w:hint="default" w:ascii="Times New Roman" w:hAnsi="Times New Roman" w:cs="Times New Roman"/>
                <w:b w:val="0"/>
                <w:bCs/>
                <w:color w:val="000000"/>
                <w:sz w:val="24"/>
                <w:szCs w:val="24"/>
                <w:highlight w:val="none"/>
              </w:rPr>
            </w:pPr>
            <w:r>
              <w:rPr>
                <w:rFonts w:hint="eastAsia" w:ascii="Times New Roman" w:hAnsi="Times New Roman" w:cs="Times New Roman"/>
                <w:b w:val="0"/>
                <w:bCs/>
                <w:color w:val="000000"/>
                <w:sz w:val="24"/>
                <w:szCs w:val="24"/>
                <w:highlight w:val="none"/>
                <w:lang w:val="en-US" w:eastAsia="zh-CN"/>
              </w:rPr>
              <w:t>合规性调整因子</w:t>
            </w:r>
          </w:p>
        </w:tc>
        <w:tc>
          <w:tcPr>
            <w:tcW w:w="5322" w:type="dxa"/>
            <w:noWrap w:val="0"/>
            <w:vAlign w:val="center"/>
          </w:tcPr>
          <w:p w14:paraId="6FE55F3E">
            <w:pPr>
              <w:pStyle w:val="7"/>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eastAsia"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合规性调整因子是一个量化指标或系数，用于在风险评价、定价等场景中，动态反映和纳入特定实体的合规风险状况或合规表现，并据此对初始评价结果、定价基础、额度建议或其他业务决策参数进行正向或负向的调整，正向因子&gt;1.0、中性因子=1.0、负向因子&lt;1.0。</w:t>
            </w:r>
          </w:p>
        </w:tc>
      </w:tr>
      <w:tr w14:paraId="4571DBC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Merge w:val="continue"/>
            <w:noWrap w:val="0"/>
            <w:vAlign w:val="center"/>
          </w:tcPr>
          <w:p w14:paraId="536958D7">
            <w:pPr>
              <w:widowControl/>
              <w:spacing w:line="400" w:lineRule="exact"/>
              <w:jc w:val="left"/>
              <w:rPr>
                <w:rFonts w:hint="default" w:ascii="Times New Roman" w:hAnsi="Times New Roman" w:eastAsia="仿宋_GB2312" w:cs="Times New Roman"/>
                <w:bCs/>
                <w:color w:val="000000"/>
                <w:kern w:val="0"/>
                <w:sz w:val="24"/>
                <w:szCs w:val="24"/>
                <w:highlight w:val="none"/>
              </w:rPr>
            </w:pPr>
          </w:p>
        </w:tc>
        <w:tc>
          <w:tcPr>
            <w:tcW w:w="762" w:type="dxa"/>
            <w:vMerge w:val="continue"/>
            <w:noWrap w:val="0"/>
            <w:vAlign w:val="center"/>
          </w:tcPr>
          <w:p w14:paraId="046669FD">
            <w:pPr>
              <w:widowControl/>
              <w:spacing w:line="400" w:lineRule="exact"/>
              <w:jc w:val="left"/>
              <w:rPr>
                <w:rFonts w:hint="default" w:ascii="Times New Roman" w:hAnsi="Times New Roman" w:eastAsia="仿宋_GB2312" w:cs="Times New Roman"/>
                <w:bCs/>
                <w:color w:val="000000"/>
                <w:kern w:val="0"/>
                <w:sz w:val="24"/>
                <w:szCs w:val="24"/>
                <w:highlight w:val="none"/>
                <w:lang w:val="en-US" w:eastAsia="zh-CN" w:bidi="ar-SA"/>
              </w:rPr>
            </w:pPr>
          </w:p>
        </w:tc>
        <w:tc>
          <w:tcPr>
            <w:tcW w:w="1650" w:type="dxa"/>
            <w:noWrap w:val="0"/>
            <w:vAlign w:val="center"/>
          </w:tcPr>
          <w:p w14:paraId="08F6CED9">
            <w:pPr>
              <w:spacing w:line="400" w:lineRule="exact"/>
              <w:ind w:left="0" w:leftChars="0" w:firstLine="0" w:firstLineChars="0"/>
              <w:jc w:val="both"/>
              <w:rPr>
                <w:rFonts w:hint="default" w:ascii="Times New Roman" w:hAnsi="Times New Roman" w:cs="Times New Roman"/>
                <w:b w:val="0"/>
                <w:bCs/>
                <w:color w:val="000000"/>
                <w:sz w:val="24"/>
                <w:szCs w:val="24"/>
                <w:highlight w:val="none"/>
              </w:rPr>
            </w:pPr>
            <w:r>
              <w:rPr>
                <w:rFonts w:hint="default" w:ascii="Times New Roman" w:hAnsi="Times New Roman" w:cs="Times New Roman"/>
                <w:b w:val="0"/>
                <w:bCs/>
                <w:color w:val="000000"/>
                <w:sz w:val="24"/>
                <w:szCs w:val="24"/>
                <w:highlight w:val="none"/>
              </w:rPr>
              <w:t>数据稀缺性调整因子</w:t>
            </w:r>
          </w:p>
        </w:tc>
        <w:tc>
          <w:tcPr>
            <w:tcW w:w="5322" w:type="dxa"/>
            <w:noWrap w:val="0"/>
            <w:vAlign w:val="center"/>
          </w:tcPr>
          <w:p w14:paraId="5108450C">
            <w:pPr>
              <w:pStyle w:val="7"/>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稀缺性主要描述数据在市场中的供给数量及供给方数量的多寡。数据稀缺性是与经济性相关的一个评价因素，市场上该类数据越稀缺，数据知识产权价值越大。</w:t>
            </w:r>
          </w:p>
        </w:tc>
      </w:tr>
      <w:tr w14:paraId="0F52753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Merge w:val="continue"/>
            <w:noWrap w:val="0"/>
            <w:vAlign w:val="center"/>
          </w:tcPr>
          <w:p w14:paraId="5E7E3353">
            <w:pPr>
              <w:widowControl/>
              <w:spacing w:line="400" w:lineRule="exact"/>
              <w:jc w:val="left"/>
              <w:rPr>
                <w:rFonts w:hint="default" w:ascii="Times New Roman" w:hAnsi="Times New Roman" w:eastAsia="仿宋_GB2312" w:cs="Times New Roman"/>
                <w:bCs/>
                <w:color w:val="000000"/>
                <w:kern w:val="0"/>
                <w:sz w:val="24"/>
                <w:szCs w:val="24"/>
                <w:highlight w:val="none"/>
              </w:rPr>
            </w:pPr>
          </w:p>
        </w:tc>
        <w:tc>
          <w:tcPr>
            <w:tcW w:w="762" w:type="dxa"/>
            <w:vMerge w:val="continue"/>
            <w:noWrap w:val="0"/>
            <w:vAlign w:val="center"/>
          </w:tcPr>
          <w:p w14:paraId="452845DA">
            <w:pPr>
              <w:widowControl/>
              <w:spacing w:line="400" w:lineRule="exact"/>
              <w:jc w:val="left"/>
              <w:rPr>
                <w:rFonts w:hint="default" w:ascii="Times New Roman" w:hAnsi="Times New Roman" w:eastAsia="仿宋_GB2312" w:cs="Times New Roman"/>
                <w:bCs/>
                <w:color w:val="000000"/>
                <w:kern w:val="0"/>
                <w:sz w:val="24"/>
                <w:szCs w:val="24"/>
                <w:highlight w:val="none"/>
                <w:lang w:val="en-US" w:eastAsia="zh-CN" w:bidi="ar-SA"/>
              </w:rPr>
            </w:pPr>
          </w:p>
        </w:tc>
        <w:tc>
          <w:tcPr>
            <w:tcW w:w="1650" w:type="dxa"/>
            <w:noWrap w:val="0"/>
            <w:vAlign w:val="center"/>
          </w:tcPr>
          <w:p w14:paraId="6BF05C59">
            <w:pPr>
              <w:spacing w:line="400" w:lineRule="exact"/>
              <w:ind w:left="0" w:leftChars="0" w:firstLine="0" w:firstLineChars="0"/>
              <w:jc w:val="both"/>
              <w:rPr>
                <w:rFonts w:hint="default" w:ascii="Times New Roman" w:hAnsi="Times New Roman" w:cs="Times New Roman"/>
                <w:b w:val="0"/>
                <w:bCs/>
                <w:color w:val="000000"/>
                <w:sz w:val="24"/>
                <w:szCs w:val="24"/>
                <w:highlight w:val="none"/>
              </w:rPr>
            </w:pPr>
            <w:r>
              <w:rPr>
                <w:rFonts w:hint="default" w:ascii="Times New Roman" w:hAnsi="Times New Roman" w:cs="Times New Roman"/>
                <w:b w:val="0"/>
                <w:bCs/>
                <w:color w:val="000000"/>
                <w:sz w:val="24"/>
                <w:szCs w:val="24"/>
                <w:highlight w:val="none"/>
              </w:rPr>
              <w:t>其他调整因子</w:t>
            </w:r>
          </w:p>
        </w:tc>
        <w:tc>
          <w:tcPr>
            <w:tcW w:w="5322" w:type="dxa"/>
            <w:noWrap w:val="0"/>
            <w:vAlign w:val="center"/>
          </w:tcPr>
          <w:p w14:paraId="50635A76">
            <w:pPr>
              <w:pStyle w:val="7"/>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eastAsia="仿宋_GB2312" w:cs="Times New Roman"/>
                <w:bCs/>
                <w:color w:val="000000"/>
                <w:kern w:val="0"/>
                <w:sz w:val="24"/>
                <w:szCs w:val="24"/>
                <w:highlight w:val="none"/>
                <w:lang w:val="en-US" w:eastAsia="zh-CN" w:bidi="ar-SA"/>
              </w:rPr>
              <w:t>在应用收益法评价数据知识产权价值时，综合考虑其他因素对其价值的影响，选择可量化的调整因子。</w:t>
            </w:r>
          </w:p>
        </w:tc>
      </w:tr>
    </w:tbl>
    <w:p w14:paraId="59C3D251">
      <w:pPr>
        <w:rPr>
          <w:rFonts w:hint="default" w:ascii="Times New Roman" w:hAnsi="Times New Roman" w:eastAsia="黑体" w:cs="Times New Roman"/>
          <w:bCs/>
          <w:color w:val="000000"/>
          <w:szCs w:val="28"/>
          <w:highlight w:val="none"/>
        </w:rPr>
      </w:pPr>
    </w:p>
    <w:p w14:paraId="18AEFB01">
      <w:pPr>
        <w:pStyle w:val="2"/>
        <w:rPr>
          <w:rFonts w:hint="default"/>
        </w:rPr>
      </w:pPr>
    </w:p>
    <w:p w14:paraId="1827C840">
      <w:pPr>
        <w:pStyle w:val="4"/>
        <w:bidi w:val="0"/>
        <w:jc w:val="center"/>
        <w:rPr>
          <w:rFonts w:hint="eastAsia" w:ascii="黑体" w:hAnsi="黑体" w:eastAsia="黑体" w:cs="黑体"/>
          <w:sz w:val="36"/>
          <w:szCs w:val="36"/>
          <w:highlight w:val="none"/>
          <w:lang w:val="en-US" w:eastAsia="zh-CN"/>
        </w:rPr>
      </w:pPr>
      <w:bookmarkStart w:id="3" w:name="_Toc26692"/>
      <w:r>
        <w:rPr>
          <w:rFonts w:hint="eastAsia" w:ascii="黑体" w:hAnsi="黑体" w:eastAsia="黑体" w:cs="黑体"/>
          <w:sz w:val="36"/>
          <w:szCs w:val="36"/>
          <w:highlight w:val="none"/>
          <w:lang w:val="en-US" w:eastAsia="zh-CN"/>
        </w:rPr>
        <w:t>市场法</w:t>
      </w:r>
      <w:bookmarkEnd w:id="3"/>
      <w:r>
        <w:rPr>
          <w:rFonts w:hint="eastAsia" w:ascii="黑体" w:hAnsi="黑体" w:eastAsia="黑体" w:cs="黑体"/>
          <w:sz w:val="36"/>
          <w:szCs w:val="36"/>
          <w:highlight w:val="none"/>
        </w:rPr>
        <w:t>指标</w:t>
      </w:r>
      <w:r>
        <w:rPr>
          <w:rFonts w:hint="eastAsia" w:ascii="黑体" w:hAnsi="黑体" w:eastAsia="黑体" w:cs="黑体"/>
          <w:sz w:val="36"/>
          <w:szCs w:val="36"/>
          <w:highlight w:val="none"/>
          <w:lang w:val="en-US" w:eastAsia="zh-CN"/>
        </w:rPr>
        <w:t>体系及说明</w:t>
      </w:r>
    </w:p>
    <w:p w14:paraId="611AA182">
      <w:pPr>
        <w:rPr>
          <w:rFonts w:hint="eastAsia"/>
          <w:lang w:val="en-US" w:eastAsia="zh-CN"/>
        </w:rPr>
      </w:pPr>
    </w:p>
    <w:tbl>
      <w:tblPr>
        <w:tblStyle w:val="5"/>
        <w:tblW w:w="8519"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85"/>
        <w:gridCol w:w="762"/>
        <w:gridCol w:w="1650"/>
        <w:gridCol w:w="5322"/>
      </w:tblGrid>
      <w:tr w14:paraId="77E2697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5" w:type="dxa"/>
            <w:noWrap w:val="0"/>
            <w:vAlign w:val="center"/>
          </w:tcPr>
          <w:p w14:paraId="5BBCA3C8">
            <w:pPr>
              <w:widowControl/>
              <w:spacing w:line="400" w:lineRule="exact"/>
              <w:ind w:left="0" w:leftChars="0" w:firstLine="0" w:firstLineChars="0"/>
              <w:jc w:val="center"/>
              <w:rPr>
                <w:rFonts w:hint="default" w:ascii="Times New Roman" w:hAnsi="Times New Roman" w:eastAsia="仿宋_GB2312" w:cs="Times New Roman"/>
                <w:b/>
                <w:color w:val="000000"/>
                <w:kern w:val="0"/>
                <w:sz w:val="24"/>
                <w:szCs w:val="24"/>
                <w:highlight w:val="none"/>
              </w:rPr>
            </w:pPr>
            <w:r>
              <w:rPr>
                <w:rFonts w:hint="default" w:ascii="Times New Roman" w:hAnsi="Times New Roman" w:eastAsia="仿宋_GB2312" w:cs="Times New Roman"/>
                <w:b/>
                <w:color w:val="000000"/>
                <w:kern w:val="0"/>
                <w:sz w:val="24"/>
                <w:szCs w:val="24"/>
                <w:highlight w:val="none"/>
              </w:rPr>
              <w:t>一级指标</w:t>
            </w:r>
          </w:p>
        </w:tc>
        <w:tc>
          <w:tcPr>
            <w:tcW w:w="762" w:type="dxa"/>
            <w:noWrap w:val="0"/>
            <w:vAlign w:val="center"/>
          </w:tcPr>
          <w:p w14:paraId="1EDD105E">
            <w:pPr>
              <w:widowControl/>
              <w:spacing w:line="400" w:lineRule="exact"/>
              <w:ind w:left="0" w:leftChars="0" w:firstLine="0" w:firstLineChars="0"/>
              <w:jc w:val="center"/>
              <w:rPr>
                <w:rFonts w:hint="eastAsia" w:ascii="Times New Roman" w:hAnsi="Times New Roman" w:eastAsia="仿宋_GB2312" w:cs="Times New Roman"/>
                <w:b/>
                <w:color w:val="000000"/>
                <w:kern w:val="0"/>
                <w:sz w:val="24"/>
                <w:szCs w:val="24"/>
                <w:highlight w:val="none"/>
                <w:lang w:val="en-US" w:eastAsia="zh-CN"/>
              </w:rPr>
            </w:pPr>
            <w:r>
              <w:rPr>
                <w:rFonts w:hint="eastAsia" w:ascii="Times New Roman" w:hAnsi="Times New Roman" w:cs="Times New Roman"/>
                <w:b/>
                <w:color w:val="000000"/>
                <w:kern w:val="0"/>
                <w:sz w:val="24"/>
                <w:szCs w:val="24"/>
                <w:highlight w:val="none"/>
                <w:lang w:val="en-US" w:eastAsia="zh-CN"/>
              </w:rPr>
              <w:t>二级指标</w:t>
            </w:r>
          </w:p>
        </w:tc>
        <w:tc>
          <w:tcPr>
            <w:tcW w:w="1650" w:type="dxa"/>
            <w:noWrap w:val="0"/>
            <w:vAlign w:val="center"/>
          </w:tcPr>
          <w:p w14:paraId="693519FA">
            <w:pPr>
              <w:widowControl/>
              <w:spacing w:line="400" w:lineRule="exact"/>
              <w:ind w:left="0" w:leftChars="0" w:firstLine="0" w:firstLineChars="0"/>
              <w:jc w:val="center"/>
              <w:rPr>
                <w:rFonts w:hint="default" w:ascii="Times New Roman" w:hAnsi="Times New Roman" w:eastAsia="仿宋_GB2312" w:cs="Times New Roman"/>
                <w:b/>
                <w:color w:val="000000"/>
                <w:kern w:val="0"/>
                <w:sz w:val="24"/>
                <w:szCs w:val="24"/>
                <w:highlight w:val="none"/>
              </w:rPr>
            </w:pPr>
            <w:r>
              <w:rPr>
                <w:rFonts w:hint="eastAsia" w:ascii="Times New Roman" w:hAnsi="Times New Roman" w:cs="Times New Roman"/>
                <w:b/>
                <w:color w:val="000000"/>
                <w:kern w:val="0"/>
                <w:sz w:val="24"/>
                <w:szCs w:val="24"/>
                <w:highlight w:val="none"/>
                <w:lang w:val="en-US" w:eastAsia="zh-CN"/>
              </w:rPr>
              <w:t>三</w:t>
            </w:r>
            <w:r>
              <w:rPr>
                <w:rFonts w:hint="default" w:ascii="Times New Roman" w:hAnsi="Times New Roman" w:eastAsia="仿宋_GB2312" w:cs="Times New Roman"/>
                <w:b/>
                <w:color w:val="000000"/>
                <w:kern w:val="0"/>
                <w:sz w:val="24"/>
                <w:szCs w:val="24"/>
                <w:highlight w:val="none"/>
              </w:rPr>
              <w:t>级指标</w:t>
            </w:r>
          </w:p>
        </w:tc>
        <w:tc>
          <w:tcPr>
            <w:tcW w:w="5322" w:type="dxa"/>
            <w:noWrap w:val="0"/>
            <w:vAlign w:val="center"/>
          </w:tcPr>
          <w:p w14:paraId="3EB7548B">
            <w:pPr>
              <w:widowControl/>
              <w:spacing w:line="400" w:lineRule="exact"/>
              <w:ind w:left="0" w:leftChars="0" w:firstLine="0" w:firstLineChars="0"/>
              <w:jc w:val="center"/>
              <w:rPr>
                <w:rFonts w:hint="default" w:ascii="Times New Roman" w:hAnsi="Times New Roman" w:cs="Times New Roman"/>
                <w:b/>
                <w:color w:val="000000"/>
                <w:kern w:val="0"/>
                <w:sz w:val="24"/>
                <w:szCs w:val="24"/>
                <w:highlight w:val="none"/>
                <w:lang w:val="en-US" w:eastAsia="zh-CN"/>
              </w:rPr>
            </w:pPr>
            <w:r>
              <w:rPr>
                <w:rFonts w:hint="eastAsia" w:cs="Times New Roman"/>
                <w:b/>
                <w:color w:val="000000"/>
                <w:kern w:val="0"/>
                <w:sz w:val="24"/>
                <w:szCs w:val="24"/>
                <w:highlight w:val="none"/>
                <w:lang w:val="en-US" w:eastAsia="zh-CN"/>
              </w:rPr>
              <w:t>参数说明</w:t>
            </w:r>
          </w:p>
        </w:tc>
      </w:tr>
      <w:tr w14:paraId="2480B99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785" w:type="dxa"/>
            <w:vMerge w:val="restart"/>
            <w:noWrap w:val="0"/>
            <w:vAlign w:val="center"/>
          </w:tcPr>
          <w:p w14:paraId="208D74F6">
            <w:pPr>
              <w:widowControl/>
              <w:spacing w:line="400" w:lineRule="exact"/>
              <w:ind w:left="0" w:leftChars="0" w:firstLine="0" w:firstLineChars="0"/>
              <w:jc w:val="center"/>
              <w:rPr>
                <w:rFonts w:hint="default"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cs="Times New Roman"/>
                <w:bCs/>
                <w:color w:val="000000"/>
                <w:kern w:val="0"/>
                <w:sz w:val="24"/>
                <w:szCs w:val="24"/>
                <w:highlight w:val="none"/>
                <w:lang w:val="en-US" w:eastAsia="zh-CN"/>
              </w:rPr>
              <w:t>市场指标</w:t>
            </w:r>
          </w:p>
        </w:tc>
        <w:tc>
          <w:tcPr>
            <w:tcW w:w="762" w:type="dxa"/>
            <w:noWrap w:val="0"/>
            <w:vAlign w:val="center"/>
          </w:tcPr>
          <w:p w14:paraId="1EEB3925">
            <w:pPr>
              <w:widowControl/>
              <w:spacing w:line="400" w:lineRule="exact"/>
              <w:ind w:left="0" w:leftChars="0" w:firstLine="0" w:firstLineChars="0"/>
              <w:jc w:val="center"/>
              <w:rPr>
                <w:rFonts w:hint="default" w:ascii="Times New Roman" w:hAnsi="Times New Roman" w:eastAsia="仿宋_GB2312" w:cs="Times New Roman"/>
                <w:bCs/>
                <w:color w:val="000000"/>
                <w:kern w:val="0"/>
                <w:sz w:val="24"/>
                <w:szCs w:val="24"/>
                <w:highlight w:val="none"/>
                <w:lang w:val="en-US" w:eastAsia="zh-CN" w:bidi="ar-SA"/>
              </w:rPr>
            </w:pPr>
            <w:r>
              <w:rPr>
                <w:rFonts w:hint="eastAsia" w:ascii="Times New Roman" w:hAnsi="Times New Roman" w:cs="Times New Roman"/>
                <w:bCs/>
                <w:color w:val="000000"/>
                <w:kern w:val="0"/>
                <w:sz w:val="24"/>
                <w:szCs w:val="24"/>
                <w:highlight w:val="none"/>
                <w:lang w:val="en-US" w:eastAsia="zh-CN" w:bidi="ar-SA"/>
              </w:rPr>
              <w:t>市场基本指标</w:t>
            </w:r>
          </w:p>
        </w:tc>
        <w:tc>
          <w:tcPr>
            <w:tcW w:w="1650" w:type="dxa"/>
            <w:noWrap w:val="0"/>
            <w:vAlign w:val="center"/>
          </w:tcPr>
          <w:p w14:paraId="14150533">
            <w:pPr>
              <w:spacing w:line="400" w:lineRule="exact"/>
              <w:ind w:left="0" w:leftChars="0" w:firstLine="0" w:firstLineChars="0"/>
              <w:jc w:val="both"/>
              <w:rPr>
                <w:rFonts w:hint="default" w:ascii="Times New Roman" w:hAnsi="Times New Roman" w:cs="Times New Roman"/>
                <w:b w:val="0"/>
                <w:bCs/>
                <w:color w:val="000000"/>
                <w:sz w:val="24"/>
                <w:szCs w:val="24"/>
                <w:highlight w:val="none"/>
                <w:lang w:val="en-US" w:eastAsia="zh-CN"/>
              </w:rPr>
            </w:pPr>
            <w:r>
              <w:rPr>
                <w:rFonts w:hint="eastAsia" w:cs="Times New Roman"/>
                <w:b w:val="0"/>
                <w:bCs/>
                <w:color w:val="000000"/>
                <w:sz w:val="24"/>
                <w:szCs w:val="24"/>
                <w:highlight w:val="none"/>
                <w:lang w:val="en-US" w:eastAsia="zh-CN"/>
              </w:rPr>
              <w:t>参照</w:t>
            </w:r>
            <w:r>
              <w:rPr>
                <w:rFonts w:hint="eastAsia" w:ascii="Times New Roman" w:hAnsi="Times New Roman" w:cs="Times New Roman"/>
                <w:b w:val="0"/>
                <w:bCs/>
                <w:color w:val="000000"/>
                <w:sz w:val="24"/>
                <w:szCs w:val="24"/>
                <w:highlight w:val="none"/>
                <w:lang w:eastAsia="zh-CN"/>
              </w:rPr>
              <w:t>数据知识产权</w:t>
            </w:r>
            <w:r>
              <w:rPr>
                <w:rFonts w:hint="eastAsia" w:cs="Times New Roman"/>
                <w:b w:val="0"/>
                <w:bCs/>
                <w:color w:val="000000"/>
                <w:sz w:val="24"/>
                <w:szCs w:val="24"/>
                <w:highlight w:val="none"/>
                <w:lang w:eastAsia="zh-CN"/>
              </w:rPr>
              <w:t>的</w:t>
            </w:r>
            <w:r>
              <w:rPr>
                <w:rFonts w:hint="default" w:ascii="Times New Roman" w:hAnsi="Times New Roman" w:cs="Times New Roman"/>
                <w:b w:val="0"/>
                <w:bCs/>
                <w:color w:val="000000"/>
                <w:sz w:val="24"/>
                <w:szCs w:val="24"/>
                <w:highlight w:val="none"/>
              </w:rPr>
              <w:t>价值</w:t>
            </w:r>
          </w:p>
        </w:tc>
        <w:tc>
          <w:tcPr>
            <w:tcW w:w="5322" w:type="dxa"/>
            <w:noWrap w:val="0"/>
            <w:vAlign w:val="center"/>
          </w:tcPr>
          <w:p w14:paraId="1C78791E">
            <w:pPr>
              <w:pStyle w:val="7"/>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eastAsia" w:ascii="Times New Roman" w:hAnsi="Times New Roman" w:cs="Times New Roman"/>
                <w:b w:val="0"/>
                <w:bCs/>
                <w:color w:val="000000"/>
                <w:sz w:val="24"/>
                <w:szCs w:val="24"/>
                <w:highlight w:val="none"/>
                <w:lang w:eastAsia="zh-CN"/>
              </w:rPr>
            </w:pPr>
            <w:r>
              <w:rPr>
                <w:rFonts w:hint="eastAsia" w:ascii="Times New Roman" w:hAnsi="Times New Roman" w:eastAsia="仿宋_GB2312" w:cs="Times New Roman"/>
                <w:bCs/>
                <w:color w:val="000000"/>
                <w:kern w:val="0"/>
                <w:sz w:val="24"/>
                <w:szCs w:val="24"/>
                <w:highlight w:val="none"/>
                <w:lang w:val="en-US" w:eastAsia="zh-CN" w:bidi="ar-SA"/>
              </w:rPr>
              <w:t>与被评价数据知识产权在功能、用途、规模等方面相似的参照对象的市场平均交易价格。</w:t>
            </w:r>
          </w:p>
        </w:tc>
      </w:tr>
      <w:tr w14:paraId="5883FFC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5" w:type="dxa"/>
            <w:vMerge w:val="continue"/>
            <w:noWrap w:val="0"/>
            <w:vAlign w:val="center"/>
          </w:tcPr>
          <w:p w14:paraId="68CB9838">
            <w:pPr>
              <w:widowControl/>
              <w:spacing w:line="400" w:lineRule="exact"/>
              <w:jc w:val="center"/>
              <w:rPr>
                <w:rFonts w:hint="default" w:ascii="Times New Roman" w:hAnsi="Times New Roman" w:eastAsia="仿宋_GB2312" w:cs="Times New Roman"/>
                <w:bCs/>
                <w:color w:val="000000"/>
                <w:kern w:val="0"/>
                <w:sz w:val="24"/>
                <w:szCs w:val="24"/>
                <w:highlight w:val="none"/>
              </w:rPr>
            </w:pPr>
          </w:p>
        </w:tc>
        <w:tc>
          <w:tcPr>
            <w:tcW w:w="762" w:type="dxa"/>
            <w:vMerge w:val="restart"/>
            <w:noWrap w:val="0"/>
            <w:vAlign w:val="center"/>
          </w:tcPr>
          <w:p w14:paraId="22993A99">
            <w:pPr>
              <w:widowControl/>
              <w:spacing w:line="400" w:lineRule="exact"/>
              <w:ind w:left="0" w:leftChars="0" w:firstLine="0" w:firstLineChars="0"/>
              <w:jc w:val="center"/>
              <w:rPr>
                <w:rFonts w:hint="default" w:ascii="Times New Roman" w:hAnsi="Times New Roman" w:eastAsia="仿宋_GB2312" w:cs="Times New Roman"/>
                <w:bCs/>
                <w:color w:val="000000"/>
                <w:kern w:val="0"/>
                <w:sz w:val="24"/>
                <w:szCs w:val="24"/>
                <w:highlight w:val="none"/>
              </w:rPr>
            </w:pPr>
            <w:r>
              <w:rPr>
                <w:rFonts w:hint="eastAsia" w:ascii="Times New Roman" w:hAnsi="Times New Roman" w:cs="Times New Roman"/>
                <w:bCs/>
                <w:color w:val="000000"/>
                <w:kern w:val="0"/>
                <w:sz w:val="24"/>
                <w:szCs w:val="24"/>
                <w:highlight w:val="none"/>
                <w:lang w:val="en-US" w:eastAsia="zh-CN" w:bidi="ar-SA"/>
              </w:rPr>
              <w:t>市场调整指标</w:t>
            </w:r>
          </w:p>
        </w:tc>
        <w:tc>
          <w:tcPr>
            <w:tcW w:w="1650" w:type="dxa"/>
            <w:noWrap w:val="0"/>
            <w:vAlign w:val="center"/>
          </w:tcPr>
          <w:p w14:paraId="15111F34">
            <w:pPr>
              <w:spacing w:line="400" w:lineRule="exact"/>
              <w:ind w:left="0" w:leftChars="0" w:firstLine="0" w:firstLineChars="0"/>
              <w:jc w:val="both"/>
              <w:rPr>
                <w:rFonts w:hint="default" w:ascii="Times New Roman" w:hAnsi="Times New Roman" w:cs="Times New Roman"/>
                <w:b w:val="0"/>
                <w:bCs/>
                <w:color w:val="000000"/>
                <w:sz w:val="24"/>
                <w:szCs w:val="24"/>
                <w:highlight w:val="none"/>
              </w:rPr>
            </w:pPr>
            <w:r>
              <w:rPr>
                <w:rFonts w:hint="default" w:ascii="Times New Roman" w:hAnsi="Times New Roman" w:cs="Times New Roman"/>
                <w:b w:val="0"/>
                <w:bCs/>
                <w:color w:val="000000"/>
                <w:sz w:val="24"/>
                <w:szCs w:val="24"/>
                <w:highlight w:val="none"/>
              </w:rPr>
              <w:t>质量调整因子</w:t>
            </w:r>
          </w:p>
        </w:tc>
        <w:tc>
          <w:tcPr>
            <w:tcW w:w="5322" w:type="dxa"/>
            <w:noWrap w:val="0"/>
            <w:vAlign w:val="center"/>
          </w:tcPr>
          <w:p w14:paraId="5C1E8C22">
            <w:pPr>
              <w:pStyle w:val="7"/>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cs="Times New Roman"/>
                <w:b w:val="0"/>
                <w:bCs/>
                <w:color w:val="000000"/>
                <w:sz w:val="24"/>
                <w:szCs w:val="24"/>
                <w:highlight w:val="none"/>
              </w:rPr>
            </w:pPr>
            <w:r>
              <w:rPr>
                <w:rFonts w:hint="eastAsia" w:ascii="Times New Roman" w:hAnsi="Times New Roman" w:eastAsia="仿宋_GB2312" w:cs="Times New Roman"/>
                <w:bCs/>
                <w:color w:val="000000"/>
                <w:kern w:val="0"/>
                <w:sz w:val="24"/>
                <w:szCs w:val="24"/>
                <w:highlight w:val="none"/>
                <w:lang w:val="en-US" w:eastAsia="zh-CN" w:bidi="ar-SA"/>
              </w:rPr>
              <w:t>综合考虑数据质量对数据知识产权价值的影响，包含数据规范性、完整性、准确性、一致性、时效性、可访问性等维度。</w:t>
            </w:r>
          </w:p>
        </w:tc>
      </w:tr>
      <w:tr w14:paraId="6E7D78D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5" w:type="dxa"/>
            <w:vMerge w:val="continue"/>
            <w:noWrap w:val="0"/>
            <w:vAlign w:val="center"/>
          </w:tcPr>
          <w:p w14:paraId="0EE4A6CB">
            <w:pPr>
              <w:widowControl/>
              <w:spacing w:line="400" w:lineRule="exact"/>
              <w:jc w:val="left"/>
              <w:rPr>
                <w:rFonts w:hint="default" w:ascii="Times New Roman" w:hAnsi="Times New Roman" w:eastAsia="仿宋_GB2312" w:cs="Times New Roman"/>
                <w:bCs/>
                <w:color w:val="000000"/>
                <w:kern w:val="0"/>
                <w:sz w:val="24"/>
                <w:szCs w:val="24"/>
                <w:highlight w:val="none"/>
              </w:rPr>
            </w:pPr>
          </w:p>
        </w:tc>
        <w:tc>
          <w:tcPr>
            <w:tcW w:w="762" w:type="dxa"/>
            <w:vMerge w:val="continue"/>
            <w:noWrap w:val="0"/>
            <w:vAlign w:val="center"/>
          </w:tcPr>
          <w:p w14:paraId="7AE4C434">
            <w:pPr>
              <w:widowControl/>
              <w:spacing w:line="400" w:lineRule="exact"/>
              <w:ind w:left="0" w:leftChars="0" w:firstLine="0" w:firstLineChars="0"/>
              <w:jc w:val="left"/>
              <w:rPr>
                <w:rFonts w:hint="eastAsia" w:ascii="Times New Roman" w:hAnsi="Times New Roman" w:cs="Times New Roman"/>
                <w:bCs/>
                <w:color w:val="000000"/>
                <w:kern w:val="0"/>
                <w:sz w:val="24"/>
                <w:szCs w:val="24"/>
                <w:highlight w:val="none"/>
                <w:lang w:val="en-US" w:eastAsia="zh-CN" w:bidi="ar-SA"/>
              </w:rPr>
            </w:pPr>
          </w:p>
        </w:tc>
        <w:tc>
          <w:tcPr>
            <w:tcW w:w="1650" w:type="dxa"/>
            <w:noWrap w:val="0"/>
            <w:vAlign w:val="center"/>
          </w:tcPr>
          <w:p w14:paraId="02124138">
            <w:pPr>
              <w:spacing w:line="400" w:lineRule="exact"/>
              <w:ind w:left="0" w:leftChars="0" w:firstLine="0" w:firstLineChars="0"/>
              <w:jc w:val="both"/>
              <w:rPr>
                <w:rFonts w:hint="default" w:ascii="Times New Roman" w:hAnsi="Times New Roman" w:cs="Times New Roman"/>
                <w:b w:val="0"/>
                <w:bCs/>
                <w:color w:val="000000"/>
                <w:sz w:val="24"/>
                <w:szCs w:val="24"/>
                <w:highlight w:val="none"/>
              </w:rPr>
            </w:pPr>
            <w:r>
              <w:rPr>
                <w:rFonts w:hint="eastAsia" w:ascii="Times New Roman" w:hAnsi="Times New Roman" w:cs="Times New Roman"/>
                <w:b w:val="0"/>
                <w:bCs/>
                <w:color w:val="000000"/>
                <w:sz w:val="24"/>
                <w:szCs w:val="24"/>
                <w:highlight w:val="none"/>
                <w:lang w:val="en-US" w:eastAsia="zh-CN"/>
              </w:rPr>
              <w:t>合规性调整因子</w:t>
            </w:r>
          </w:p>
        </w:tc>
        <w:tc>
          <w:tcPr>
            <w:tcW w:w="5322" w:type="dxa"/>
            <w:noWrap w:val="0"/>
            <w:vAlign w:val="center"/>
          </w:tcPr>
          <w:p w14:paraId="3E1C3E56">
            <w:pPr>
              <w:pStyle w:val="7"/>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eastAsia" w:ascii="Times New Roman" w:hAnsi="Times New Roman" w:cs="Times New Roman"/>
                <w:b w:val="0"/>
                <w:bCs/>
                <w:color w:val="000000"/>
                <w:sz w:val="24"/>
                <w:szCs w:val="24"/>
                <w:highlight w:val="none"/>
                <w:lang w:val="en-US" w:eastAsia="zh-CN"/>
              </w:rPr>
            </w:pPr>
            <w:r>
              <w:rPr>
                <w:rFonts w:hint="eastAsia" w:ascii="Times New Roman" w:hAnsi="Times New Roman" w:eastAsia="仿宋_GB2312" w:cs="Times New Roman"/>
                <w:bCs/>
                <w:color w:val="000000"/>
                <w:kern w:val="0"/>
                <w:sz w:val="24"/>
                <w:szCs w:val="24"/>
                <w:highlight w:val="none"/>
                <w:lang w:val="en-US" w:eastAsia="zh-CN" w:bidi="ar-SA"/>
              </w:rPr>
              <w:t>综合考虑数据知识产权的市场规模、稀缺性及价值密度等相关影响。</w:t>
            </w:r>
          </w:p>
        </w:tc>
      </w:tr>
      <w:tr w14:paraId="64684B6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5" w:type="dxa"/>
            <w:vMerge w:val="continue"/>
            <w:noWrap w:val="0"/>
            <w:vAlign w:val="center"/>
          </w:tcPr>
          <w:p w14:paraId="7D363B7D">
            <w:pPr>
              <w:widowControl/>
              <w:spacing w:line="400" w:lineRule="exact"/>
              <w:jc w:val="left"/>
              <w:rPr>
                <w:rFonts w:hint="default" w:ascii="Times New Roman" w:hAnsi="Times New Roman" w:eastAsia="仿宋_GB2312" w:cs="Times New Roman"/>
                <w:bCs/>
                <w:color w:val="000000"/>
                <w:kern w:val="0"/>
                <w:sz w:val="24"/>
                <w:szCs w:val="24"/>
                <w:highlight w:val="none"/>
              </w:rPr>
            </w:pPr>
          </w:p>
        </w:tc>
        <w:tc>
          <w:tcPr>
            <w:tcW w:w="762" w:type="dxa"/>
            <w:vMerge w:val="continue"/>
            <w:noWrap w:val="0"/>
            <w:vAlign w:val="center"/>
          </w:tcPr>
          <w:p w14:paraId="41DFDDD1">
            <w:pPr>
              <w:widowControl/>
              <w:spacing w:line="400" w:lineRule="exact"/>
              <w:jc w:val="left"/>
              <w:rPr>
                <w:rFonts w:hint="eastAsia" w:ascii="Times New Roman" w:hAnsi="Times New Roman" w:cs="Times New Roman"/>
                <w:bCs/>
                <w:color w:val="000000"/>
                <w:kern w:val="0"/>
                <w:sz w:val="24"/>
                <w:szCs w:val="24"/>
                <w:highlight w:val="none"/>
                <w:lang w:val="en-US" w:eastAsia="zh-CN" w:bidi="ar-SA"/>
              </w:rPr>
            </w:pPr>
          </w:p>
        </w:tc>
        <w:tc>
          <w:tcPr>
            <w:tcW w:w="1650" w:type="dxa"/>
            <w:noWrap w:val="0"/>
            <w:vAlign w:val="center"/>
          </w:tcPr>
          <w:p w14:paraId="4CE02A08">
            <w:pPr>
              <w:spacing w:line="400" w:lineRule="exact"/>
              <w:ind w:left="0" w:leftChars="0" w:firstLine="0" w:firstLineChars="0"/>
              <w:jc w:val="both"/>
              <w:rPr>
                <w:rFonts w:hint="default" w:ascii="Times New Roman" w:hAnsi="Times New Roman" w:cs="Times New Roman"/>
                <w:b w:val="0"/>
                <w:bCs/>
                <w:color w:val="000000"/>
                <w:sz w:val="24"/>
                <w:szCs w:val="24"/>
                <w:highlight w:val="none"/>
              </w:rPr>
            </w:pPr>
            <w:r>
              <w:rPr>
                <w:rFonts w:hint="default" w:ascii="Times New Roman" w:hAnsi="Times New Roman" w:cs="Times New Roman"/>
                <w:b w:val="0"/>
                <w:bCs/>
                <w:color w:val="000000"/>
                <w:sz w:val="24"/>
                <w:szCs w:val="24"/>
                <w:highlight w:val="none"/>
              </w:rPr>
              <w:t>价格调整因子</w:t>
            </w:r>
          </w:p>
        </w:tc>
        <w:tc>
          <w:tcPr>
            <w:tcW w:w="5322" w:type="dxa"/>
            <w:noWrap w:val="0"/>
            <w:vAlign w:val="center"/>
          </w:tcPr>
          <w:p w14:paraId="466F3343">
            <w:pPr>
              <w:pStyle w:val="7"/>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cs="Times New Roman"/>
                <w:b w:val="0"/>
                <w:bCs/>
                <w:color w:val="000000"/>
                <w:sz w:val="24"/>
                <w:szCs w:val="24"/>
                <w:highlight w:val="none"/>
              </w:rPr>
            </w:pPr>
            <w:r>
              <w:rPr>
                <w:rFonts w:hint="eastAsia" w:ascii="Times New Roman" w:hAnsi="Times New Roman" w:eastAsia="仿宋_GB2312" w:cs="Times New Roman"/>
                <w:bCs/>
                <w:color w:val="000000"/>
                <w:kern w:val="0"/>
                <w:sz w:val="24"/>
                <w:szCs w:val="24"/>
                <w:highlight w:val="none"/>
                <w:lang w:val="en-US" w:eastAsia="zh-CN" w:bidi="ar-SA"/>
              </w:rPr>
              <w:t>综合考虑数据知识产权交易时点的居民消费价格指数和行业价格指数进行确定。期日调整因子=评价基准日价格指数/可比案例交易日价格指数。</w:t>
            </w:r>
          </w:p>
        </w:tc>
      </w:tr>
      <w:tr w14:paraId="5AE9145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5" w:type="dxa"/>
            <w:vMerge w:val="continue"/>
            <w:noWrap w:val="0"/>
            <w:vAlign w:val="center"/>
          </w:tcPr>
          <w:p w14:paraId="4EE23C32">
            <w:pPr>
              <w:widowControl/>
              <w:spacing w:line="400" w:lineRule="exact"/>
              <w:jc w:val="left"/>
              <w:rPr>
                <w:rFonts w:hint="default" w:ascii="Times New Roman" w:hAnsi="Times New Roman" w:eastAsia="仿宋_GB2312" w:cs="Times New Roman"/>
                <w:bCs/>
                <w:color w:val="000000"/>
                <w:kern w:val="0"/>
                <w:sz w:val="24"/>
                <w:szCs w:val="24"/>
                <w:highlight w:val="none"/>
              </w:rPr>
            </w:pPr>
          </w:p>
        </w:tc>
        <w:tc>
          <w:tcPr>
            <w:tcW w:w="762" w:type="dxa"/>
            <w:vMerge w:val="continue"/>
            <w:noWrap w:val="0"/>
            <w:vAlign w:val="center"/>
          </w:tcPr>
          <w:p w14:paraId="7A144ECE">
            <w:pPr>
              <w:widowControl/>
              <w:spacing w:line="400" w:lineRule="exact"/>
              <w:jc w:val="left"/>
              <w:rPr>
                <w:rFonts w:hint="eastAsia" w:ascii="Times New Roman" w:hAnsi="Times New Roman" w:cs="Times New Roman"/>
                <w:bCs/>
                <w:color w:val="000000"/>
                <w:kern w:val="0"/>
                <w:sz w:val="24"/>
                <w:szCs w:val="24"/>
                <w:highlight w:val="none"/>
                <w:lang w:val="en-US" w:eastAsia="zh-CN" w:bidi="ar-SA"/>
              </w:rPr>
            </w:pPr>
          </w:p>
        </w:tc>
        <w:tc>
          <w:tcPr>
            <w:tcW w:w="1650" w:type="dxa"/>
            <w:noWrap w:val="0"/>
            <w:vAlign w:val="center"/>
          </w:tcPr>
          <w:p w14:paraId="7A14C66C">
            <w:pPr>
              <w:spacing w:line="400" w:lineRule="exact"/>
              <w:ind w:left="0" w:leftChars="0" w:firstLine="0" w:firstLineChars="0"/>
              <w:jc w:val="both"/>
              <w:rPr>
                <w:rFonts w:hint="default" w:ascii="Times New Roman" w:hAnsi="Times New Roman" w:cs="Times New Roman"/>
                <w:b w:val="0"/>
                <w:bCs/>
                <w:color w:val="000000"/>
                <w:sz w:val="24"/>
                <w:szCs w:val="24"/>
                <w:highlight w:val="none"/>
              </w:rPr>
            </w:pPr>
            <w:r>
              <w:rPr>
                <w:rFonts w:hint="default" w:ascii="Times New Roman" w:hAnsi="Times New Roman" w:cs="Times New Roman"/>
                <w:b w:val="0"/>
                <w:bCs/>
                <w:color w:val="000000"/>
                <w:sz w:val="24"/>
                <w:szCs w:val="24"/>
                <w:highlight w:val="none"/>
              </w:rPr>
              <w:t>期日调整因子</w:t>
            </w:r>
          </w:p>
        </w:tc>
        <w:tc>
          <w:tcPr>
            <w:tcW w:w="5322" w:type="dxa"/>
            <w:noWrap w:val="0"/>
            <w:vAlign w:val="center"/>
          </w:tcPr>
          <w:p w14:paraId="751F3FFE">
            <w:pPr>
              <w:pStyle w:val="7"/>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cs="Times New Roman"/>
                <w:b w:val="0"/>
                <w:bCs/>
                <w:color w:val="000000"/>
                <w:sz w:val="24"/>
                <w:szCs w:val="24"/>
                <w:highlight w:val="none"/>
              </w:rPr>
            </w:pPr>
            <w:r>
              <w:rPr>
                <w:rFonts w:hint="eastAsia" w:ascii="Times New Roman" w:hAnsi="Times New Roman" w:eastAsia="仿宋_GB2312" w:cs="Times New Roman"/>
                <w:bCs/>
                <w:color w:val="000000"/>
                <w:kern w:val="0"/>
                <w:sz w:val="24"/>
                <w:szCs w:val="24"/>
                <w:highlight w:val="none"/>
                <w:lang w:val="en-US" w:eastAsia="zh-CN" w:bidi="ar-SA"/>
              </w:rPr>
              <w:t>综合考虑数据容量对数据知识产权价值的影响。</w:t>
            </w:r>
          </w:p>
        </w:tc>
      </w:tr>
      <w:tr w14:paraId="7BD27D5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5" w:type="dxa"/>
            <w:vMerge w:val="continue"/>
            <w:noWrap w:val="0"/>
            <w:vAlign w:val="center"/>
          </w:tcPr>
          <w:p w14:paraId="65C0A1C7">
            <w:pPr>
              <w:widowControl/>
              <w:spacing w:line="400" w:lineRule="exact"/>
              <w:jc w:val="left"/>
              <w:rPr>
                <w:rFonts w:hint="default" w:ascii="Times New Roman" w:hAnsi="Times New Roman" w:eastAsia="仿宋_GB2312" w:cs="Times New Roman"/>
                <w:bCs/>
                <w:color w:val="000000"/>
                <w:kern w:val="0"/>
                <w:sz w:val="24"/>
                <w:szCs w:val="24"/>
                <w:highlight w:val="none"/>
              </w:rPr>
            </w:pPr>
          </w:p>
        </w:tc>
        <w:tc>
          <w:tcPr>
            <w:tcW w:w="762" w:type="dxa"/>
            <w:vMerge w:val="continue"/>
            <w:noWrap w:val="0"/>
            <w:vAlign w:val="center"/>
          </w:tcPr>
          <w:p w14:paraId="7E0E789C">
            <w:pPr>
              <w:widowControl/>
              <w:spacing w:line="400" w:lineRule="exact"/>
              <w:jc w:val="left"/>
              <w:rPr>
                <w:rFonts w:hint="eastAsia" w:ascii="Times New Roman" w:hAnsi="Times New Roman" w:cs="Times New Roman"/>
                <w:bCs/>
                <w:color w:val="000000"/>
                <w:kern w:val="0"/>
                <w:sz w:val="24"/>
                <w:szCs w:val="24"/>
                <w:highlight w:val="none"/>
                <w:lang w:val="en-US" w:eastAsia="zh-CN" w:bidi="ar-SA"/>
              </w:rPr>
            </w:pPr>
          </w:p>
        </w:tc>
        <w:tc>
          <w:tcPr>
            <w:tcW w:w="1650" w:type="dxa"/>
            <w:noWrap w:val="0"/>
            <w:vAlign w:val="center"/>
          </w:tcPr>
          <w:p w14:paraId="082E1865">
            <w:pPr>
              <w:widowControl/>
              <w:tabs>
                <w:tab w:val="left" w:pos="594"/>
                <w:tab w:val="center" w:pos="1851"/>
              </w:tabs>
              <w:spacing w:line="400" w:lineRule="exact"/>
              <w:ind w:left="0" w:leftChars="0" w:firstLine="0" w:firstLineChars="0"/>
              <w:jc w:val="left"/>
              <w:rPr>
                <w:rFonts w:hint="default" w:ascii="Times New Roman" w:hAnsi="Times New Roman" w:eastAsia="仿宋_GB2312" w:cs="Times New Roman"/>
                <w:bCs/>
                <w:color w:val="000000"/>
                <w:kern w:val="0"/>
                <w:sz w:val="24"/>
                <w:szCs w:val="24"/>
                <w:highlight w:val="none"/>
              </w:rPr>
            </w:pPr>
            <w:r>
              <w:rPr>
                <w:rFonts w:hint="default" w:ascii="Times New Roman" w:hAnsi="Times New Roman" w:eastAsia="仿宋_GB2312" w:cs="Times New Roman"/>
                <w:bCs/>
                <w:color w:val="000000"/>
                <w:kern w:val="0"/>
                <w:sz w:val="24"/>
                <w:szCs w:val="24"/>
                <w:highlight w:val="none"/>
              </w:rPr>
              <w:t>容量调整因子</w:t>
            </w:r>
          </w:p>
        </w:tc>
        <w:tc>
          <w:tcPr>
            <w:tcW w:w="5322" w:type="dxa"/>
            <w:noWrap w:val="0"/>
            <w:vAlign w:val="center"/>
          </w:tcPr>
          <w:p w14:paraId="5C41B54B">
            <w:pPr>
              <w:pStyle w:val="7"/>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rPr>
            </w:pPr>
            <w:r>
              <w:rPr>
                <w:rFonts w:hint="eastAsia" w:ascii="Times New Roman" w:hAnsi="Times New Roman" w:eastAsia="仿宋_GB2312" w:cs="Times New Roman"/>
                <w:bCs/>
                <w:color w:val="000000"/>
                <w:kern w:val="0"/>
                <w:sz w:val="24"/>
                <w:szCs w:val="24"/>
                <w:highlight w:val="none"/>
                <w:lang w:val="en-US" w:eastAsia="zh-CN" w:bidi="ar-SA"/>
              </w:rPr>
              <w:t>关注数据知识产权的稀缺性、市场规模和价值密度等。</w:t>
            </w:r>
          </w:p>
        </w:tc>
      </w:tr>
      <w:tr w14:paraId="6DD33B3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5" w:type="dxa"/>
            <w:vMerge w:val="continue"/>
            <w:noWrap w:val="0"/>
            <w:vAlign w:val="center"/>
          </w:tcPr>
          <w:p w14:paraId="3AE7782C">
            <w:pPr>
              <w:widowControl/>
              <w:spacing w:line="400" w:lineRule="exact"/>
              <w:jc w:val="left"/>
              <w:rPr>
                <w:rFonts w:hint="default" w:ascii="Times New Roman" w:hAnsi="Times New Roman" w:eastAsia="仿宋_GB2312" w:cs="Times New Roman"/>
                <w:bCs/>
                <w:color w:val="000000"/>
                <w:kern w:val="0"/>
                <w:sz w:val="24"/>
                <w:szCs w:val="24"/>
                <w:highlight w:val="none"/>
              </w:rPr>
            </w:pPr>
          </w:p>
        </w:tc>
        <w:tc>
          <w:tcPr>
            <w:tcW w:w="762" w:type="dxa"/>
            <w:vMerge w:val="continue"/>
            <w:noWrap w:val="0"/>
            <w:vAlign w:val="center"/>
          </w:tcPr>
          <w:p w14:paraId="7FC69BC9">
            <w:pPr>
              <w:widowControl/>
              <w:spacing w:line="400" w:lineRule="exact"/>
              <w:jc w:val="left"/>
              <w:rPr>
                <w:rFonts w:hint="eastAsia" w:ascii="Times New Roman" w:hAnsi="Times New Roman" w:cs="Times New Roman"/>
                <w:bCs/>
                <w:color w:val="000000"/>
                <w:kern w:val="0"/>
                <w:sz w:val="24"/>
                <w:szCs w:val="24"/>
                <w:highlight w:val="none"/>
                <w:lang w:val="en-US" w:eastAsia="zh-CN" w:bidi="ar-SA"/>
              </w:rPr>
            </w:pPr>
          </w:p>
        </w:tc>
        <w:tc>
          <w:tcPr>
            <w:tcW w:w="1650" w:type="dxa"/>
            <w:noWrap w:val="0"/>
            <w:vAlign w:val="center"/>
          </w:tcPr>
          <w:p w14:paraId="4C71D317">
            <w:pPr>
              <w:widowControl/>
              <w:spacing w:line="400" w:lineRule="exact"/>
              <w:ind w:left="0" w:leftChars="0" w:firstLine="0" w:firstLineChars="0"/>
              <w:jc w:val="both"/>
              <w:rPr>
                <w:rFonts w:hint="default" w:ascii="Times New Roman" w:hAnsi="Times New Roman" w:eastAsia="仿宋_GB2312" w:cs="Times New Roman"/>
                <w:bCs/>
                <w:color w:val="000000"/>
                <w:kern w:val="0"/>
                <w:sz w:val="24"/>
                <w:szCs w:val="24"/>
                <w:highlight w:val="none"/>
              </w:rPr>
            </w:pPr>
            <w:r>
              <w:rPr>
                <w:rFonts w:hint="default" w:ascii="Times New Roman" w:hAnsi="Times New Roman" w:eastAsia="仿宋_GB2312" w:cs="Times New Roman"/>
                <w:bCs/>
                <w:color w:val="000000"/>
                <w:kern w:val="0"/>
                <w:sz w:val="24"/>
                <w:szCs w:val="24"/>
                <w:highlight w:val="none"/>
              </w:rPr>
              <w:t>供求关系调整因子</w:t>
            </w:r>
          </w:p>
        </w:tc>
        <w:tc>
          <w:tcPr>
            <w:tcW w:w="5322" w:type="dxa"/>
            <w:noWrap w:val="0"/>
            <w:vAlign w:val="center"/>
          </w:tcPr>
          <w:p w14:paraId="71E6655B">
            <w:pPr>
              <w:pStyle w:val="7"/>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rPr>
            </w:pPr>
            <w:r>
              <w:rPr>
                <w:rFonts w:hint="eastAsia" w:ascii="Times New Roman" w:hAnsi="Times New Roman" w:eastAsia="仿宋_GB2312" w:cs="Times New Roman"/>
                <w:bCs/>
                <w:color w:val="000000"/>
                <w:kern w:val="0"/>
                <w:sz w:val="24"/>
                <w:szCs w:val="24"/>
                <w:highlight w:val="none"/>
                <w:lang w:val="en-US" w:eastAsia="zh-CN" w:bidi="ar-SA"/>
              </w:rPr>
              <w:t>合规性调整因子是一个量化指标或系数，用于在风险评价、定价等场景中，动态反映和纳入特定实体的合规风险状况或合规表现，并据此对初始评价结果、定价基础、额度建议或其他业务决策参数进行正向或负向的调整，正向因子&gt;1.0、中性因子=1.0、负向因子&lt;1.0。</w:t>
            </w:r>
          </w:p>
        </w:tc>
      </w:tr>
      <w:tr w14:paraId="16CF8D0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5" w:type="dxa"/>
            <w:vMerge w:val="continue"/>
            <w:noWrap w:val="0"/>
            <w:vAlign w:val="center"/>
          </w:tcPr>
          <w:p w14:paraId="38BF9C12">
            <w:pPr>
              <w:widowControl/>
              <w:spacing w:line="400" w:lineRule="exact"/>
              <w:jc w:val="left"/>
              <w:rPr>
                <w:rFonts w:hint="default" w:ascii="Times New Roman" w:hAnsi="Times New Roman" w:eastAsia="仿宋_GB2312" w:cs="Times New Roman"/>
                <w:bCs/>
                <w:color w:val="000000"/>
                <w:kern w:val="0"/>
                <w:sz w:val="24"/>
                <w:szCs w:val="24"/>
                <w:highlight w:val="none"/>
              </w:rPr>
            </w:pPr>
          </w:p>
        </w:tc>
        <w:tc>
          <w:tcPr>
            <w:tcW w:w="762" w:type="dxa"/>
            <w:vMerge w:val="continue"/>
            <w:noWrap w:val="0"/>
            <w:vAlign w:val="center"/>
          </w:tcPr>
          <w:p w14:paraId="3A9DA5A3">
            <w:pPr>
              <w:widowControl/>
              <w:spacing w:line="400" w:lineRule="exact"/>
              <w:jc w:val="left"/>
              <w:rPr>
                <w:rFonts w:hint="eastAsia" w:ascii="Times New Roman" w:hAnsi="Times New Roman" w:cs="Times New Roman"/>
                <w:bCs/>
                <w:color w:val="000000"/>
                <w:kern w:val="0"/>
                <w:sz w:val="24"/>
                <w:szCs w:val="24"/>
                <w:highlight w:val="none"/>
                <w:lang w:val="en-US" w:eastAsia="zh-CN" w:bidi="ar-SA"/>
              </w:rPr>
            </w:pPr>
          </w:p>
        </w:tc>
        <w:tc>
          <w:tcPr>
            <w:tcW w:w="1650" w:type="dxa"/>
            <w:noWrap w:val="0"/>
            <w:vAlign w:val="center"/>
          </w:tcPr>
          <w:p w14:paraId="48793218">
            <w:pPr>
              <w:widowControl/>
              <w:spacing w:line="400" w:lineRule="exact"/>
              <w:ind w:left="0" w:leftChars="0" w:firstLine="0" w:firstLineChars="0"/>
              <w:jc w:val="both"/>
              <w:rPr>
                <w:rFonts w:hint="default" w:ascii="Times New Roman" w:hAnsi="Times New Roman" w:eastAsia="仿宋_GB2312" w:cs="Times New Roman"/>
                <w:bCs/>
                <w:color w:val="000000"/>
                <w:kern w:val="0"/>
                <w:sz w:val="24"/>
                <w:szCs w:val="24"/>
                <w:highlight w:val="none"/>
              </w:rPr>
            </w:pPr>
            <w:r>
              <w:rPr>
                <w:rFonts w:hint="default" w:ascii="Times New Roman" w:hAnsi="Times New Roman" w:eastAsia="仿宋_GB2312" w:cs="Times New Roman"/>
                <w:bCs/>
                <w:color w:val="000000"/>
                <w:kern w:val="0"/>
                <w:sz w:val="24"/>
                <w:szCs w:val="24"/>
                <w:highlight w:val="none"/>
              </w:rPr>
              <w:t>其他调整因子</w:t>
            </w:r>
          </w:p>
        </w:tc>
        <w:tc>
          <w:tcPr>
            <w:tcW w:w="5322" w:type="dxa"/>
            <w:noWrap w:val="0"/>
            <w:vAlign w:val="center"/>
          </w:tcPr>
          <w:p w14:paraId="3B329CD9">
            <w:pPr>
              <w:pStyle w:val="7"/>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both"/>
              <w:textAlignment w:val="auto"/>
              <w:rPr>
                <w:rFonts w:hint="default" w:ascii="Times New Roman" w:hAnsi="Times New Roman" w:eastAsia="仿宋_GB2312" w:cs="Times New Roman"/>
                <w:bCs/>
                <w:color w:val="000000"/>
                <w:kern w:val="0"/>
                <w:sz w:val="24"/>
                <w:szCs w:val="24"/>
                <w:highlight w:val="none"/>
              </w:rPr>
            </w:pPr>
            <w:r>
              <w:rPr>
                <w:rFonts w:hint="eastAsia" w:ascii="Times New Roman" w:hAnsi="Times New Roman" w:eastAsia="仿宋_GB2312" w:cs="Times New Roman"/>
                <w:bCs/>
                <w:color w:val="000000"/>
                <w:kern w:val="0"/>
                <w:sz w:val="24"/>
                <w:szCs w:val="24"/>
                <w:highlight w:val="none"/>
                <w:lang w:val="en-US" w:eastAsia="zh-CN" w:bidi="ar-SA"/>
              </w:rPr>
              <w:t>在应用市场法评价数据知识产权价值时，综合考虑其他因素对其价值的影响，选择可量化的调整因子。</w:t>
            </w:r>
          </w:p>
        </w:tc>
      </w:tr>
    </w:tbl>
    <w:p w14:paraId="33C7918E">
      <w:pPr>
        <w:bidi w:val="0"/>
        <w:rPr>
          <w:rFonts w:hint="default"/>
        </w:rPr>
      </w:pPr>
    </w:p>
    <w:p w14:paraId="4F7DB009">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小标宋">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2A6E30"/>
    <w:rsid w:val="782A6E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3">
    <w:name w:val="heading 1"/>
    <w:basedOn w:val="1"/>
    <w:next w:val="1"/>
    <w:qFormat/>
    <w:uiPriority w:val="0"/>
    <w:pPr>
      <w:spacing w:line="600" w:lineRule="exact"/>
      <w:ind w:firstLine="640" w:firstLineChars="200"/>
      <w:outlineLvl w:val="0"/>
    </w:pPr>
    <w:rPr>
      <w:rFonts w:ascii="Times New Roman" w:hAnsi="Times New Roman" w:eastAsia="黑体" w:cs="Times New Roman"/>
      <w:bCs/>
      <w:color w:val="000000"/>
      <w:kern w:val="44"/>
      <w:sz w:val="32"/>
      <w:szCs w:val="32"/>
      <w:highlight w:val="none"/>
    </w:rPr>
  </w:style>
  <w:style w:type="paragraph" w:styleId="4">
    <w:name w:val="heading 2"/>
    <w:basedOn w:val="1"/>
    <w:next w:val="1"/>
    <w:qFormat/>
    <w:uiPriority w:val="0"/>
    <w:pPr>
      <w:spacing w:line="600" w:lineRule="exact"/>
      <w:ind w:left="640" w:firstLine="0" w:firstLineChars="0"/>
      <w:outlineLvl w:val="1"/>
    </w:pPr>
    <w:rPr>
      <w:rFonts w:ascii="楷体_GB2312" w:hAnsi="楷体_GB2312" w:eastAsia="楷体_GB2312" w:cs="楷体_GB2312"/>
      <w:highlight w:val="none"/>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tabs>
        <w:tab w:val="right" w:leader="dot" w:pos="8296"/>
      </w:tabs>
      <w:ind w:left="420" w:leftChars="200"/>
    </w:pPr>
    <w:rPr>
      <w:rFonts w:ascii="等线" w:hAnsi="等线" w:eastAsia="黑体" w:cs="Times New Roman"/>
      <w:sz w:val="28"/>
    </w:rPr>
  </w:style>
  <w:style w:type="paragraph" w:customStyle="1" w:styleId="7">
    <w:name w:val="Table Text"/>
    <w:basedOn w:val="1"/>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省市场监督管理局</Company>
  <Pages>4</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2026-01-14T06:57:00Z</dcterms:created>
  <dc:creator>郑玉丽</dc:creator>
  <cp:lastModifiedBy>郑玉丽</cp:lastModifiedBy>
  <dcterms:modified xsi:type="dcterms:W3CDTF">2026-01-14T07:01:52Z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64E017657B424B39AB120385D5F557BD_11</vt:lpwstr>
  </property>
  <property fmtid="{D5CDD505-2E9C-101B-9397-08002B2CF9AE}" pid="4" name="KSOTemplateDocerSaveRecord">
    <vt:lpwstr>eyJoZGlkIjoiODNjM2VkZWUwYjdkZDYzZGY2NmZiZGNiZGIyMjFjYWIiLCJ1c2VySWQiOiIxMjE0ODEzMDc5In0=</vt:lpwstr>
  </property>
</Properties>
</file>