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highlight w:val="none"/>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highlight w:val="none"/>
          <w:lang w:val="en-US" w:eastAsia="zh-CN" w:bidi="ar"/>
        </w:rPr>
        <w:t>珠海老字号认定管理办法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仿宋" w:hAnsi="仿宋" w:eastAsia="仿宋" w:cs="仿宋"/>
          <w:i w:val="0"/>
          <w:iCs w:val="0"/>
          <w:caps w:val="0"/>
          <w:color w:val="auto"/>
          <w:spacing w:val="0"/>
          <w:kern w:val="0"/>
          <w:sz w:val="32"/>
          <w:szCs w:val="32"/>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Calibri" w:hAnsi="Calibri" w:cs="Calibri"/>
          <w:i w:val="0"/>
          <w:iCs w:val="0"/>
          <w:color w:val="auto"/>
          <w:sz w:val="21"/>
          <w:szCs w:val="21"/>
          <w:highlight w:val="none"/>
        </w:rPr>
      </w:pPr>
      <w:r>
        <w:rPr>
          <w:rFonts w:ascii="黑体" w:hAnsi="宋体" w:eastAsia="黑体" w:cs="黑体"/>
          <w:i w:val="0"/>
          <w:iCs w:val="0"/>
          <w:caps w:val="0"/>
          <w:color w:val="auto"/>
          <w:spacing w:val="0"/>
          <w:kern w:val="0"/>
          <w:sz w:val="32"/>
          <w:szCs w:val="32"/>
          <w:highlight w:val="none"/>
          <w:lang w:val="en-US" w:eastAsia="zh-CN" w:bidi="ar"/>
        </w:rPr>
        <w:t>第一章</w:t>
      </w:r>
      <w:r>
        <w:rPr>
          <w:rFonts w:hint="eastAsia" w:ascii="黑体" w:hAnsi="宋体" w:eastAsia="黑体" w:cs="黑体"/>
          <w:i w:val="0"/>
          <w:iCs w:val="0"/>
          <w:caps w:val="0"/>
          <w:color w:val="auto"/>
          <w:spacing w:val="0"/>
          <w:kern w:val="0"/>
          <w:sz w:val="32"/>
          <w:szCs w:val="32"/>
          <w:highlight w:val="none"/>
          <w:lang w:val="en-US" w:eastAsia="zh" w:bidi="ar"/>
        </w:rPr>
        <w:t>　</w:t>
      </w:r>
      <w:r>
        <w:rPr>
          <w:rFonts w:hint="eastAsia" w:ascii="黑体" w:hAnsi="宋体" w:eastAsia="黑体" w:cs="黑体"/>
          <w:i w:val="0"/>
          <w:iCs w:val="0"/>
          <w:caps w:val="0"/>
          <w:color w:val="auto"/>
          <w:spacing w:val="0"/>
          <w:kern w:val="0"/>
          <w:sz w:val="32"/>
          <w:szCs w:val="32"/>
          <w:highlight w:val="none"/>
          <w:lang w:val="en-US" w:eastAsia="zh-CN" w:bidi="ar"/>
        </w:rPr>
        <w:t>总则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第一条</w:t>
      </w:r>
      <w:r>
        <w:rPr>
          <w:rFonts w:ascii="楷体_GB2312" w:hAnsi="Calibri" w:eastAsia="楷体_GB2312" w:cs="楷体_GB2312"/>
          <w:i w:val="0"/>
          <w:iCs w:val="0"/>
          <w:caps w:val="0"/>
          <w:color w:val="auto"/>
          <w:spacing w:val="0"/>
          <w:kern w:val="0"/>
          <w:sz w:val="32"/>
          <w:szCs w:val="32"/>
          <w:highlight w:val="none"/>
          <w:lang w:val="en-US" w:eastAsia="zh-CN" w:bidi="ar"/>
        </w:rPr>
        <w:t> </w:t>
      </w:r>
      <w:r>
        <w:rPr>
          <w:rFonts w:hint="eastAsia" w:ascii="仿宋_GB2312" w:hAnsi="Calibri" w:eastAsia="仿宋_GB2312" w:cs="仿宋_GB2312"/>
          <w:i w:val="0"/>
          <w:iCs w:val="0"/>
          <w:caps w:val="0"/>
          <w:color w:val="auto"/>
          <w:spacing w:val="0"/>
          <w:kern w:val="0"/>
          <w:sz w:val="32"/>
          <w:szCs w:val="32"/>
          <w:highlight w:val="none"/>
          <w:lang w:val="en-US" w:eastAsia="zh-CN" w:bidi="ar"/>
        </w:rPr>
        <w:t>为贯彻《商务部等8部门关于促进老字号创新发展的意见》</w:t>
      </w:r>
      <w:r>
        <w:rPr>
          <w:rFonts w:hint="eastAsia" w:ascii="仿宋_GB2312" w:eastAsia="仿宋_GB2312" w:cs="仿宋_GB2312"/>
          <w:i w:val="0"/>
          <w:iCs w:val="0"/>
          <w:caps w:val="0"/>
          <w:color w:val="auto"/>
          <w:spacing w:val="0"/>
          <w:kern w:val="0"/>
          <w:sz w:val="32"/>
          <w:szCs w:val="32"/>
          <w:highlight w:val="none"/>
          <w:lang w:val="en-US" w:eastAsia="zh-CN" w:bidi="ar"/>
        </w:rPr>
        <w:t>，落实《珠海市促进老字号创新发展行动方案（2023-2025）》，</w:t>
      </w:r>
      <w:r>
        <w:rPr>
          <w:rFonts w:hint="eastAsia" w:ascii="仿宋_GB2312" w:hAnsi="仿宋_GB2312" w:eastAsia="仿宋_GB2312" w:cs="仿宋_GB2312"/>
          <w:kern w:val="0"/>
          <w:sz w:val="32"/>
          <w:szCs w:val="32"/>
          <w:highlight w:val="none"/>
          <w:lang w:val="en-US" w:eastAsia="zh-CN" w:bidi="ar"/>
        </w:rPr>
        <w:t>扶持和保护珠海老字号，规范老字号管理，弘扬老字号优秀文化，提升老字号品牌价值，促进老字号发展，</w:t>
      </w:r>
      <w:r>
        <w:rPr>
          <w:rFonts w:hint="eastAsia" w:ascii="仿宋_GB2312" w:eastAsia="仿宋_GB2312" w:cs="仿宋_GB2312"/>
          <w:i w:val="0"/>
          <w:iCs w:val="0"/>
          <w:caps w:val="0"/>
          <w:color w:val="auto"/>
          <w:spacing w:val="0"/>
          <w:kern w:val="0"/>
          <w:sz w:val="32"/>
          <w:szCs w:val="32"/>
          <w:highlight w:val="none"/>
          <w:lang w:val="en-US" w:eastAsia="zh-CN" w:bidi="ar"/>
        </w:rPr>
        <w:t>根据《广东老字号认定管理办法》等规定，</w:t>
      </w:r>
      <w:r>
        <w:rPr>
          <w:rFonts w:hint="eastAsia" w:ascii="仿宋_GB2312" w:hAnsi="Calibri" w:eastAsia="仿宋_GB2312" w:cs="仿宋_GB2312"/>
          <w:i w:val="0"/>
          <w:iCs w:val="0"/>
          <w:caps w:val="0"/>
          <w:color w:val="auto"/>
          <w:spacing w:val="0"/>
          <w:kern w:val="0"/>
          <w:sz w:val="32"/>
          <w:szCs w:val="32"/>
          <w:highlight w:val="none"/>
          <w:lang w:val="en-US" w:eastAsia="zh-CN" w:bidi="ar"/>
        </w:rPr>
        <w:t>制定本办法。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黑体" w:hAnsi="宋体" w:eastAsia="黑体" w:cs="黑体"/>
          <w:i w:val="0"/>
          <w:iCs w:val="0"/>
          <w:caps w:val="0"/>
          <w:color w:val="auto"/>
          <w:spacing w:val="0"/>
          <w:kern w:val="0"/>
          <w:sz w:val="32"/>
          <w:szCs w:val="32"/>
          <w:highlight w:val="none"/>
          <w:lang w:val="en-US" w:eastAsia="zh-CN" w:bidi="ar"/>
        </w:rPr>
        <w:t>第二条</w:t>
      </w:r>
      <w:r>
        <w:rPr>
          <w:rFonts w:hint="eastAsia" w:ascii="仿宋_GB2312" w:hAnsi="Calibri" w:eastAsia="仿宋_GB2312" w:cs="仿宋_GB2312"/>
          <w:i w:val="0"/>
          <w:iCs w:val="0"/>
          <w:caps w:val="0"/>
          <w:color w:val="auto"/>
          <w:spacing w:val="0"/>
          <w:kern w:val="0"/>
          <w:sz w:val="32"/>
          <w:szCs w:val="32"/>
          <w:highlight w:val="none"/>
          <w:lang w:val="en-US" w:eastAsia="zh-CN" w:bidi="ar"/>
        </w:rPr>
        <w:t> </w:t>
      </w:r>
      <w:r>
        <w:rPr>
          <w:rFonts w:hint="eastAsia" w:ascii="仿宋_GB2312" w:hAnsi="仿宋_GB2312" w:eastAsia="仿宋_GB2312" w:cs="仿宋_GB2312"/>
          <w:kern w:val="0"/>
          <w:sz w:val="32"/>
          <w:szCs w:val="32"/>
          <w:highlight w:val="none"/>
          <w:lang w:val="en-US" w:eastAsia="zh-CN" w:bidi="ar"/>
        </w:rPr>
        <w:t>本办法所称“珠海老字号”（Zhuhai Time-honored brand），是指在珠海市行政区域内，具有一定的历史背景、鲜明的珠海地域特色和文化底蕴，传承独特的产品、技艺或者服务，企业经营良好，营销渠道高效，得到社会广泛认同</w:t>
      </w:r>
      <w:r>
        <w:rPr>
          <w:rFonts w:hint="eastAsia" w:ascii="仿宋_GB2312" w:hAnsi="Calibri" w:eastAsia="仿宋_GB2312" w:cs="仿宋_GB2312"/>
          <w:i w:val="0"/>
          <w:iCs w:val="0"/>
          <w:caps w:val="0"/>
          <w:color w:val="auto"/>
          <w:spacing w:val="0"/>
          <w:kern w:val="0"/>
          <w:sz w:val="32"/>
          <w:szCs w:val="32"/>
          <w:highlight w:val="none"/>
          <w:lang w:val="en-US" w:eastAsia="zh-CN" w:bidi="ar"/>
        </w:rPr>
        <w:t>的</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品牌（</w:t>
      </w: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字号</w:t>
      </w:r>
      <w:r>
        <w:rPr>
          <w:rFonts w:hint="eastAsia" w:ascii="仿宋_GB2312" w:hAnsi="Calibri" w:eastAsia="仿宋_GB2312" w:cs="仿宋_GB2312"/>
          <w:i w:val="0"/>
          <w:iCs w:val="0"/>
          <w:caps w:val="0"/>
          <w:color w:val="auto"/>
          <w:spacing w:val="0"/>
          <w:kern w:val="0"/>
          <w:sz w:val="32"/>
          <w:szCs w:val="32"/>
          <w:highlight w:val="none"/>
          <w:lang w:val="en-US" w:eastAsia="zh-CN" w:bidi="ar"/>
        </w:rPr>
        <w:t>、商标等）。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u w:val="none"/>
        </w:rPr>
      </w:pPr>
      <w:r>
        <w:rPr>
          <w:rFonts w:hint="eastAsia" w:ascii="黑体" w:hAnsi="宋体" w:eastAsia="黑体" w:cs="黑体"/>
          <w:i w:val="0"/>
          <w:iCs w:val="0"/>
          <w:caps w:val="0"/>
          <w:color w:val="auto"/>
          <w:spacing w:val="0"/>
          <w:kern w:val="0"/>
          <w:sz w:val="32"/>
          <w:szCs w:val="32"/>
          <w:highlight w:val="none"/>
          <w:lang w:val="en-US" w:eastAsia="zh-CN" w:bidi="ar"/>
        </w:rPr>
        <w:t>第三条 </w:t>
      </w:r>
      <w:r>
        <w:rPr>
          <w:rFonts w:hint="eastAsia" w:ascii="仿宋_GB2312" w:eastAsia="仿宋_GB2312" w:cs="仿宋_GB2312"/>
          <w:i w:val="0"/>
          <w:iCs w:val="0"/>
          <w:caps w:val="0"/>
          <w:color w:val="auto"/>
          <w:spacing w:val="0"/>
          <w:kern w:val="0"/>
          <w:sz w:val="32"/>
          <w:szCs w:val="32"/>
          <w:highlight w:val="none"/>
          <w:u w:val="none"/>
          <w:lang w:val="en-US" w:eastAsia="zh-CN" w:bidi="ar"/>
        </w:rPr>
        <w:t>市商务局负责珠海老字号认定管理工作</w:t>
      </w:r>
      <w:r>
        <w:rPr>
          <w:rFonts w:hint="default" w:ascii="仿宋_GB2312" w:eastAsia="仿宋_GB2312" w:cs="仿宋_GB2312"/>
          <w:i w:val="0"/>
          <w:iCs w:val="0"/>
          <w:caps w:val="0"/>
          <w:color w:val="auto"/>
          <w:spacing w:val="0"/>
          <w:kern w:val="0"/>
          <w:sz w:val="32"/>
          <w:szCs w:val="32"/>
          <w:highlight w:val="none"/>
          <w:u w:val="none"/>
          <w:lang w:val="en-US" w:eastAsia="zh-CN" w:bidi="ar"/>
        </w:rPr>
        <w:t>,</w:t>
      </w:r>
      <w:r>
        <w:rPr>
          <w:rFonts w:hint="eastAsia" w:ascii="仿宋_GB2312" w:eastAsia="仿宋_GB2312" w:cs="仿宋_GB2312"/>
          <w:i w:val="0"/>
          <w:iCs w:val="0"/>
          <w:caps w:val="0"/>
          <w:color w:val="auto"/>
          <w:spacing w:val="0"/>
          <w:kern w:val="0"/>
          <w:sz w:val="32"/>
          <w:szCs w:val="32"/>
          <w:highlight w:val="none"/>
          <w:u w:val="none"/>
          <w:lang w:val="en-US" w:eastAsia="zh-CN" w:bidi="ar"/>
        </w:rPr>
        <w:t>会同市文化广电旅游体育局、市市场监管局（知识产权局）（以下称相关部门）将符合本办法基本条件</w:t>
      </w: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规定</w:t>
      </w:r>
      <w:r>
        <w:rPr>
          <w:rFonts w:hint="eastAsia" w:ascii="仿宋_GB2312" w:eastAsia="仿宋_GB2312" w:cs="仿宋_GB2312"/>
          <w:i w:val="0"/>
          <w:iCs w:val="0"/>
          <w:caps w:val="0"/>
          <w:color w:val="auto"/>
          <w:spacing w:val="0"/>
          <w:kern w:val="0"/>
          <w:sz w:val="32"/>
          <w:szCs w:val="32"/>
          <w:highlight w:val="none"/>
          <w:u w:val="none"/>
          <w:lang w:val="en-US" w:eastAsia="zh-CN" w:bidi="ar"/>
        </w:rPr>
        <w:t>的</w:t>
      </w: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，在全</w:t>
      </w:r>
      <w:r>
        <w:rPr>
          <w:rFonts w:hint="eastAsia" w:ascii="仿宋_GB2312" w:eastAsia="仿宋_GB2312" w:cs="仿宋_GB2312"/>
          <w:i w:val="0"/>
          <w:iCs w:val="0"/>
          <w:caps w:val="0"/>
          <w:color w:val="auto"/>
          <w:spacing w:val="0"/>
          <w:kern w:val="0"/>
          <w:sz w:val="32"/>
          <w:szCs w:val="32"/>
          <w:highlight w:val="none"/>
          <w:u w:val="none"/>
          <w:lang w:val="en-US" w:eastAsia="zh-CN" w:bidi="ar"/>
        </w:rPr>
        <w:t>市</w:t>
      </w: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范围内具有较强示范引领性的品牌认定为</w:t>
      </w:r>
      <w:r>
        <w:rPr>
          <w:rFonts w:hint="eastAsia" w:ascii="仿宋_GB2312" w:eastAsia="仿宋_GB2312" w:cs="仿宋_GB2312"/>
          <w:i w:val="0"/>
          <w:iCs w:val="0"/>
          <w:caps w:val="0"/>
          <w:color w:val="auto"/>
          <w:spacing w:val="0"/>
          <w:kern w:val="0"/>
          <w:sz w:val="32"/>
          <w:szCs w:val="32"/>
          <w:highlight w:val="none"/>
          <w:u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老字号，将其所属企业认定为</w:t>
      </w:r>
      <w:r>
        <w:rPr>
          <w:rFonts w:hint="eastAsia" w:ascii="仿宋_GB2312" w:eastAsia="仿宋_GB2312" w:cs="仿宋_GB2312"/>
          <w:i w:val="0"/>
          <w:iCs w:val="0"/>
          <w:caps w:val="0"/>
          <w:color w:val="auto"/>
          <w:spacing w:val="0"/>
          <w:kern w:val="0"/>
          <w:sz w:val="32"/>
          <w:szCs w:val="32"/>
          <w:highlight w:val="none"/>
          <w:u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老字号企业，建立</w:t>
      </w:r>
      <w:r>
        <w:rPr>
          <w:rFonts w:hint="eastAsia" w:ascii="仿宋_GB2312" w:eastAsia="仿宋_GB2312" w:cs="仿宋_GB2312"/>
          <w:i w:val="0"/>
          <w:iCs w:val="0"/>
          <w:caps w:val="0"/>
          <w:color w:val="auto"/>
          <w:spacing w:val="0"/>
          <w:kern w:val="0"/>
          <w:sz w:val="32"/>
          <w:szCs w:val="32"/>
          <w:highlight w:val="none"/>
          <w:u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老字号名录。</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eastAsia" w:ascii="仿宋_GB2312" w:eastAsia="仿宋_GB2312" w:cs="仿宋_GB2312"/>
          <w:i w:val="0"/>
          <w:iCs w:val="0"/>
          <w:caps w:val="0"/>
          <w:color w:val="auto"/>
          <w:spacing w:val="0"/>
          <w:kern w:val="0"/>
          <w:sz w:val="32"/>
          <w:szCs w:val="32"/>
          <w:highlight w:val="none"/>
          <w:u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各</w:t>
      </w:r>
      <w:r>
        <w:rPr>
          <w:rFonts w:hint="eastAsia" w:ascii="仿宋_GB2312" w:eastAsia="仿宋_GB2312" w:cs="仿宋_GB2312"/>
          <w:i w:val="0"/>
          <w:iCs w:val="0"/>
          <w:caps w:val="0"/>
          <w:color w:val="auto"/>
          <w:spacing w:val="0"/>
          <w:kern w:val="0"/>
          <w:sz w:val="32"/>
          <w:szCs w:val="32"/>
          <w:highlight w:val="none"/>
          <w:u w:val="none"/>
          <w:lang w:val="en-US" w:eastAsia="zh-CN" w:bidi="ar"/>
        </w:rPr>
        <w:t>区级商务部门</w:t>
      </w: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会同同级相关部门负责本行政区域内</w:t>
      </w:r>
      <w:r>
        <w:rPr>
          <w:rFonts w:hint="eastAsia" w:ascii="仿宋_GB2312" w:eastAsia="仿宋_GB2312" w:cs="仿宋_GB2312"/>
          <w:i w:val="0"/>
          <w:iCs w:val="0"/>
          <w:caps w:val="0"/>
          <w:color w:val="auto"/>
          <w:spacing w:val="0"/>
          <w:kern w:val="0"/>
          <w:sz w:val="32"/>
          <w:szCs w:val="32"/>
          <w:highlight w:val="none"/>
          <w:u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老字号</w:t>
      </w:r>
      <w:r>
        <w:rPr>
          <w:rFonts w:hint="eastAsia" w:ascii="仿宋_GB2312" w:eastAsia="仿宋_GB2312" w:cs="仿宋_GB2312"/>
          <w:i w:val="0"/>
          <w:iCs w:val="0"/>
          <w:caps w:val="0"/>
          <w:color w:val="auto"/>
          <w:spacing w:val="0"/>
          <w:kern w:val="0"/>
          <w:sz w:val="32"/>
          <w:szCs w:val="32"/>
          <w:highlight w:val="none"/>
          <w:u w:val="none"/>
          <w:lang w:val="en-US" w:eastAsia="zh-CN" w:bidi="ar"/>
        </w:rPr>
        <w:t>的认定推荐</w:t>
      </w:r>
      <w:r>
        <w:rPr>
          <w:rFonts w:hint="eastAsia" w:ascii="仿宋_GB2312" w:hAnsi="Calibri" w:eastAsia="仿宋_GB2312" w:cs="仿宋_GB2312"/>
          <w:i w:val="0"/>
          <w:iCs w:val="0"/>
          <w:caps w:val="0"/>
          <w:color w:val="auto"/>
          <w:spacing w:val="0"/>
          <w:kern w:val="0"/>
          <w:sz w:val="32"/>
          <w:szCs w:val="32"/>
          <w:highlight w:val="none"/>
          <w:u w:val="none"/>
          <w:lang w:val="en-US" w:eastAsia="zh-CN" w:bidi="ar"/>
        </w:rPr>
        <w:t>工作</w:t>
      </w:r>
      <w:r>
        <w:rPr>
          <w:rFonts w:hint="eastAsia" w:ascii="仿宋_GB2312" w:eastAsia="仿宋_GB2312" w:cs="仿宋_GB2312"/>
          <w:i w:val="0"/>
          <w:iCs w:val="0"/>
          <w:caps w:val="0"/>
          <w:color w:val="auto"/>
          <w:spacing w:val="0"/>
          <w:kern w:val="0"/>
          <w:sz w:val="32"/>
          <w:szCs w:val="32"/>
          <w:highlight w:val="none"/>
          <w:u w:val="none"/>
          <w:lang w:val="en-US" w:eastAsia="zh-CN" w:bidi="ar"/>
        </w:rPr>
        <w:t>及相关管理工作。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第四条</w:t>
      </w:r>
      <w:r>
        <w:rPr>
          <w:rFonts w:hint="eastAsia" w:ascii="仿宋_GB2312" w:hAnsi="Calibri" w:eastAsia="仿宋_GB2312" w:cs="仿宋_GB2312"/>
          <w:i w:val="0"/>
          <w:iCs w:val="0"/>
          <w:caps w:val="0"/>
          <w:color w:val="auto"/>
          <w:spacing w:val="0"/>
          <w:kern w:val="0"/>
          <w:sz w:val="32"/>
          <w:szCs w:val="32"/>
          <w:highlight w:val="none"/>
          <w:lang w:val="en-US" w:eastAsia="zh-CN" w:bidi="ar"/>
        </w:rPr>
        <w:t>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w:t>
      </w:r>
      <w:r>
        <w:rPr>
          <w:rFonts w:hint="eastAsia" w:ascii="仿宋_GB2312" w:eastAsia="仿宋_GB2312" w:cs="仿宋_GB2312"/>
          <w:i w:val="0"/>
          <w:iCs w:val="0"/>
          <w:caps w:val="0"/>
          <w:color w:val="auto"/>
          <w:spacing w:val="0"/>
          <w:kern w:val="0"/>
          <w:sz w:val="32"/>
          <w:szCs w:val="32"/>
          <w:highlight w:val="none"/>
          <w:lang w:val="en-US" w:eastAsia="zh-CN" w:bidi="ar"/>
        </w:rPr>
        <w:t>认定</w:t>
      </w:r>
      <w:r>
        <w:rPr>
          <w:rFonts w:hint="eastAsia" w:ascii="仿宋_GB2312" w:hAnsi="Calibri" w:eastAsia="仿宋_GB2312" w:cs="仿宋_GB2312"/>
          <w:i w:val="0"/>
          <w:iCs w:val="0"/>
          <w:caps w:val="0"/>
          <w:color w:val="auto"/>
          <w:spacing w:val="0"/>
          <w:kern w:val="0"/>
          <w:sz w:val="32"/>
          <w:szCs w:val="32"/>
          <w:highlight w:val="none"/>
          <w:lang w:val="en-US" w:eastAsia="zh-CN" w:bidi="ar"/>
        </w:rPr>
        <w:t>遵循</w:t>
      </w:r>
      <w:r>
        <w:rPr>
          <w:rFonts w:hint="eastAsia" w:ascii="仿宋" w:hAnsi="仿宋" w:eastAsia="仿宋" w:cs="仿宋"/>
          <w:sz w:val="32"/>
          <w:szCs w:val="40"/>
          <w:highlight w:val="none"/>
          <w:lang w:val="en-US" w:eastAsia="zh-CN"/>
        </w:rPr>
        <w:t>“自主培育、自愿申报、优中择优、有进有出”</w:t>
      </w:r>
      <w:r>
        <w:rPr>
          <w:rFonts w:hint="eastAsia" w:ascii="仿宋_GB2312" w:hAnsi="Calibri" w:eastAsia="仿宋_GB2312" w:cs="仿宋_GB2312"/>
          <w:i w:val="0"/>
          <w:iCs w:val="0"/>
          <w:caps w:val="0"/>
          <w:color w:val="auto"/>
          <w:spacing w:val="0"/>
          <w:kern w:val="0"/>
          <w:sz w:val="32"/>
          <w:szCs w:val="32"/>
          <w:highlight w:val="none"/>
          <w:lang w:val="en-US" w:eastAsia="zh-CN" w:bidi="ar"/>
        </w:rPr>
        <w:t>的原则。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黑体" w:hAnsi="宋体" w:eastAsia="黑体" w:cs="黑体"/>
          <w:i w:val="0"/>
          <w:iCs w:val="0"/>
          <w:caps w:val="0"/>
          <w:color w:val="auto"/>
          <w:spacing w:val="0"/>
          <w:kern w:val="0"/>
          <w:sz w:val="32"/>
          <w:szCs w:val="32"/>
          <w:highlight w:val="none"/>
          <w:lang w:val="en-US" w:eastAsia="zh-CN" w:bidi="ar"/>
        </w:rPr>
        <w:t>第五条</w:t>
      </w:r>
      <w:r>
        <w:rPr>
          <w:rFonts w:hint="eastAsia" w:ascii="仿宋_GB2312" w:hAnsi="Calibri" w:eastAsia="仿宋_GB2312" w:cs="仿宋_GB2312"/>
          <w:i w:val="0"/>
          <w:iCs w:val="0"/>
          <w:caps w:val="0"/>
          <w:color w:val="auto"/>
          <w:spacing w:val="0"/>
          <w:kern w:val="0"/>
          <w:sz w:val="32"/>
          <w:szCs w:val="32"/>
          <w:highlight w:val="none"/>
          <w:lang w:val="en-US" w:eastAsia="zh-CN" w:bidi="ar"/>
        </w:rPr>
        <w:t>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w:t>
      </w:r>
      <w:r>
        <w:rPr>
          <w:rFonts w:hint="eastAsia" w:ascii="仿宋_GB2312" w:eastAsia="仿宋_GB2312" w:cs="仿宋_GB2312"/>
          <w:i w:val="0"/>
          <w:iCs w:val="0"/>
          <w:caps w:val="0"/>
          <w:color w:val="auto"/>
          <w:spacing w:val="0"/>
          <w:kern w:val="0"/>
          <w:sz w:val="32"/>
          <w:szCs w:val="32"/>
          <w:highlight w:val="none"/>
          <w:lang w:val="en-US" w:eastAsia="zh-CN" w:bidi="ar"/>
        </w:rPr>
        <w:t>认定</w:t>
      </w:r>
      <w:r>
        <w:rPr>
          <w:rFonts w:hint="eastAsia" w:ascii="仿宋_GB2312" w:hAnsi="Calibri" w:eastAsia="仿宋_GB2312" w:cs="仿宋_GB2312"/>
          <w:i w:val="0"/>
          <w:iCs w:val="0"/>
          <w:caps w:val="0"/>
          <w:color w:val="auto"/>
          <w:spacing w:val="0"/>
          <w:kern w:val="0"/>
          <w:sz w:val="32"/>
          <w:szCs w:val="32"/>
          <w:highlight w:val="none"/>
          <w:lang w:val="en-US" w:eastAsia="zh-CN" w:bidi="ar"/>
        </w:rPr>
        <w:t>以企业为主体，企业应当体现品牌示范性、企业代表性、行业引领性，注重理念、设计、研发、工艺、技术、制造、产品、服务、经营、营销、管理等各方面创新，与时俱进、守正创新，彰显经济价值和文化价值。</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第二章</w:t>
      </w:r>
      <w:r>
        <w:rPr>
          <w:rFonts w:hint="eastAsia" w:ascii="黑体" w:hAnsi="宋体" w:eastAsia="黑体" w:cs="黑体"/>
          <w:i w:val="0"/>
          <w:iCs w:val="0"/>
          <w:caps w:val="0"/>
          <w:color w:val="auto"/>
          <w:spacing w:val="0"/>
          <w:kern w:val="0"/>
          <w:sz w:val="32"/>
          <w:szCs w:val="32"/>
          <w:highlight w:val="none"/>
          <w:lang w:val="en-US" w:eastAsia="zh" w:bidi="ar"/>
        </w:rPr>
        <w:t>　</w:t>
      </w:r>
      <w:r>
        <w:rPr>
          <w:rFonts w:hint="eastAsia" w:ascii="黑体" w:hAnsi="宋体" w:eastAsia="黑体" w:cs="黑体"/>
          <w:i w:val="0"/>
          <w:iCs w:val="0"/>
          <w:caps w:val="0"/>
          <w:color w:val="auto"/>
          <w:spacing w:val="0"/>
          <w:kern w:val="0"/>
          <w:sz w:val="32"/>
          <w:szCs w:val="32"/>
          <w:highlight w:val="none"/>
          <w:lang w:val="en-US" w:eastAsia="zh-CN" w:bidi="ar"/>
        </w:rPr>
        <w:t>基本条件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第六条</w:t>
      </w:r>
      <w:r>
        <w:rPr>
          <w:rFonts w:hint="eastAsia" w:ascii="仿宋_GB2312" w:hAnsi="Calibri" w:eastAsia="仿宋_GB2312" w:cs="仿宋_GB2312"/>
          <w:i w:val="0"/>
          <w:iCs w:val="0"/>
          <w:caps w:val="0"/>
          <w:color w:val="auto"/>
          <w:spacing w:val="0"/>
          <w:kern w:val="0"/>
          <w:sz w:val="32"/>
          <w:szCs w:val="32"/>
          <w:highlight w:val="none"/>
          <w:lang w:val="en-US" w:eastAsia="zh-CN" w:bidi="ar"/>
        </w:rPr>
        <w:t>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老字号应当具备以下基本条件：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（一）品牌创立时间在</w:t>
      </w:r>
      <w:r>
        <w:rPr>
          <w:rFonts w:hint="eastAsia" w:ascii="仿宋_GB2312" w:eastAsia="仿宋_GB2312" w:cs="仿宋_GB2312"/>
          <w:i w:val="0"/>
          <w:iCs w:val="0"/>
          <w:caps w:val="0"/>
          <w:color w:val="auto"/>
          <w:spacing w:val="0"/>
          <w:kern w:val="0"/>
          <w:sz w:val="32"/>
          <w:szCs w:val="32"/>
          <w:highlight w:val="none"/>
          <w:lang w:val="en-US" w:eastAsia="zh-CN" w:bidi="ar"/>
        </w:rPr>
        <w:t>20</w:t>
      </w:r>
      <w:r>
        <w:rPr>
          <w:rFonts w:hint="eastAsia" w:ascii="仿宋_GB2312" w:hAnsi="Calibri" w:eastAsia="仿宋_GB2312" w:cs="仿宋_GB2312"/>
          <w:i w:val="0"/>
          <w:iCs w:val="0"/>
          <w:caps w:val="0"/>
          <w:color w:val="auto"/>
          <w:spacing w:val="0"/>
          <w:kern w:val="0"/>
          <w:sz w:val="32"/>
          <w:szCs w:val="32"/>
          <w:highlight w:val="none"/>
          <w:lang w:val="en-US" w:eastAsia="zh-CN" w:bidi="ar"/>
        </w:rPr>
        <w:t>年（含）</w:t>
      </w:r>
      <w:r>
        <w:rPr>
          <w:rFonts w:hint="eastAsia" w:ascii="仿宋_GB2312" w:eastAsia="仿宋_GB2312" w:cs="仿宋_GB2312"/>
          <w:i w:val="0"/>
          <w:iCs w:val="0"/>
          <w:caps w:val="0"/>
          <w:color w:val="auto"/>
          <w:spacing w:val="0"/>
          <w:kern w:val="0"/>
          <w:sz w:val="32"/>
          <w:szCs w:val="32"/>
          <w:highlight w:val="none"/>
          <w:lang w:val="en-US" w:eastAsia="zh-CN" w:bidi="ar"/>
        </w:rPr>
        <w:t>以上</w:t>
      </w:r>
      <w:r>
        <w:rPr>
          <w:rFonts w:hint="eastAsia" w:ascii="仿宋_GB2312" w:hAnsi="Calibri" w:eastAsia="仿宋_GB2312" w:cs="仿宋_GB2312"/>
          <w:i w:val="0"/>
          <w:iCs w:val="0"/>
          <w:caps w:val="0"/>
          <w:color w:val="auto"/>
          <w:spacing w:val="0"/>
          <w:kern w:val="0"/>
          <w:sz w:val="32"/>
          <w:szCs w:val="32"/>
          <w:highlight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（二）具有</w:t>
      </w:r>
      <w:r>
        <w:rPr>
          <w:rFonts w:hint="eastAsia" w:ascii="仿宋_GB2312" w:eastAsia="仿宋_GB2312" w:cs="仿宋_GB2312"/>
          <w:i w:val="0"/>
          <w:iCs w:val="0"/>
          <w:caps w:val="0"/>
          <w:color w:val="auto"/>
          <w:spacing w:val="0"/>
          <w:kern w:val="0"/>
          <w:sz w:val="32"/>
          <w:szCs w:val="32"/>
          <w:highlight w:val="none"/>
          <w:lang w:val="en-US" w:eastAsia="zh-CN" w:bidi="ar"/>
        </w:rPr>
        <w:t>珠海地区</w:t>
      </w:r>
      <w:r>
        <w:rPr>
          <w:rFonts w:hint="eastAsia" w:ascii="仿宋_GB2312" w:hAnsi="Calibri" w:eastAsia="仿宋_GB2312" w:cs="仿宋_GB2312"/>
          <w:i w:val="0"/>
          <w:iCs w:val="0"/>
          <w:caps w:val="0"/>
          <w:color w:val="auto"/>
          <w:spacing w:val="0"/>
          <w:kern w:val="0"/>
          <w:sz w:val="32"/>
          <w:szCs w:val="32"/>
          <w:highlight w:val="none"/>
          <w:lang w:val="en-US" w:eastAsia="zh-CN" w:bidi="ar"/>
        </w:rPr>
        <w:t>特色和鲜明文化特征；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（三）面向居民生活提供经济价值、文化价值较高的</w:t>
      </w:r>
      <w:r>
        <w:rPr>
          <w:rFonts w:hint="eastAsia" w:ascii="仿宋_GB2312" w:eastAsia="仿宋_GB2312" w:cs="仿宋_GB2312"/>
          <w:i w:val="0"/>
          <w:iCs w:val="0"/>
          <w:caps w:val="0"/>
          <w:color w:val="auto"/>
          <w:spacing w:val="0"/>
          <w:kern w:val="0"/>
          <w:sz w:val="32"/>
          <w:szCs w:val="32"/>
          <w:highlight w:val="none"/>
          <w:lang w:val="en-US" w:eastAsia="zh-CN" w:bidi="ar"/>
        </w:rPr>
        <w:t>商</w:t>
      </w:r>
      <w:r>
        <w:rPr>
          <w:rFonts w:hint="eastAsia" w:ascii="仿宋_GB2312" w:hAnsi="Calibri" w:eastAsia="仿宋_GB2312" w:cs="仿宋_GB2312"/>
          <w:i w:val="0"/>
          <w:iCs w:val="0"/>
          <w:caps w:val="0"/>
          <w:color w:val="auto"/>
          <w:spacing w:val="0"/>
          <w:kern w:val="0"/>
          <w:sz w:val="32"/>
          <w:szCs w:val="32"/>
          <w:highlight w:val="none"/>
          <w:lang w:val="en-US" w:eastAsia="zh-CN" w:bidi="ar"/>
        </w:rPr>
        <w:t>品、技艺或服务；</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（四）在所属行业或领域内具有代表性、引领性和示范性，得到广泛的社会认同和赞誉。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第七条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老字号企业应当具备以下基本条件：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（一）在</w:t>
      </w:r>
      <w:r>
        <w:rPr>
          <w:rFonts w:hint="eastAsia" w:ascii="仿宋_GB2312" w:eastAsia="仿宋_GB2312" w:cs="仿宋_GB2312"/>
          <w:i w:val="0"/>
          <w:iCs w:val="0"/>
          <w:caps w:val="0"/>
          <w:color w:val="auto"/>
          <w:spacing w:val="0"/>
          <w:kern w:val="0"/>
          <w:sz w:val="32"/>
          <w:szCs w:val="32"/>
          <w:highlight w:val="none"/>
          <w:lang w:val="en-US" w:eastAsia="zh-CN" w:bidi="ar"/>
        </w:rPr>
        <w:t>珠海市行政区域内依法设立</w:t>
      </w:r>
      <w:r>
        <w:rPr>
          <w:rFonts w:hint="eastAsia" w:ascii="仿宋_GB2312" w:hAnsi="Calibri" w:eastAsia="仿宋_GB2312" w:cs="仿宋_GB2312"/>
          <w:i w:val="0"/>
          <w:iCs w:val="0"/>
          <w:caps w:val="0"/>
          <w:color w:val="auto"/>
          <w:spacing w:val="0"/>
          <w:kern w:val="0"/>
          <w:sz w:val="32"/>
          <w:szCs w:val="32"/>
          <w:highlight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（二）依法拥有与</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老字号相一致的字号，或与</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老字相一致的注册商标的所有权或使用权</w:t>
      </w:r>
      <w:r>
        <w:rPr>
          <w:rFonts w:hint="eastAsia" w:ascii="仿宋_GB2312" w:eastAsia="仿宋_GB2312" w:cs="仿宋_GB2312"/>
          <w:i w:val="0"/>
          <w:iCs w:val="0"/>
          <w:caps w:val="0"/>
          <w:color w:val="auto"/>
          <w:spacing w:val="0"/>
          <w:kern w:val="0"/>
          <w:sz w:val="32"/>
          <w:szCs w:val="32"/>
          <w:highlight w:val="none"/>
          <w:lang w:val="en-US" w:eastAsia="zh-CN" w:bidi="ar"/>
        </w:rPr>
        <w:t>，</w:t>
      </w:r>
      <w:r>
        <w:rPr>
          <w:rFonts w:hint="eastAsia" w:ascii="仿宋_GB2312" w:hAnsi="Calibri" w:eastAsia="仿宋_GB2312" w:cs="仿宋_GB2312"/>
          <w:i w:val="0"/>
          <w:iCs w:val="0"/>
          <w:caps w:val="0"/>
          <w:color w:val="auto"/>
          <w:spacing w:val="0"/>
          <w:kern w:val="0"/>
          <w:sz w:val="32"/>
          <w:szCs w:val="32"/>
          <w:highlight w:val="none"/>
          <w:lang w:val="en-US" w:eastAsia="zh-CN" w:bidi="ar"/>
        </w:rPr>
        <w:t>且未侵犯他人注册商标专用权，传承关系明确且无争议；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（三）主营业务连续经营</w:t>
      </w:r>
      <w:r>
        <w:rPr>
          <w:rFonts w:hint="eastAsia" w:ascii="仿宋_GB2312" w:eastAsia="仿宋_GB2312" w:cs="仿宋_GB2312"/>
          <w:i w:val="0"/>
          <w:iCs w:val="0"/>
          <w:caps w:val="0"/>
          <w:color w:val="auto"/>
          <w:spacing w:val="0"/>
          <w:kern w:val="0"/>
          <w:sz w:val="32"/>
          <w:szCs w:val="32"/>
          <w:highlight w:val="none"/>
          <w:lang w:val="en-US" w:eastAsia="zh-CN" w:bidi="ar"/>
        </w:rPr>
        <w:t>15</w:t>
      </w:r>
      <w:r>
        <w:rPr>
          <w:rFonts w:hint="eastAsia" w:ascii="仿宋_GB2312" w:hAnsi="Calibri" w:eastAsia="仿宋_GB2312" w:cs="仿宋_GB2312"/>
          <w:i w:val="0"/>
          <w:iCs w:val="0"/>
          <w:caps w:val="0"/>
          <w:color w:val="auto"/>
          <w:spacing w:val="0"/>
          <w:kern w:val="0"/>
          <w:sz w:val="32"/>
          <w:szCs w:val="32"/>
          <w:highlight w:val="none"/>
          <w:lang w:val="en-US" w:eastAsia="zh-CN" w:bidi="ar"/>
        </w:rPr>
        <w:t>年（含）以上，且主要面向居民生活提供商品</w:t>
      </w:r>
      <w:r>
        <w:rPr>
          <w:rFonts w:hint="eastAsia" w:ascii="仿宋_GB2312" w:eastAsia="仿宋_GB2312" w:cs="仿宋_GB2312"/>
          <w:i w:val="0"/>
          <w:iCs w:val="0"/>
          <w:caps w:val="0"/>
          <w:color w:val="auto"/>
          <w:spacing w:val="0"/>
          <w:kern w:val="0"/>
          <w:sz w:val="32"/>
          <w:szCs w:val="32"/>
          <w:highlight w:val="none"/>
          <w:lang w:val="en-US" w:eastAsia="zh-CN" w:bidi="ar"/>
        </w:rPr>
        <w:t>、技艺</w:t>
      </w:r>
      <w:r>
        <w:rPr>
          <w:rFonts w:hint="eastAsia" w:ascii="仿宋_GB2312" w:hAnsi="Calibri" w:eastAsia="仿宋_GB2312" w:cs="仿宋_GB2312"/>
          <w:i w:val="0"/>
          <w:iCs w:val="0"/>
          <w:caps w:val="0"/>
          <w:color w:val="auto"/>
          <w:spacing w:val="0"/>
          <w:kern w:val="0"/>
          <w:sz w:val="32"/>
          <w:szCs w:val="32"/>
          <w:highlight w:val="none"/>
          <w:lang w:val="en-US" w:eastAsia="zh-CN" w:bidi="ar"/>
        </w:rPr>
        <w:t>或服务；</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（四）经营状况良好，且具有较强的运营</w:t>
      </w:r>
      <w:r>
        <w:rPr>
          <w:rFonts w:hint="eastAsia" w:ascii="仿宋_GB2312" w:eastAsia="仿宋_GB2312" w:cs="仿宋_GB2312"/>
          <w:i w:val="0"/>
          <w:iCs w:val="0"/>
          <w:caps w:val="0"/>
          <w:color w:val="auto"/>
          <w:spacing w:val="0"/>
          <w:kern w:val="0"/>
          <w:sz w:val="32"/>
          <w:szCs w:val="32"/>
          <w:highlight w:val="none"/>
          <w:lang w:val="en-US" w:eastAsia="zh-CN" w:bidi="ar"/>
        </w:rPr>
        <w:t>和</w:t>
      </w:r>
      <w:r>
        <w:rPr>
          <w:rFonts w:hint="eastAsia" w:ascii="仿宋_GB2312" w:hAnsi="Calibri" w:eastAsia="仿宋_GB2312" w:cs="仿宋_GB2312"/>
          <w:i w:val="0"/>
          <w:iCs w:val="0"/>
          <w:caps w:val="0"/>
          <w:color w:val="auto"/>
          <w:spacing w:val="0"/>
          <w:kern w:val="0"/>
          <w:sz w:val="32"/>
          <w:szCs w:val="32"/>
          <w:highlight w:val="none"/>
          <w:lang w:val="en-US" w:eastAsia="zh-CN" w:bidi="ar"/>
        </w:rPr>
        <w:t>可持续发展能力；</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（五）具有符合现代要求的企业治理模式，在设计、研发、工艺、技术、制造、产品、服务和经营理念、营销渠道、管理模式等方面具备较强的创新能力；</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（六）在所属行业或领域内具有较强影响力；</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（七）</w:t>
      </w:r>
      <w:r>
        <w:rPr>
          <w:rFonts w:hint="eastAsia" w:ascii="仿宋_GB2312" w:eastAsia="仿宋_GB2312" w:cs="仿宋_GB2312"/>
          <w:i w:val="0"/>
          <w:iCs w:val="0"/>
          <w:caps w:val="0"/>
          <w:color w:val="auto"/>
          <w:spacing w:val="0"/>
          <w:kern w:val="0"/>
          <w:sz w:val="32"/>
          <w:szCs w:val="32"/>
          <w:highlight w:val="none"/>
          <w:lang w:val="en-US" w:eastAsia="zh-CN" w:bidi="ar"/>
        </w:rPr>
        <w:t>无</w:t>
      </w:r>
      <w:r>
        <w:rPr>
          <w:rFonts w:hint="eastAsia" w:ascii="仿宋_GB2312" w:hAnsi="Calibri" w:eastAsia="仿宋_GB2312" w:cs="仿宋_GB2312"/>
          <w:i w:val="0"/>
          <w:iCs w:val="0"/>
          <w:caps w:val="0"/>
          <w:color w:val="auto"/>
          <w:spacing w:val="0"/>
          <w:kern w:val="0"/>
          <w:sz w:val="32"/>
          <w:szCs w:val="32"/>
          <w:highlight w:val="none"/>
          <w:lang w:val="en-US" w:eastAsia="zh-CN" w:bidi="ar"/>
        </w:rPr>
        <w:t>经营异常或严重违法失信</w:t>
      </w:r>
      <w:r>
        <w:rPr>
          <w:rFonts w:hint="eastAsia" w:ascii="仿宋_GB2312" w:eastAsia="仿宋_GB2312" w:cs="仿宋_GB2312"/>
          <w:i w:val="0"/>
          <w:iCs w:val="0"/>
          <w:caps w:val="0"/>
          <w:color w:val="auto"/>
          <w:spacing w:val="0"/>
          <w:kern w:val="0"/>
          <w:sz w:val="32"/>
          <w:szCs w:val="32"/>
          <w:highlight w:val="none"/>
          <w:lang w:val="en-US" w:eastAsia="zh-CN" w:bidi="ar"/>
        </w:rPr>
        <w:t>记录</w:t>
      </w:r>
      <w:r>
        <w:rPr>
          <w:rFonts w:hint="eastAsia" w:ascii="仿宋_GB2312" w:hAnsi="Calibri" w:eastAsia="仿宋_GB2312" w:cs="仿宋_GB2312"/>
          <w:i w:val="0"/>
          <w:iCs w:val="0"/>
          <w:caps w:val="0"/>
          <w:color w:val="auto"/>
          <w:spacing w:val="0"/>
          <w:kern w:val="0"/>
          <w:sz w:val="32"/>
          <w:szCs w:val="32"/>
          <w:highlight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第三章</w:t>
      </w:r>
      <w:r>
        <w:rPr>
          <w:rFonts w:hint="eastAsia" w:ascii="黑体" w:hAnsi="宋体" w:eastAsia="黑体" w:cs="黑体"/>
          <w:i w:val="0"/>
          <w:iCs w:val="0"/>
          <w:caps w:val="0"/>
          <w:color w:val="auto"/>
          <w:spacing w:val="0"/>
          <w:kern w:val="0"/>
          <w:sz w:val="32"/>
          <w:szCs w:val="32"/>
          <w:highlight w:val="none"/>
          <w:lang w:val="en-US" w:eastAsia="zh" w:bidi="ar"/>
        </w:rPr>
        <w:t>　</w:t>
      </w:r>
      <w:r>
        <w:rPr>
          <w:rFonts w:hint="eastAsia" w:ascii="黑体" w:hAnsi="宋体" w:eastAsia="黑体" w:cs="黑体"/>
          <w:i w:val="0"/>
          <w:iCs w:val="0"/>
          <w:caps w:val="0"/>
          <w:color w:val="auto"/>
          <w:spacing w:val="0"/>
          <w:kern w:val="0"/>
          <w:sz w:val="32"/>
          <w:szCs w:val="32"/>
          <w:highlight w:val="none"/>
          <w:lang w:val="en-US" w:eastAsia="zh-CN" w:bidi="ar"/>
        </w:rPr>
        <w:t>认定程序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 xml:space="preserve">第八条 </w:t>
      </w: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会同相关部门原则上每</w:t>
      </w:r>
      <w:r>
        <w:rPr>
          <w:rFonts w:hint="eastAsia" w:ascii="仿宋_GB2312" w:eastAsia="仿宋_GB2312" w:cs="仿宋_GB2312"/>
          <w:i w:val="0"/>
          <w:iCs w:val="0"/>
          <w:caps w:val="0"/>
          <w:color w:val="auto"/>
          <w:spacing w:val="0"/>
          <w:kern w:val="0"/>
          <w:sz w:val="32"/>
          <w:szCs w:val="32"/>
          <w:highlight w:val="none"/>
          <w:lang w:val="en-US" w:eastAsia="zh-CN" w:bidi="ar"/>
        </w:rPr>
        <w:t>2</w:t>
      </w:r>
      <w:r>
        <w:rPr>
          <w:rFonts w:hint="eastAsia" w:ascii="仿宋_GB2312" w:hAnsi="Calibri" w:eastAsia="仿宋_GB2312" w:cs="仿宋_GB2312"/>
          <w:i w:val="0"/>
          <w:iCs w:val="0"/>
          <w:caps w:val="0"/>
          <w:color w:val="auto"/>
          <w:spacing w:val="0"/>
          <w:kern w:val="0"/>
          <w:sz w:val="32"/>
          <w:szCs w:val="32"/>
          <w:highlight w:val="none"/>
          <w:lang w:val="en-US" w:eastAsia="zh-CN" w:bidi="ar"/>
        </w:rPr>
        <w:t>年认定并公布新一批次</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老字号名录。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老字号申报和认定工作时间安排由</w:t>
      </w:r>
      <w:r>
        <w:rPr>
          <w:rFonts w:hint="eastAsia" w:ascii="仿宋_GB2312" w:eastAsia="仿宋_GB2312" w:cs="仿宋_GB2312"/>
          <w:i w:val="0"/>
          <w:iCs w:val="0"/>
          <w:caps w:val="0"/>
          <w:color w:val="auto"/>
          <w:spacing w:val="0"/>
          <w:kern w:val="0"/>
          <w:sz w:val="32"/>
          <w:szCs w:val="32"/>
          <w:highlight w:val="none"/>
          <w:lang w:val="en-US" w:eastAsia="zh-CN" w:bidi="ar"/>
        </w:rPr>
        <w:t>市商务局以通知形式</w:t>
      </w:r>
      <w:r>
        <w:rPr>
          <w:rFonts w:hint="eastAsia" w:ascii="仿宋_GB2312" w:hAnsi="Calibri" w:eastAsia="仿宋_GB2312" w:cs="仿宋_GB2312"/>
          <w:i w:val="0"/>
          <w:iCs w:val="0"/>
          <w:caps w:val="0"/>
          <w:color w:val="auto"/>
          <w:spacing w:val="0"/>
          <w:kern w:val="0"/>
          <w:sz w:val="32"/>
          <w:szCs w:val="32"/>
          <w:highlight w:val="none"/>
          <w:lang w:val="en-US" w:eastAsia="zh-CN" w:bidi="ar"/>
        </w:rPr>
        <w:t>发布。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第九条 </w:t>
      </w:r>
      <w:r>
        <w:rPr>
          <w:rFonts w:hint="eastAsia" w:ascii="仿宋_GB2312" w:hAnsi="Calibri" w:eastAsia="仿宋_GB2312" w:cs="仿宋_GB2312"/>
          <w:i w:val="0"/>
          <w:iCs w:val="0"/>
          <w:caps w:val="0"/>
          <w:color w:val="auto"/>
          <w:spacing w:val="0"/>
          <w:kern w:val="0"/>
          <w:sz w:val="32"/>
          <w:szCs w:val="32"/>
          <w:highlight w:val="none"/>
          <w:lang w:val="en-US" w:eastAsia="zh-CN" w:bidi="ar"/>
        </w:rPr>
        <w:t>符合本办法第六条、第七条规定条件的企业应在规定日期内</w:t>
      </w:r>
      <w:r>
        <w:rPr>
          <w:rFonts w:hint="eastAsia" w:ascii="仿宋_GB2312" w:eastAsia="仿宋_GB2312" w:cs="仿宋_GB2312"/>
          <w:i w:val="0"/>
          <w:iCs w:val="0"/>
          <w:caps w:val="0"/>
          <w:color w:val="auto"/>
          <w:spacing w:val="0"/>
          <w:kern w:val="0"/>
          <w:sz w:val="32"/>
          <w:szCs w:val="32"/>
          <w:highlight w:val="none"/>
          <w:lang w:val="en-US" w:eastAsia="zh-CN" w:bidi="ar"/>
        </w:rPr>
        <w:t>上报</w:t>
      </w:r>
      <w:r>
        <w:rPr>
          <w:rFonts w:hint="eastAsia" w:ascii="仿宋_GB2312" w:hAnsi="Calibri" w:eastAsia="仿宋_GB2312" w:cs="仿宋_GB2312"/>
          <w:i w:val="0"/>
          <w:iCs w:val="0"/>
          <w:caps w:val="0"/>
          <w:color w:val="auto"/>
          <w:spacing w:val="0"/>
          <w:kern w:val="0"/>
          <w:sz w:val="32"/>
          <w:szCs w:val="32"/>
          <w:highlight w:val="none"/>
          <w:lang w:val="en-US" w:eastAsia="zh-CN" w:bidi="ar"/>
        </w:rPr>
        <w:t>申报材料，包括：</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（一）企业基本信息、股权结构及近3年经营情况；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（二）品牌创立时间的证明材料；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（三）</w:t>
      </w:r>
      <w:r>
        <w:rPr>
          <w:rFonts w:hint="eastAsia" w:ascii="仿宋_GB2312" w:eastAsia="仿宋_GB2312" w:cs="仿宋_GB2312"/>
          <w:i w:val="0"/>
          <w:iCs w:val="0"/>
          <w:caps w:val="0"/>
          <w:color w:val="auto"/>
          <w:spacing w:val="0"/>
          <w:kern w:val="0"/>
          <w:sz w:val="32"/>
          <w:szCs w:val="32"/>
          <w:highlight w:val="none"/>
          <w:lang w:val="en-US" w:eastAsia="zh-CN" w:bidi="ar"/>
        </w:rPr>
        <w:t>老字号</w:t>
      </w:r>
      <w:r>
        <w:rPr>
          <w:rFonts w:hint="eastAsia" w:ascii="仿宋_GB2312" w:hAnsi="Calibri" w:eastAsia="仿宋_GB2312" w:cs="仿宋_GB2312"/>
          <w:i w:val="0"/>
          <w:iCs w:val="0"/>
          <w:caps w:val="0"/>
          <w:color w:val="auto"/>
          <w:spacing w:val="0"/>
          <w:kern w:val="0"/>
          <w:sz w:val="32"/>
          <w:szCs w:val="32"/>
          <w:highlight w:val="none"/>
          <w:lang w:val="en-US" w:eastAsia="zh-CN" w:bidi="ar"/>
        </w:rPr>
        <w:t>注册商标的权属证明文件；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（四）主营业务传承脉络清晰的证明材料；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（五）品牌历史价值和文化价值的介绍材料；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（六）企业在设计研发、工艺技术、产品服务和经营理念、营销渠道、管理模式等方面创新发展的介绍材料；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（七）企业文化的介绍材料和获得荣誉的证明材料；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eastAsia="仿宋_GB2312" w:cs="仿宋_GB2312"/>
          <w:i w:val="0"/>
          <w:iCs w:val="0"/>
          <w:caps w:val="0"/>
          <w:color w:val="auto"/>
          <w:spacing w:val="0"/>
          <w:kern w:val="0"/>
          <w:sz w:val="32"/>
          <w:szCs w:val="32"/>
          <w:highlight w:val="none"/>
          <w:lang w:val="en-US" w:eastAsia="zh-CN" w:bidi="ar"/>
        </w:rPr>
        <w:t>（八）企业信用报告（无违法违规证明版）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eastAsia="仿宋_GB2312" w:cs="仿宋_GB2312"/>
          <w:i w:val="0"/>
          <w:iCs w:val="0"/>
          <w:caps w:val="0"/>
          <w:color w:val="auto"/>
          <w:spacing w:val="0"/>
          <w:kern w:val="0"/>
          <w:sz w:val="32"/>
          <w:szCs w:val="32"/>
          <w:highlight w:val="none"/>
          <w:lang w:val="en-US" w:eastAsia="zh-CN" w:bidi="ar"/>
        </w:rPr>
        <w:t>（九）</w:t>
      </w:r>
      <w:r>
        <w:rPr>
          <w:rFonts w:hint="eastAsia" w:ascii="仿宋_GB2312" w:hAnsi="Calibri" w:eastAsia="仿宋_GB2312" w:cs="仿宋_GB2312"/>
          <w:i w:val="0"/>
          <w:iCs w:val="0"/>
          <w:caps w:val="0"/>
          <w:color w:val="auto"/>
          <w:spacing w:val="0"/>
          <w:kern w:val="0"/>
          <w:sz w:val="32"/>
          <w:szCs w:val="32"/>
          <w:highlight w:val="none"/>
          <w:lang w:val="en-US" w:eastAsia="zh-CN" w:bidi="ar"/>
        </w:rPr>
        <w:t>针对上述材料并经法定代表人或负责人签字的真实性承诺；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w:t>
      </w:r>
      <w:r>
        <w:rPr>
          <w:rFonts w:hint="eastAsia" w:ascii="仿宋_GB2312" w:eastAsia="仿宋_GB2312" w:cs="仿宋_GB2312"/>
          <w:i w:val="0"/>
          <w:iCs w:val="0"/>
          <w:caps w:val="0"/>
          <w:color w:val="auto"/>
          <w:spacing w:val="0"/>
          <w:kern w:val="0"/>
          <w:sz w:val="32"/>
          <w:szCs w:val="32"/>
          <w:highlight w:val="none"/>
          <w:lang w:val="en-US" w:eastAsia="zh-CN" w:bidi="ar"/>
        </w:rPr>
        <w:t>十</w:t>
      </w:r>
      <w:r>
        <w:rPr>
          <w:rFonts w:hint="eastAsia" w:ascii="仿宋_GB2312" w:hAnsi="Calibri" w:eastAsia="仿宋_GB2312" w:cs="仿宋_GB2312"/>
          <w:i w:val="0"/>
          <w:iCs w:val="0"/>
          <w:caps w:val="0"/>
          <w:color w:val="auto"/>
          <w:spacing w:val="0"/>
          <w:kern w:val="0"/>
          <w:sz w:val="32"/>
          <w:szCs w:val="32"/>
          <w:highlight w:val="none"/>
          <w:lang w:val="en-US" w:eastAsia="zh-CN" w:bidi="ar"/>
        </w:rPr>
        <w:t>）各</w:t>
      </w:r>
      <w:r>
        <w:rPr>
          <w:rFonts w:hint="eastAsia" w:ascii="仿宋_GB2312" w:eastAsia="仿宋_GB2312" w:cs="仿宋_GB2312"/>
          <w:i w:val="0"/>
          <w:iCs w:val="0"/>
          <w:caps w:val="0"/>
          <w:color w:val="auto"/>
          <w:spacing w:val="0"/>
          <w:kern w:val="0"/>
          <w:sz w:val="32"/>
          <w:szCs w:val="32"/>
          <w:highlight w:val="none"/>
          <w:lang w:val="en-US" w:eastAsia="zh-CN" w:bidi="ar"/>
        </w:rPr>
        <w:t>区级商务部门</w:t>
      </w:r>
      <w:r>
        <w:rPr>
          <w:rFonts w:hint="eastAsia" w:ascii="仿宋_GB2312" w:hAnsi="Calibri" w:eastAsia="仿宋_GB2312" w:cs="仿宋_GB2312"/>
          <w:i w:val="0"/>
          <w:iCs w:val="0"/>
          <w:caps w:val="0"/>
          <w:color w:val="auto"/>
          <w:spacing w:val="0"/>
          <w:kern w:val="0"/>
          <w:sz w:val="32"/>
          <w:szCs w:val="32"/>
          <w:highlight w:val="none"/>
          <w:lang w:val="en-US" w:eastAsia="zh-CN" w:bidi="ar"/>
        </w:rPr>
        <w:t>和相关部门认为应当提交的其他相关材料。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上述申报材料应当真实、有效、完整，其中能够通过政府信息系统获取的，相关部门可不再要求企业提供。</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right="0" w:rightChars="0" w:firstLine="640" w:firstLineChars="200"/>
        <w:jc w:val="both"/>
        <w:textAlignment w:val="auto"/>
        <w:rPr>
          <w:rFonts w:hint="eastAsia" w:ascii="仿宋_GB2312" w:eastAsia="仿宋_GB2312" w:cs="仿宋_GB2312"/>
          <w:i w:val="0"/>
          <w:iCs w:val="0"/>
          <w:caps w:val="0"/>
          <w:color w:val="auto"/>
          <w:spacing w:val="0"/>
          <w:kern w:val="0"/>
          <w:sz w:val="32"/>
          <w:szCs w:val="32"/>
          <w:highlight w:val="none"/>
          <w:lang w:val="en-US" w:eastAsia="zh-CN" w:bidi="ar"/>
        </w:rPr>
      </w:pPr>
      <w:r>
        <w:rPr>
          <w:rFonts w:hint="eastAsia" w:ascii="黑体" w:hAnsi="黑体" w:eastAsia="黑体" w:cs="黑体"/>
          <w:i w:val="0"/>
          <w:iCs w:val="0"/>
          <w:caps w:val="0"/>
          <w:color w:val="auto"/>
          <w:spacing w:val="0"/>
          <w:kern w:val="0"/>
          <w:sz w:val="32"/>
          <w:szCs w:val="32"/>
          <w:highlight w:val="none"/>
          <w:lang w:val="en-US" w:eastAsia="zh-CN" w:bidi="ar"/>
        </w:rPr>
        <w:t>第十条</w:t>
      </w:r>
      <w:r>
        <w:rPr>
          <w:rFonts w:hint="eastAsia" w:ascii="仿宋_GB2312" w:eastAsia="仿宋_GB2312" w:cs="仿宋_GB2312"/>
          <w:i w:val="0"/>
          <w:iCs w:val="0"/>
          <w:caps w:val="0"/>
          <w:color w:val="auto"/>
          <w:spacing w:val="0"/>
          <w:kern w:val="0"/>
          <w:sz w:val="32"/>
          <w:szCs w:val="32"/>
          <w:highlight w:val="none"/>
          <w:lang w:val="en-US" w:eastAsia="zh-CN" w:bidi="ar"/>
        </w:rPr>
        <w:t xml:space="preserve"> 各区级商务部门结合实际情况对申报材料进行初核后向市商务局提出推荐名单。</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right="0" w:rightChars="0" w:firstLine="640" w:firstLineChars="200"/>
        <w:jc w:val="both"/>
        <w:textAlignment w:val="auto"/>
        <w:rPr>
          <w:rFonts w:hint="eastAsia" w:ascii="仿宋_GB2312" w:eastAsia="仿宋_GB2312" w:cs="仿宋_GB2312"/>
          <w:i w:val="0"/>
          <w:iCs w:val="0"/>
          <w:caps w:val="0"/>
          <w:color w:val="auto"/>
          <w:spacing w:val="0"/>
          <w:kern w:val="0"/>
          <w:sz w:val="32"/>
          <w:szCs w:val="32"/>
          <w:highlight w:val="none"/>
          <w:lang w:val="en-US" w:eastAsia="zh-CN" w:bidi="ar"/>
        </w:rPr>
      </w:pPr>
      <w:r>
        <w:rPr>
          <w:rFonts w:hint="eastAsia" w:ascii="仿宋_GB2312" w:eastAsia="仿宋_GB2312" w:cs="仿宋_GB2312"/>
          <w:i w:val="0"/>
          <w:iCs w:val="0"/>
          <w:caps w:val="0"/>
          <w:color w:val="auto"/>
          <w:spacing w:val="0"/>
          <w:kern w:val="0"/>
          <w:sz w:val="32"/>
          <w:szCs w:val="32"/>
          <w:highlight w:val="none"/>
          <w:lang w:val="en-US" w:eastAsia="zh-CN" w:bidi="ar"/>
        </w:rPr>
        <w:t>市属企业及中央驻珠企业可通过其一级集团（总公司）并经其主管部门同意后向市商务局推荐申报。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第十一条 </w:t>
      </w: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会同相关部门组织专家按照科学、公平、公正的原则，对</w:t>
      </w:r>
      <w:r>
        <w:rPr>
          <w:rFonts w:hint="eastAsia" w:ascii="仿宋_GB2312" w:eastAsia="仿宋_GB2312" w:cs="仿宋_GB2312"/>
          <w:i w:val="0"/>
          <w:iCs w:val="0"/>
          <w:caps w:val="0"/>
          <w:color w:val="auto"/>
          <w:spacing w:val="0"/>
          <w:kern w:val="0"/>
          <w:sz w:val="32"/>
          <w:szCs w:val="32"/>
          <w:highlight w:val="none"/>
          <w:lang w:val="en-US" w:eastAsia="zh-CN" w:bidi="ar"/>
        </w:rPr>
        <w:t>申报</w:t>
      </w:r>
      <w:r>
        <w:rPr>
          <w:rFonts w:hint="eastAsia" w:ascii="仿宋_GB2312" w:hAnsi="Calibri" w:eastAsia="仿宋_GB2312" w:cs="仿宋_GB2312"/>
          <w:i w:val="0"/>
          <w:iCs w:val="0"/>
          <w:caps w:val="0"/>
          <w:color w:val="auto"/>
          <w:spacing w:val="0"/>
          <w:kern w:val="0"/>
          <w:sz w:val="32"/>
          <w:szCs w:val="32"/>
          <w:highlight w:val="none"/>
          <w:lang w:val="en-US" w:eastAsia="zh-CN" w:bidi="ar"/>
        </w:rPr>
        <w:t>企业进行</w:t>
      </w:r>
      <w:r>
        <w:rPr>
          <w:rFonts w:hint="eastAsia" w:ascii="仿宋_GB2312" w:eastAsia="仿宋_GB2312" w:cs="仿宋_GB2312"/>
          <w:i w:val="0"/>
          <w:iCs w:val="0"/>
          <w:caps w:val="0"/>
          <w:color w:val="auto"/>
          <w:spacing w:val="0"/>
          <w:kern w:val="0"/>
          <w:sz w:val="32"/>
          <w:szCs w:val="32"/>
          <w:highlight w:val="none"/>
          <w:lang w:val="en-US" w:eastAsia="zh-CN" w:bidi="ar"/>
        </w:rPr>
        <w:t>评选。评选根据当年认定老字号的工作计划，择优确认</w:t>
      </w:r>
      <w:r>
        <w:rPr>
          <w:rFonts w:hint="eastAsia" w:ascii="仿宋_GB2312" w:hAnsi="Calibri" w:eastAsia="仿宋_GB2312" w:cs="仿宋_GB2312"/>
          <w:i w:val="0"/>
          <w:iCs w:val="0"/>
          <w:caps w:val="0"/>
          <w:color w:val="auto"/>
          <w:spacing w:val="0"/>
          <w:kern w:val="0"/>
          <w:sz w:val="32"/>
          <w:szCs w:val="32"/>
          <w:highlight w:val="none"/>
          <w:lang w:val="en-US" w:eastAsia="zh-CN" w:bidi="ar"/>
        </w:rPr>
        <w:t>认定</w:t>
      </w:r>
      <w:r>
        <w:rPr>
          <w:rFonts w:hint="eastAsia" w:ascii="仿宋_GB2312" w:eastAsia="仿宋_GB2312" w:cs="仿宋_GB2312"/>
          <w:i w:val="0"/>
          <w:iCs w:val="0"/>
          <w:caps w:val="0"/>
          <w:color w:val="auto"/>
          <w:spacing w:val="0"/>
          <w:kern w:val="0"/>
          <w:sz w:val="32"/>
          <w:szCs w:val="32"/>
          <w:highlight w:val="none"/>
          <w:lang w:val="en-US" w:eastAsia="zh-CN" w:bidi="ar"/>
        </w:rPr>
        <w:t>的珠海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老字号及其所属企业。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参与评议的专家可根据需要采取材料审查、现场调查、查阅档案等形式进行审查</w:t>
      </w:r>
      <w:r>
        <w:rPr>
          <w:rFonts w:hint="eastAsia" w:ascii="仿宋_GB2312" w:eastAsia="仿宋_GB2312" w:cs="仿宋_GB2312"/>
          <w:i w:val="0"/>
          <w:iCs w:val="0"/>
          <w:caps w:val="0"/>
          <w:color w:val="auto"/>
          <w:spacing w:val="0"/>
          <w:kern w:val="0"/>
          <w:sz w:val="32"/>
          <w:szCs w:val="32"/>
          <w:highlight w:val="none"/>
          <w:lang w:val="en-US" w:eastAsia="zh-CN" w:bidi="ar"/>
        </w:rPr>
        <w:t>（评选及认定要求详见附件2）。</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第十二条 </w:t>
      </w: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在官方网站对拟认定的</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老字号及其所属企业相关信息进行公示，公示期不少于</w:t>
      </w:r>
      <w:r>
        <w:rPr>
          <w:rFonts w:hint="eastAsia" w:ascii="仿宋_GB2312" w:eastAsia="仿宋_GB2312" w:cs="仿宋_GB2312"/>
          <w:i w:val="0"/>
          <w:iCs w:val="0"/>
          <w:caps w:val="0"/>
          <w:color w:val="auto"/>
          <w:spacing w:val="0"/>
          <w:kern w:val="0"/>
          <w:sz w:val="32"/>
          <w:szCs w:val="32"/>
          <w:highlight w:val="none"/>
          <w:lang w:val="en-US" w:eastAsia="zh-CN" w:bidi="ar"/>
        </w:rPr>
        <w:t>7</w:t>
      </w:r>
      <w:r>
        <w:rPr>
          <w:rFonts w:hint="eastAsia" w:ascii="仿宋_GB2312" w:hAnsi="Calibri" w:eastAsia="仿宋_GB2312" w:cs="仿宋_GB2312"/>
          <w:i w:val="0"/>
          <w:iCs w:val="0"/>
          <w:caps w:val="0"/>
          <w:color w:val="auto"/>
          <w:spacing w:val="0"/>
          <w:kern w:val="0"/>
          <w:sz w:val="32"/>
          <w:szCs w:val="32"/>
          <w:highlight w:val="none"/>
          <w:lang w:val="en-US" w:eastAsia="zh-CN" w:bidi="ar"/>
        </w:rPr>
        <w:t>日。任何单位或个人对名单有不同意见的，均可向</w:t>
      </w: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提出异议，并提供详实的书面举证材料。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在接到异议后会同相关部门组织专家对异议情况进行复核</w:t>
      </w:r>
      <w:r>
        <w:rPr>
          <w:rFonts w:hint="eastAsia" w:ascii="仿宋_GB2312" w:eastAsia="仿宋_GB2312" w:cs="仿宋_GB2312"/>
          <w:i w:val="0"/>
          <w:iCs w:val="0"/>
          <w:caps w:val="0"/>
          <w:color w:val="auto"/>
          <w:spacing w:val="0"/>
          <w:kern w:val="0"/>
          <w:sz w:val="32"/>
          <w:szCs w:val="32"/>
          <w:highlight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第十三条 </w:t>
      </w:r>
      <w:r>
        <w:rPr>
          <w:rFonts w:hint="eastAsia" w:ascii="仿宋_GB2312" w:hAnsi="Calibri" w:eastAsia="仿宋_GB2312" w:cs="仿宋_GB2312"/>
          <w:i w:val="0"/>
          <w:iCs w:val="0"/>
          <w:caps w:val="0"/>
          <w:color w:val="auto"/>
          <w:spacing w:val="0"/>
          <w:kern w:val="0"/>
          <w:sz w:val="32"/>
          <w:szCs w:val="32"/>
          <w:highlight w:val="none"/>
          <w:lang w:val="en-US" w:eastAsia="zh-CN" w:bidi="ar"/>
        </w:rPr>
        <w:t>在公示期间无异议或异议不成立的，由</w:t>
      </w: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会同相关部门列入</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w:t>
      </w:r>
      <w:bookmarkStart w:id="0" w:name="_GoBack"/>
      <w:bookmarkEnd w:id="0"/>
      <w:r>
        <w:rPr>
          <w:rFonts w:hint="eastAsia" w:ascii="仿宋_GB2312" w:hAnsi="Calibri" w:eastAsia="仿宋_GB2312" w:cs="仿宋_GB2312"/>
          <w:i w:val="0"/>
          <w:iCs w:val="0"/>
          <w:caps w:val="0"/>
          <w:color w:val="auto"/>
          <w:spacing w:val="0"/>
          <w:kern w:val="0"/>
          <w:sz w:val="32"/>
          <w:szCs w:val="32"/>
          <w:highlight w:val="none"/>
          <w:lang w:val="en-US" w:eastAsia="zh-CN" w:bidi="ar"/>
        </w:rPr>
        <w:t>名录并向社会公布，依据本办法授予</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老字号标识使用权、颁发</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老字号牌匾。</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黑体" w:hAnsi="宋体" w:eastAsia="黑体" w:cs="黑体"/>
          <w:i w:val="0"/>
          <w:iCs w:val="0"/>
          <w:caps w:val="0"/>
          <w:color w:val="auto"/>
          <w:spacing w:val="0"/>
          <w:kern w:val="0"/>
          <w:sz w:val="32"/>
          <w:szCs w:val="32"/>
          <w:highlight w:val="none"/>
          <w:lang w:val="en-US" w:eastAsia="zh-CN" w:bidi="ar"/>
        </w:rPr>
        <w:t>第十四条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w:t>
      </w:r>
      <w:r>
        <w:rPr>
          <w:rFonts w:hint="eastAsia" w:ascii="仿宋_GB2312" w:eastAsia="仿宋_GB2312" w:cs="仿宋_GB2312"/>
          <w:i w:val="0"/>
          <w:iCs w:val="0"/>
          <w:caps w:val="0"/>
          <w:color w:val="auto"/>
          <w:spacing w:val="0"/>
          <w:kern w:val="0"/>
          <w:sz w:val="32"/>
          <w:szCs w:val="32"/>
          <w:highlight w:val="none"/>
          <w:lang w:val="en-US" w:eastAsia="zh-CN" w:bidi="ar"/>
        </w:rPr>
        <w:t>属市商务局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标志，</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老字号企业可依据《</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老字号标识和牌匾使用规定》（</w:t>
      </w:r>
      <w:r>
        <w:rPr>
          <w:rFonts w:hint="eastAsia" w:ascii="仿宋_GB2312" w:eastAsia="仿宋_GB2312" w:cs="仿宋_GB2312"/>
          <w:i w:val="0"/>
          <w:iCs w:val="0"/>
          <w:caps w:val="0"/>
          <w:color w:val="auto"/>
          <w:spacing w:val="0"/>
          <w:kern w:val="0"/>
          <w:sz w:val="32"/>
          <w:szCs w:val="32"/>
          <w:highlight w:val="none"/>
          <w:lang w:val="en-US" w:eastAsia="zh-CN" w:bidi="ar"/>
        </w:rPr>
        <w:t>详见</w:t>
      </w:r>
      <w:r>
        <w:rPr>
          <w:rFonts w:hint="eastAsia" w:ascii="仿宋_GB2312" w:hAnsi="Calibri" w:eastAsia="仿宋_GB2312" w:cs="仿宋_GB2312"/>
          <w:i w:val="0"/>
          <w:iCs w:val="0"/>
          <w:caps w:val="0"/>
          <w:color w:val="auto"/>
          <w:spacing w:val="0"/>
          <w:kern w:val="0"/>
          <w:sz w:val="32"/>
          <w:szCs w:val="32"/>
          <w:highlight w:val="none"/>
          <w:lang w:val="en-US" w:eastAsia="zh-CN" w:bidi="ar"/>
        </w:rPr>
        <w:t>附件</w:t>
      </w:r>
      <w:r>
        <w:rPr>
          <w:rFonts w:hint="eastAsia" w:ascii="仿宋_GB2312" w:eastAsia="仿宋_GB2312" w:cs="仿宋_GB2312"/>
          <w:i w:val="0"/>
          <w:iCs w:val="0"/>
          <w:caps w:val="0"/>
          <w:color w:val="auto"/>
          <w:spacing w:val="0"/>
          <w:kern w:val="0"/>
          <w:sz w:val="32"/>
          <w:szCs w:val="32"/>
          <w:highlight w:val="none"/>
          <w:lang w:val="en-US" w:eastAsia="zh-CN" w:bidi="ar"/>
        </w:rPr>
        <w:t>1</w:t>
      </w:r>
      <w:r>
        <w:rPr>
          <w:rFonts w:hint="eastAsia" w:ascii="仿宋_GB2312" w:hAnsi="Calibri" w:eastAsia="仿宋_GB2312" w:cs="仿宋_GB2312"/>
          <w:i w:val="0"/>
          <w:iCs w:val="0"/>
          <w:caps w:val="0"/>
          <w:color w:val="auto"/>
          <w:spacing w:val="0"/>
          <w:kern w:val="0"/>
          <w:sz w:val="32"/>
          <w:szCs w:val="32"/>
          <w:highlight w:val="none"/>
          <w:lang w:val="en-US" w:eastAsia="zh-CN" w:bidi="ar"/>
        </w:rPr>
        <w:t>），使用</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老字号标识和牌匾。</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第四章</w:t>
      </w:r>
      <w:r>
        <w:rPr>
          <w:rFonts w:hint="eastAsia" w:ascii="黑体" w:hAnsi="宋体" w:eastAsia="黑体" w:cs="黑体"/>
          <w:i w:val="0"/>
          <w:iCs w:val="0"/>
          <w:caps w:val="0"/>
          <w:color w:val="auto"/>
          <w:spacing w:val="0"/>
          <w:kern w:val="0"/>
          <w:sz w:val="32"/>
          <w:szCs w:val="32"/>
          <w:highlight w:val="none"/>
          <w:lang w:val="en-US" w:eastAsia="zh" w:bidi="ar"/>
        </w:rPr>
        <w:t>　</w:t>
      </w:r>
      <w:r>
        <w:rPr>
          <w:rFonts w:hint="eastAsia" w:ascii="黑体" w:hAnsi="宋体" w:eastAsia="黑体" w:cs="黑体"/>
          <w:i w:val="0"/>
          <w:iCs w:val="0"/>
          <w:caps w:val="0"/>
          <w:color w:val="auto"/>
          <w:spacing w:val="0"/>
          <w:kern w:val="0"/>
          <w:sz w:val="32"/>
          <w:szCs w:val="32"/>
          <w:highlight w:val="none"/>
          <w:lang w:val="en-US" w:eastAsia="zh-CN" w:bidi="ar"/>
        </w:rPr>
        <w:t>动态管理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第十五条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老字号企业的企业名称或其商标发生以下变化的，应当自发生变化之日起30个工作日之内向</w:t>
      </w:r>
      <w:r>
        <w:rPr>
          <w:rFonts w:hint="eastAsia" w:ascii="仿宋_GB2312" w:eastAsia="仿宋_GB2312" w:cs="仿宋_GB2312"/>
          <w:i w:val="0"/>
          <w:iCs w:val="0"/>
          <w:caps w:val="0"/>
          <w:color w:val="auto"/>
          <w:spacing w:val="0"/>
          <w:kern w:val="0"/>
          <w:sz w:val="32"/>
          <w:szCs w:val="32"/>
          <w:highlight w:val="none"/>
          <w:lang w:val="en-US" w:eastAsia="zh-CN" w:bidi="ar"/>
        </w:rPr>
        <w:t>市</w:t>
      </w:r>
      <w:r>
        <w:rPr>
          <w:rFonts w:hint="eastAsia" w:ascii="仿宋_GB2312" w:hAnsi="Calibri" w:eastAsia="仿宋_GB2312" w:cs="仿宋_GB2312"/>
          <w:i w:val="0"/>
          <w:iCs w:val="0"/>
          <w:caps w:val="0"/>
          <w:color w:val="auto"/>
          <w:spacing w:val="0"/>
          <w:kern w:val="0"/>
          <w:sz w:val="32"/>
          <w:szCs w:val="32"/>
          <w:highlight w:val="none"/>
          <w:lang w:val="en-US" w:eastAsia="zh-CN" w:bidi="ar"/>
        </w:rPr>
        <w:t>商务</w:t>
      </w:r>
      <w:r>
        <w:rPr>
          <w:rFonts w:hint="eastAsia" w:ascii="仿宋_GB2312" w:eastAsia="仿宋_GB2312" w:cs="仿宋_GB2312"/>
          <w:i w:val="0"/>
          <w:iCs w:val="0"/>
          <w:caps w:val="0"/>
          <w:color w:val="auto"/>
          <w:spacing w:val="0"/>
          <w:kern w:val="0"/>
          <w:sz w:val="32"/>
          <w:szCs w:val="32"/>
          <w:highlight w:val="none"/>
          <w:lang w:val="en-US" w:eastAsia="zh-CN" w:bidi="ar"/>
        </w:rPr>
        <w:t>局</w:t>
      </w:r>
      <w:r>
        <w:rPr>
          <w:rFonts w:hint="eastAsia" w:ascii="仿宋_GB2312" w:hAnsi="Calibri" w:eastAsia="仿宋_GB2312" w:cs="仿宋_GB2312"/>
          <w:i w:val="0"/>
          <w:iCs w:val="0"/>
          <w:caps w:val="0"/>
          <w:color w:val="auto"/>
          <w:spacing w:val="0"/>
          <w:kern w:val="0"/>
          <w:sz w:val="32"/>
          <w:szCs w:val="32"/>
          <w:highlight w:val="none"/>
          <w:lang w:val="en-US" w:eastAsia="zh-CN" w:bidi="ar"/>
        </w:rPr>
        <w:t>提出申请，并详细说明发生变化的理由：</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（一）企业名称发生变化的；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（二）在不丧失老字号注册商标使用权的前提下，该注册商标发生转让的。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在</w:t>
      </w:r>
      <w:r>
        <w:rPr>
          <w:rFonts w:hint="eastAsia" w:ascii="仿宋_GB2312" w:eastAsia="仿宋_GB2312" w:cs="仿宋_GB2312"/>
          <w:i w:val="0"/>
          <w:iCs w:val="0"/>
          <w:caps w:val="0"/>
          <w:color w:val="auto"/>
          <w:spacing w:val="0"/>
          <w:kern w:val="0"/>
          <w:sz w:val="32"/>
          <w:szCs w:val="32"/>
          <w:highlight w:val="none"/>
          <w:lang w:val="en-US" w:eastAsia="zh-CN" w:bidi="ar"/>
        </w:rPr>
        <w:t>收到企业申报材料</w:t>
      </w:r>
      <w:r>
        <w:rPr>
          <w:rFonts w:hint="eastAsia" w:ascii="仿宋_GB2312" w:hAnsi="Calibri" w:eastAsia="仿宋_GB2312" w:cs="仿宋_GB2312"/>
          <w:i w:val="0"/>
          <w:iCs w:val="0"/>
          <w:caps w:val="0"/>
          <w:color w:val="auto"/>
          <w:spacing w:val="0"/>
          <w:kern w:val="0"/>
          <w:sz w:val="32"/>
          <w:szCs w:val="32"/>
          <w:highlight w:val="none"/>
          <w:lang w:val="en-US" w:eastAsia="zh-CN" w:bidi="ar"/>
        </w:rPr>
        <w:t>后，应按照</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老字号认定条件进行审核，必要时商相关部门联合审核，审核过程中可根据需要现场核实相关情况或要求企业补充提供相关材料，并</w:t>
      </w:r>
      <w:r>
        <w:rPr>
          <w:rFonts w:hint="eastAsia" w:ascii="仿宋_GB2312" w:eastAsia="仿宋_GB2312" w:cs="仿宋_GB2312"/>
          <w:i w:val="0"/>
          <w:iCs w:val="0"/>
          <w:caps w:val="0"/>
          <w:color w:val="auto"/>
          <w:spacing w:val="0"/>
          <w:kern w:val="0"/>
          <w:sz w:val="32"/>
          <w:szCs w:val="32"/>
          <w:highlight w:val="none"/>
          <w:lang w:val="en-US" w:eastAsia="zh-CN" w:bidi="ar"/>
        </w:rPr>
        <w:t>在市商务局官网公布</w:t>
      </w:r>
      <w:r>
        <w:rPr>
          <w:rFonts w:hint="eastAsia" w:ascii="仿宋_GB2312" w:hAnsi="Calibri" w:eastAsia="仿宋_GB2312" w:cs="仿宋_GB2312"/>
          <w:i w:val="0"/>
          <w:iCs w:val="0"/>
          <w:caps w:val="0"/>
          <w:color w:val="auto"/>
          <w:spacing w:val="0"/>
          <w:kern w:val="0"/>
          <w:sz w:val="32"/>
          <w:szCs w:val="32"/>
          <w:highlight w:val="none"/>
          <w:lang w:val="en-US" w:eastAsia="zh-CN" w:bidi="ar"/>
        </w:rPr>
        <w:t>企业变更信息。</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黑体" w:hAnsi="宋体" w:eastAsia="黑体" w:cs="黑体"/>
          <w:i w:val="0"/>
          <w:iCs w:val="0"/>
          <w:caps w:val="0"/>
          <w:color w:val="auto"/>
          <w:spacing w:val="0"/>
          <w:kern w:val="0"/>
          <w:sz w:val="32"/>
          <w:szCs w:val="32"/>
          <w:highlight w:val="none"/>
          <w:lang w:val="en-US" w:eastAsia="zh-CN" w:bidi="ar"/>
        </w:rPr>
        <w:t>第十六条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老字号企业应当于每年</w:t>
      </w:r>
      <w:r>
        <w:rPr>
          <w:rFonts w:hint="eastAsia" w:ascii="仿宋_GB2312" w:eastAsia="仿宋_GB2312" w:cs="仿宋_GB2312"/>
          <w:i w:val="0"/>
          <w:iCs w:val="0"/>
          <w:caps w:val="0"/>
          <w:color w:val="auto"/>
          <w:spacing w:val="0"/>
          <w:kern w:val="0"/>
          <w:sz w:val="32"/>
          <w:szCs w:val="32"/>
          <w:highlight w:val="none"/>
          <w:lang w:val="en-US" w:eastAsia="zh-CN" w:bidi="ar"/>
        </w:rPr>
        <w:t>1</w:t>
      </w:r>
      <w:r>
        <w:rPr>
          <w:rFonts w:hint="eastAsia" w:ascii="仿宋_GB2312" w:hAnsi="Calibri" w:eastAsia="仿宋_GB2312" w:cs="仿宋_GB2312"/>
          <w:i w:val="0"/>
          <w:iCs w:val="0"/>
          <w:caps w:val="0"/>
          <w:color w:val="auto"/>
          <w:spacing w:val="0"/>
          <w:kern w:val="0"/>
          <w:sz w:val="32"/>
          <w:szCs w:val="32"/>
          <w:highlight w:val="none"/>
          <w:lang w:val="en-US" w:eastAsia="zh-CN" w:bidi="ar"/>
        </w:rPr>
        <w:t>月31日前</w:t>
      </w:r>
      <w:r>
        <w:rPr>
          <w:rFonts w:hint="eastAsia" w:ascii="仿宋_GB2312" w:eastAsia="仿宋_GB2312" w:cs="仿宋_GB2312"/>
          <w:i w:val="0"/>
          <w:iCs w:val="0"/>
          <w:caps w:val="0"/>
          <w:color w:val="auto"/>
          <w:spacing w:val="0"/>
          <w:kern w:val="0"/>
          <w:sz w:val="32"/>
          <w:szCs w:val="32"/>
          <w:highlight w:val="none"/>
          <w:lang w:val="en-US" w:eastAsia="zh-CN" w:bidi="ar"/>
        </w:rPr>
        <w:t>向区级商务部门报送</w:t>
      </w:r>
      <w:r>
        <w:rPr>
          <w:rFonts w:hint="eastAsia" w:ascii="仿宋_GB2312" w:hAnsi="Calibri" w:eastAsia="仿宋_GB2312" w:cs="仿宋_GB2312"/>
          <w:i w:val="0"/>
          <w:iCs w:val="0"/>
          <w:caps w:val="0"/>
          <w:color w:val="auto"/>
          <w:spacing w:val="0"/>
          <w:kern w:val="0"/>
          <w:sz w:val="32"/>
          <w:szCs w:val="32"/>
          <w:highlight w:val="none"/>
          <w:lang w:val="en-US" w:eastAsia="zh-CN" w:bidi="ar"/>
        </w:rPr>
        <w:t>上一年度经营情况（上市公司可在年报公布后的5个工作日内上报）。</w:t>
      </w:r>
      <w:r>
        <w:rPr>
          <w:rFonts w:hint="eastAsia" w:ascii="仿宋_GB2312" w:eastAsia="仿宋_GB2312" w:cs="仿宋_GB2312"/>
          <w:i w:val="0"/>
          <w:iCs w:val="0"/>
          <w:caps w:val="0"/>
          <w:color w:val="auto"/>
          <w:spacing w:val="0"/>
          <w:kern w:val="0"/>
          <w:sz w:val="32"/>
          <w:szCs w:val="32"/>
          <w:highlight w:val="none"/>
          <w:lang w:val="en-US" w:eastAsia="zh-CN" w:bidi="ar"/>
        </w:rPr>
        <w:t>区级商务部门于每年3月10日前汇总报市商务局。</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6"/>
          <w:kern w:val="0"/>
          <w:sz w:val="32"/>
          <w:szCs w:val="32"/>
          <w:highlight w:val="none"/>
          <w:lang w:val="en-US" w:eastAsia="zh-CN" w:bidi="ar"/>
        </w:rPr>
      </w:pPr>
      <w:r>
        <w:rPr>
          <w:rFonts w:hint="eastAsia" w:ascii="黑体" w:hAnsi="宋体" w:eastAsia="黑体" w:cs="黑体"/>
          <w:i w:val="0"/>
          <w:iCs w:val="0"/>
          <w:caps w:val="0"/>
          <w:color w:val="auto"/>
          <w:spacing w:val="-6"/>
          <w:kern w:val="0"/>
          <w:sz w:val="32"/>
          <w:szCs w:val="32"/>
          <w:highlight w:val="none"/>
          <w:lang w:val="en-US" w:eastAsia="zh-CN" w:bidi="ar"/>
        </w:rPr>
        <w:t>第十七条 </w:t>
      </w:r>
      <w:r>
        <w:rPr>
          <w:rFonts w:hint="eastAsia" w:ascii="仿宋_GB2312" w:hAnsi="仿宋_GB2312" w:eastAsia="仿宋_GB2312" w:cs="仿宋_GB2312"/>
          <w:i w:val="0"/>
          <w:iCs w:val="0"/>
          <w:caps w:val="0"/>
          <w:color w:val="auto"/>
          <w:spacing w:val="-6"/>
          <w:kern w:val="0"/>
          <w:sz w:val="32"/>
          <w:szCs w:val="32"/>
          <w:highlight w:val="none"/>
          <w:lang w:val="en-US" w:eastAsia="zh-CN" w:bidi="ar"/>
        </w:rPr>
        <w:t>珠海市各级</w:t>
      </w:r>
      <w:r>
        <w:rPr>
          <w:rFonts w:hint="eastAsia" w:ascii="仿宋_GB2312" w:eastAsia="仿宋_GB2312" w:cs="仿宋_GB2312"/>
          <w:i w:val="0"/>
          <w:iCs w:val="0"/>
          <w:caps w:val="0"/>
          <w:color w:val="auto"/>
          <w:spacing w:val="-6"/>
          <w:kern w:val="0"/>
          <w:sz w:val="32"/>
          <w:szCs w:val="32"/>
          <w:highlight w:val="none"/>
          <w:lang w:val="en-US" w:eastAsia="zh-CN" w:bidi="ar"/>
        </w:rPr>
        <w:t>商务部门负责珠海</w:t>
      </w:r>
      <w:r>
        <w:rPr>
          <w:rFonts w:hint="eastAsia" w:ascii="仿宋_GB2312" w:hAnsi="Calibri" w:eastAsia="仿宋_GB2312" w:cs="仿宋_GB2312"/>
          <w:i w:val="0"/>
          <w:iCs w:val="0"/>
          <w:caps w:val="0"/>
          <w:color w:val="auto"/>
          <w:spacing w:val="-6"/>
          <w:kern w:val="0"/>
          <w:sz w:val="32"/>
          <w:szCs w:val="32"/>
          <w:highlight w:val="none"/>
          <w:lang w:val="en-US" w:eastAsia="zh-CN" w:bidi="ar"/>
        </w:rPr>
        <w:t>老字号日常监测，建立预警提醒和约谈机制，对出现本办法第十八条、第十九条、第二十条所列有关情形的</w:t>
      </w:r>
      <w:r>
        <w:rPr>
          <w:rFonts w:hint="eastAsia" w:ascii="仿宋_GB2312" w:eastAsia="仿宋_GB2312" w:cs="仿宋_GB2312"/>
          <w:i w:val="0"/>
          <w:iCs w:val="0"/>
          <w:caps w:val="0"/>
          <w:color w:val="auto"/>
          <w:spacing w:val="-6"/>
          <w:kern w:val="0"/>
          <w:sz w:val="32"/>
          <w:szCs w:val="32"/>
          <w:highlight w:val="none"/>
          <w:lang w:val="en-US" w:eastAsia="zh-CN" w:bidi="ar"/>
        </w:rPr>
        <w:t>珠海</w:t>
      </w:r>
      <w:r>
        <w:rPr>
          <w:rFonts w:hint="eastAsia" w:ascii="仿宋_GB2312" w:hAnsi="Calibri" w:eastAsia="仿宋_GB2312" w:cs="仿宋_GB2312"/>
          <w:i w:val="0"/>
          <w:iCs w:val="0"/>
          <w:caps w:val="0"/>
          <w:color w:val="auto"/>
          <w:spacing w:val="-6"/>
          <w:kern w:val="0"/>
          <w:sz w:val="32"/>
          <w:szCs w:val="32"/>
          <w:highlight w:val="none"/>
          <w:lang w:val="en-US" w:eastAsia="zh-CN" w:bidi="ar"/>
        </w:rPr>
        <w:t>老字号企业，分别采取相应管理措施</w:t>
      </w:r>
      <w:r>
        <w:rPr>
          <w:rFonts w:hint="eastAsia" w:ascii="仿宋_GB2312" w:eastAsia="仿宋_GB2312" w:cs="仿宋_GB2312"/>
          <w:i w:val="0"/>
          <w:iCs w:val="0"/>
          <w:caps w:val="0"/>
          <w:color w:val="auto"/>
          <w:spacing w:val="-6"/>
          <w:kern w:val="0"/>
          <w:sz w:val="32"/>
          <w:szCs w:val="32"/>
          <w:highlight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 xml:space="preserve">第十八条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老字号企业出现下列情形之一的，由</w:t>
      </w:r>
      <w:r>
        <w:rPr>
          <w:rFonts w:hint="eastAsia" w:ascii="仿宋_GB2312" w:eastAsia="仿宋_GB2312" w:cs="仿宋_GB2312"/>
          <w:i w:val="0"/>
          <w:iCs w:val="0"/>
          <w:caps w:val="0"/>
          <w:color w:val="auto"/>
          <w:spacing w:val="0"/>
          <w:kern w:val="0"/>
          <w:sz w:val="32"/>
          <w:szCs w:val="32"/>
          <w:highlight w:val="none"/>
          <w:lang w:val="en-US" w:eastAsia="zh-CN" w:bidi="ar"/>
        </w:rPr>
        <w:t>所在区商务部门</w:t>
      </w:r>
      <w:r>
        <w:rPr>
          <w:rFonts w:hint="eastAsia" w:ascii="仿宋_GB2312" w:hAnsi="Calibri" w:eastAsia="仿宋_GB2312" w:cs="仿宋_GB2312"/>
          <w:i w:val="0"/>
          <w:iCs w:val="0"/>
          <w:caps w:val="0"/>
          <w:color w:val="auto"/>
          <w:spacing w:val="0"/>
          <w:kern w:val="0"/>
          <w:sz w:val="32"/>
          <w:szCs w:val="32"/>
          <w:highlight w:val="none"/>
          <w:lang w:val="en-US" w:eastAsia="zh-CN" w:bidi="ar"/>
        </w:rPr>
        <w:t>责令3个月内予以整改，必要时可约谈企业负责人</w:t>
      </w:r>
      <w:r>
        <w:rPr>
          <w:rFonts w:hint="eastAsia" w:ascii="仿宋_GB2312" w:eastAsia="仿宋_GB2312" w:cs="仿宋_GB2312"/>
          <w:i w:val="0"/>
          <w:iCs w:val="0"/>
          <w:caps w:val="0"/>
          <w:color w:val="auto"/>
          <w:spacing w:val="0"/>
          <w:kern w:val="0"/>
          <w:sz w:val="32"/>
          <w:szCs w:val="32"/>
          <w:highlight w:val="none"/>
          <w:lang w:val="en-US" w:eastAsia="zh-CN" w:bidi="ar"/>
        </w:rPr>
        <w:t>；其中市属企业及中央驻珠企业由市商务局责令整改、约谈</w:t>
      </w:r>
      <w:r>
        <w:rPr>
          <w:rFonts w:hint="eastAsia" w:ascii="仿宋_GB2312" w:hAnsi="Calibri" w:eastAsia="仿宋_GB2312" w:cs="仿宋_GB2312"/>
          <w:i w:val="0"/>
          <w:iCs w:val="0"/>
          <w:caps w:val="0"/>
          <w:color w:val="auto"/>
          <w:spacing w:val="0"/>
          <w:kern w:val="0"/>
          <w:sz w:val="32"/>
          <w:szCs w:val="32"/>
          <w:highlight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（一）企业信息发生变化后未按本办法第十五条规定及时提交申请的；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（二）未按本办法第十六条规定按时</w:t>
      </w:r>
      <w:r>
        <w:rPr>
          <w:rFonts w:hint="eastAsia" w:ascii="仿宋_GB2312" w:eastAsia="仿宋_GB2312" w:cs="仿宋_GB2312"/>
          <w:i w:val="0"/>
          <w:iCs w:val="0"/>
          <w:caps w:val="0"/>
          <w:color w:val="auto"/>
          <w:spacing w:val="0"/>
          <w:kern w:val="0"/>
          <w:sz w:val="32"/>
          <w:szCs w:val="32"/>
          <w:highlight w:val="none"/>
          <w:lang w:val="en-US" w:eastAsia="zh-CN" w:bidi="ar"/>
        </w:rPr>
        <w:t>提交</w:t>
      </w:r>
      <w:r>
        <w:rPr>
          <w:rFonts w:hint="eastAsia" w:ascii="仿宋_GB2312" w:hAnsi="Calibri" w:eastAsia="仿宋_GB2312" w:cs="仿宋_GB2312"/>
          <w:i w:val="0"/>
          <w:iCs w:val="0"/>
          <w:caps w:val="0"/>
          <w:color w:val="auto"/>
          <w:spacing w:val="0"/>
          <w:kern w:val="0"/>
          <w:sz w:val="32"/>
          <w:szCs w:val="32"/>
          <w:highlight w:val="none"/>
          <w:lang w:val="en-US" w:eastAsia="zh-CN" w:bidi="ar"/>
        </w:rPr>
        <w:t>相关信息的；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（三）</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老字号标识、牌匾使用不符合《</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老字号标识和牌匾使用规定》的；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（四）因经营问题被相关部门作出行政处罚，或引起社会不良影响的；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（五）因违反《文物保护法》</w:t>
      </w:r>
      <w:r>
        <w:rPr>
          <w:rFonts w:hint="eastAsia" w:ascii="仿宋_GB2312" w:eastAsia="仿宋_GB2312" w:cs="仿宋_GB2312"/>
          <w:i w:val="0"/>
          <w:iCs w:val="0"/>
          <w:caps w:val="0"/>
          <w:color w:val="auto"/>
          <w:spacing w:val="0"/>
          <w:kern w:val="0"/>
          <w:sz w:val="32"/>
          <w:szCs w:val="32"/>
          <w:highlight w:val="none"/>
          <w:lang w:val="en-US" w:eastAsia="zh-CN" w:bidi="ar"/>
        </w:rPr>
        <w:t>等</w:t>
      </w:r>
      <w:r>
        <w:rPr>
          <w:rFonts w:hint="eastAsia" w:ascii="仿宋_GB2312" w:hAnsi="Calibri" w:eastAsia="仿宋_GB2312" w:cs="仿宋_GB2312"/>
          <w:i w:val="0"/>
          <w:iCs w:val="0"/>
          <w:caps w:val="0"/>
          <w:color w:val="auto"/>
          <w:spacing w:val="0"/>
          <w:kern w:val="0"/>
          <w:sz w:val="32"/>
          <w:szCs w:val="32"/>
          <w:highlight w:val="none"/>
          <w:lang w:val="en-US" w:eastAsia="zh-CN" w:bidi="ar"/>
        </w:rPr>
        <w:t>相关</w:t>
      </w:r>
      <w:r>
        <w:rPr>
          <w:rFonts w:hint="eastAsia" w:ascii="仿宋_GB2312" w:eastAsia="仿宋_GB2312" w:cs="仿宋_GB2312"/>
          <w:i w:val="0"/>
          <w:iCs w:val="0"/>
          <w:caps w:val="0"/>
          <w:color w:val="auto"/>
          <w:spacing w:val="0"/>
          <w:kern w:val="0"/>
          <w:sz w:val="32"/>
          <w:szCs w:val="32"/>
          <w:highlight w:val="none"/>
          <w:lang w:val="en-US" w:eastAsia="zh-CN" w:bidi="ar"/>
        </w:rPr>
        <w:t>法规</w:t>
      </w:r>
      <w:r>
        <w:rPr>
          <w:rFonts w:hint="eastAsia" w:ascii="仿宋_GB2312" w:hAnsi="Calibri" w:eastAsia="仿宋_GB2312" w:cs="仿宋_GB2312"/>
          <w:i w:val="0"/>
          <w:iCs w:val="0"/>
          <w:caps w:val="0"/>
          <w:color w:val="auto"/>
          <w:spacing w:val="0"/>
          <w:kern w:val="0"/>
          <w:sz w:val="32"/>
          <w:szCs w:val="32"/>
          <w:highlight w:val="none"/>
          <w:lang w:val="en-US" w:eastAsia="zh-CN" w:bidi="ar"/>
        </w:rPr>
        <w:t>规定，对涉及不可移动文物的生产经营场所违法进行修缮、转让、抵押、改变用途等活动被相关部门作出行政处罚的</w:t>
      </w:r>
      <w:r>
        <w:rPr>
          <w:rFonts w:hint="eastAsia" w:ascii="仿宋_GB2312" w:eastAsia="仿宋_GB2312" w:cs="仿宋_GB2312"/>
          <w:i w:val="0"/>
          <w:iCs w:val="0"/>
          <w:caps w:val="0"/>
          <w:color w:val="auto"/>
          <w:spacing w:val="0"/>
          <w:kern w:val="0"/>
          <w:sz w:val="32"/>
          <w:szCs w:val="32"/>
          <w:highlight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（六）被相关部门列入经营异常名录的。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第十九条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老字号企业出现下列情形之一的，</w:t>
      </w:r>
      <w:r>
        <w:rPr>
          <w:rFonts w:hint="eastAsia" w:ascii="仿宋_GB2312" w:eastAsia="仿宋_GB2312" w:cs="仿宋_GB2312"/>
          <w:i w:val="0"/>
          <w:iCs w:val="0"/>
          <w:caps w:val="0"/>
          <w:color w:val="auto"/>
          <w:spacing w:val="0"/>
          <w:kern w:val="0"/>
          <w:sz w:val="32"/>
          <w:szCs w:val="32"/>
          <w:highlight w:val="none"/>
          <w:lang w:val="en-US" w:eastAsia="zh-CN" w:bidi="ar"/>
        </w:rPr>
        <w:t>各区级商务部门</w:t>
      </w:r>
      <w:r>
        <w:rPr>
          <w:rFonts w:hint="eastAsia" w:ascii="仿宋_GB2312" w:hAnsi="Calibri" w:eastAsia="仿宋_GB2312" w:cs="仿宋_GB2312"/>
          <w:i w:val="0"/>
          <w:iCs w:val="0"/>
          <w:caps w:val="0"/>
          <w:color w:val="auto"/>
          <w:spacing w:val="0"/>
          <w:kern w:val="0"/>
          <w:sz w:val="32"/>
          <w:szCs w:val="32"/>
          <w:highlight w:val="none"/>
          <w:lang w:val="en-US" w:eastAsia="zh-CN" w:bidi="ar"/>
        </w:rPr>
        <w:t>可以建议</w:t>
      </w: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暂停其</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老字号标识及牌匾使用权：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（一）被</w:t>
      </w:r>
      <w:r>
        <w:rPr>
          <w:rFonts w:hint="eastAsia" w:ascii="仿宋_GB2312" w:eastAsia="仿宋_GB2312" w:cs="仿宋_GB2312"/>
          <w:i w:val="0"/>
          <w:iCs w:val="0"/>
          <w:caps w:val="0"/>
          <w:color w:val="auto"/>
          <w:spacing w:val="0"/>
          <w:kern w:val="0"/>
          <w:sz w:val="32"/>
          <w:szCs w:val="32"/>
          <w:highlight w:val="none"/>
          <w:lang w:val="en-US" w:eastAsia="zh-CN" w:bidi="ar"/>
        </w:rPr>
        <w:t>商务部门</w:t>
      </w:r>
      <w:r>
        <w:rPr>
          <w:rFonts w:hint="eastAsia" w:ascii="仿宋_GB2312" w:hAnsi="Calibri" w:eastAsia="仿宋_GB2312" w:cs="仿宋_GB2312"/>
          <w:i w:val="0"/>
          <w:iCs w:val="0"/>
          <w:caps w:val="0"/>
          <w:color w:val="auto"/>
          <w:spacing w:val="0"/>
          <w:kern w:val="0"/>
          <w:sz w:val="32"/>
          <w:szCs w:val="32"/>
          <w:highlight w:val="none"/>
          <w:lang w:val="en-US" w:eastAsia="zh-CN" w:bidi="ar"/>
        </w:rPr>
        <w:t>约谈，未按时整改或整改措施不力的；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（二）被相关部门列入严重违法失信名单的</w:t>
      </w:r>
      <w:r>
        <w:rPr>
          <w:rFonts w:hint="eastAsia" w:ascii="仿宋_GB2312" w:eastAsia="仿宋_GB2312" w:cs="仿宋_GB2312"/>
          <w:i w:val="0"/>
          <w:iCs w:val="0"/>
          <w:caps w:val="0"/>
          <w:color w:val="auto"/>
          <w:spacing w:val="0"/>
          <w:kern w:val="0"/>
          <w:sz w:val="32"/>
          <w:szCs w:val="32"/>
          <w:highlight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eastAsia="仿宋_GB2312" w:cs="仿宋_GB2312"/>
          <w:i w:val="0"/>
          <w:iCs w:val="0"/>
          <w:caps w:val="0"/>
          <w:color w:val="auto"/>
          <w:spacing w:val="0"/>
          <w:kern w:val="0"/>
          <w:sz w:val="32"/>
          <w:szCs w:val="32"/>
          <w:highlight w:val="none"/>
          <w:lang w:val="en-US" w:eastAsia="zh-CN" w:bidi="ar"/>
        </w:rPr>
        <w:t>（三）</w:t>
      </w:r>
      <w:r>
        <w:rPr>
          <w:rFonts w:hint="default" w:ascii="仿宋_GB2312" w:hAnsi="Calibri" w:eastAsia="仿宋_GB2312" w:cs="仿宋_GB2312"/>
          <w:i w:val="0"/>
          <w:iCs w:val="0"/>
          <w:caps w:val="0"/>
          <w:color w:val="auto"/>
          <w:spacing w:val="0"/>
          <w:kern w:val="0"/>
          <w:sz w:val="32"/>
          <w:szCs w:val="32"/>
          <w:highlight w:val="none"/>
          <w:lang w:val="en-US" w:eastAsia="zh-CN" w:bidi="ar"/>
        </w:rPr>
        <w:t>因</w:t>
      </w:r>
      <w:r>
        <w:rPr>
          <w:rFonts w:hint="eastAsia" w:ascii="仿宋_GB2312" w:eastAsia="仿宋_GB2312" w:cs="仿宋_GB2312"/>
          <w:i w:val="0"/>
          <w:iCs w:val="0"/>
          <w:caps w:val="0"/>
          <w:color w:val="auto"/>
          <w:spacing w:val="0"/>
          <w:kern w:val="0"/>
          <w:sz w:val="32"/>
          <w:szCs w:val="32"/>
          <w:highlight w:val="none"/>
          <w:lang w:val="en-US" w:eastAsia="zh-CN" w:bidi="ar"/>
        </w:rPr>
        <w:t>违反</w:t>
      </w:r>
      <w:r>
        <w:rPr>
          <w:rFonts w:hint="default" w:ascii="仿宋_GB2312" w:hAnsi="Calibri" w:eastAsia="仿宋_GB2312" w:cs="仿宋_GB2312"/>
          <w:i w:val="0"/>
          <w:iCs w:val="0"/>
          <w:caps w:val="0"/>
          <w:color w:val="auto"/>
          <w:spacing w:val="0"/>
          <w:kern w:val="0"/>
          <w:sz w:val="32"/>
          <w:szCs w:val="32"/>
          <w:highlight w:val="none"/>
          <w:lang w:val="en-US" w:eastAsia="zh-CN" w:bidi="ar"/>
        </w:rPr>
        <w:t>《中华人民共和国文物保护法》等相关法律法规，造成文物灭失、损毁的</w:t>
      </w:r>
      <w:r>
        <w:rPr>
          <w:rFonts w:hint="eastAsia" w:ascii="仿宋_GB2312" w:eastAsia="仿宋_GB2312" w:cs="仿宋_GB2312"/>
          <w:i w:val="0"/>
          <w:iCs w:val="0"/>
          <w:caps w:val="0"/>
          <w:color w:val="auto"/>
          <w:spacing w:val="0"/>
          <w:kern w:val="0"/>
          <w:sz w:val="32"/>
          <w:szCs w:val="32"/>
          <w:highlight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认为确有必要的，应当作出暂停其</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老字号标识及牌匾使用权的决定，并责令其于3个月内完成整改。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老字号企业整改完成后，由</w:t>
      </w:r>
      <w:r>
        <w:rPr>
          <w:rFonts w:hint="eastAsia" w:ascii="仿宋_GB2312" w:eastAsia="仿宋_GB2312" w:cs="仿宋_GB2312"/>
          <w:i w:val="0"/>
          <w:iCs w:val="0"/>
          <w:caps w:val="0"/>
          <w:color w:val="auto"/>
          <w:spacing w:val="0"/>
          <w:kern w:val="0"/>
          <w:sz w:val="32"/>
          <w:szCs w:val="32"/>
          <w:highlight w:val="none"/>
          <w:lang w:val="en-US" w:eastAsia="zh-CN" w:bidi="ar"/>
        </w:rPr>
        <w:t>所在区商务部门</w:t>
      </w:r>
      <w:r>
        <w:rPr>
          <w:rFonts w:hint="eastAsia" w:ascii="仿宋_GB2312" w:hAnsi="Calibri" w:eastAsia="仿宋_GB2312" w:cs="仿宋_GB2312"/>
          <w:i w:val="0"/>
          <w:iCs w:val="0"/>
          <w:caps w:val="0"/>
          <w:color w:val="auto"/>
          <w:spacing w:val="0"/>
          <w:kern w:val="0"/>
          <w:sz w:val="32"/>
          <w:szCs w:val="32"/>
          <w:highlight w:val="none"/>
          <w:lang w:val="en-US" w:eastAsia="zh-CN" w:bidi="ar"/>
        </w:rPr>
        <w:t>对整改情况进行审核，并提出审核意见</w:t>
      </w:r>
      <w:r>
        <w:rPr>
          <w:rFonts w:hint="eastAsia" w:ascii="仿宋_GB2312" w:eastAsia="仿宋_GB2312" w:cs="仿宋_GB2312"/>
          <w:i w:val="0"/>
          <w:iCs w:val="0"/>
          <w:caps w:val="0"/>
          <w:color w:val="auto"/>
          <w:spacing w:val="0"/>
          <w:kern w:val="0"/>
          <w:sz w:val="32"/>
          <w:szCs w:val="32"/>
          <w:highlight w:val="none"/>
          <w:lang w:val="en-US" w:eastAsia="zh-CN" w:bidi="ar"/>
        </w:rPr>
        <w:t>报市商务局，市属企业及中央驻珠企业整改情况直接报市商务局审核</w:t>
      </w:r>
      <w:r>
        <w:rPr>
          <w:rFonts w:hint="eastAsia" w:ascii="仿宋_GB2312" w:hAnsi="Calibri" w:eastAsia="仿宋_GB2312" w:cs="仿宋_GB2312"/>
          <w:i w:val="0"/>
          <w:iCs w:val="0"/>
          <w:caps w:val="0"/>
          <w:color w:val="auto"/>
          <w:spacing w:val="0"/>
          <w:kern w:val="0"/>
          <w:sz w:val="32"/>
          <w:szCs w:val="32"/>
          <w:highlight w:val="none"/>
          <w:lang w:val="en-US" w:eastAsia="zh-CN" w:bidi="ar"/>
        </w:rPr>
        <w:t>。</w:t>
      </w: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认为整改到位的，应当作出撤销暂停其</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老字号标识及牌匾使用权的决定。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第二十条</w:t>
      </w:r>
      <w:r>
        <w:rPr>
          <w:rFonts w:hint="eastAsia" w:ascii="仿宋_GB2312" w:hAnsi="Calibri" w:eastAsia="仿宋_GB2312" w:cs="仿宋_GB2312"/>
          <w:i w:val="0"/>
          <w:iCs w:val="0"/>
          <w:caps w:val="0"/>
          <w:color w:val="auto"/>
          <w:spacing w:val="0"/>
          <w:kern w:val="0"/>
          <w:sz w:val="32"/>
          <w:szCs w:val="32"/>
          <w:highlight w:val="none"/>
          <w:lang w:val="en-US" w:eastAsia="zh-CN" w:bidi="ar"/>
        </w:rPr>
        <w:t>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老字号企业出现下列情形之一的，</w:t>
      </w: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认为确有必要的，商相关部门作出移出</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老字号名录并收回</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老字号标识使用权及牌匾的决定：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（一）企业破产清算、解散、注销、被吊销营业执照或三年以上不开展经营活动的；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（二）丧失老字号注册商标所有权及使用权的；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（三）</w:t>
      </w:r>
      <w:r>
        <w:rPr>
          <w:rFonts w:hint="eastAsia" w:ascii="仿宋_GB2312" w:eastAsia="仿宋_GB2312" w:cs="仿宋_GB2312"/>
          <w:i w:val="0"/>
          <w:iCs w:val="0"/>
          <w:caps w:val="0"/>
          <w:color w:val="auto"/>
          <w:spacing w:val="0"/>
          <w:kern w:val="0"/>
          <w:sz w:val="32"/>
          <w:szCs w:val="32"/>
          <w:highlight w:val="none"/>
          <w:lang w:val="en-US" w:eastAsia="zh-CN" w:bidi="ar"/>
        </w:rPr>
        <w:t>根据相关法律法规，相关职能部门认定其发生重大安全生产责任事故、重大侵犯知识产权或消费者权益事件、严重扰乱市场秩序或其他严重违法行为，或拖欠员工工资的；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w:t>
      </w:r>
      <w:r>
        <w:rPr>
          <w:rFonts w:hint="eastAsia" w:ascii="仿宋_GB2312" w:eastAsia="仿宋_GB2312" w:cs="仿宋_GB2312"/>
          <w:i w:val="0"/>
          <w:iCs w:val="0"/>
          <w:caps w:val="0"/>
          <w:color w:val="auto"/>
          <w:spacing w:val="0"/>
          <w:kern w:val="0"/>
          <w:sz w:val="32"/>
          <w:szCs w:val="32"/>
          <w:highlight w:val="none"/>
          <w:lang w:val="en-US" w:eastAsia="zh-CN" w:bidi="ar"/>
        </w:rPr>
        <w:t>四</w:t>
      </w:r>
      <w:r>
        <w:rPr>
          <w:rFonts w:hint="eastAsia" w:ascii="仿宋_GB2312" w:hAnsi="Calibri" w:eastAsia="仿宋_GB2312" w:cs="仿宋_GB2312"/>
          <w:i w:val="0"/>
          <w:iCs w:val="0"/>
          <w:caps w:val="0"/>
          <w:color w:val="auto"/>
          <w:spacing w:val="0"/>
          <w:kern w:val="0"/>
          <w:sz w:val="32"/>
          <w:szCs w:val="32"/>
          <w:highlight w:val="none"/>
          <w:lang w:val="en-US" w:eastAsia="zh-CN" w:bidi="ar"/>
        </w:rPr>
        <w:t>）以欺骗或其他不正当手段骗取</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老字号称号的；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w:t>
      </w:r>
      <w:r>
        <w:rPr>
          <w:rFonts w:hint="eastAsia" w:ascii="仿宋_GB2312" w:eastAsia="仿宋_GB2312" w:cs="仿宋_GB2312"/>
          <w:i w:val="0"/>
          <w:iCs w:val="0"/>
          <w:caps w:val="0"/>
          <w:color w:val="auto"/>
          <w:spacing w:val="0"/>
          <w:kern w:val="0"/>
          <w:sz w:val="32"/>
          <w:szCs w:val="32"/>
          <w:highlight w:val="none"/>
          <w:lang w:val="en-US" w:eastAsia="zh-CN" w:bidi="ar"/>
        </w:rPr>
        <w:t>五</w:t>
      </w:r>
      <w:r>
        <w:rPr>
          <w:rFonts w:hint="eastAsia" w:ascii="仿宋_GB2312" w:hAnsi="Calibri" w:eastAsia="仿宋_GB2312" w:cs="仿宋_GB2312"/>
          <w:i w:val="0"/>
          <w:iCs w:val="0"/>
          <w:caps w:val="0"/>
          <w:color w:val="auto"/>
          <w:spacing w:val="0"/>
          <w:kern w:val="0"/>
          <w:sz w:val="32"/>
          <w:szCs w:val="32"/>
          <w:highlight w:val="none"/>
          <w:lang w:val="en-US" w:eastAsia="zh-CN" w:bidi="ar"/>
        </w:rPr>
        <w:t>）被暂停</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老字号标识及牌匾使用权，到期后仍未有效整改的；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仿宋_GB2312" w:hAnsi="Calibri" w:eastAsia="仿宋_GB2312" w:cs="仿宋_GB2312"/>
          <w:i w:val="0"/>
          <w:iCs w:val="0"/>
          <w:caps w:val="0"/>
          <w:color w:val="auto"/>
          <w:spacing w:val="0"/>
          <w:kern w:val="0"/>
          <w:sz w:val="32"/>
          <w:szCs w:val="32"/>
          <w:highlight w:val="none"/>
          <w:lang w:val="en-US" w:eastAsia="zh-CN" w:bidi="ar"/>
        </w:rPr>
        <w:t>（</w:t>
      </w:r>
      <w:r>
        <w:rPr>
          <w:rFonts w:hint="eastAsia" w:ascii="仿宋_GB2312" w:eastAsia="仿宋_GB2312" w:cs="仿宋_GB2312"/>
          <w:i w:val="0"/>
          <w:iCs w:val="0"/>
          <w:caps w:val="0"/>
          <w:color w:val="auto"/>
          <w:spacing w:val="0"/>
          <w:kern w:val="0"/>
          <w:sz w:val="32"/>
          <w:szCs w:val="32"/>
          <w:highlight w:val="none"/>
          <w:lang w:val="en-US" w:eastAsia="zh-CN" w:bidi="ar"/>
        </w:rPr>
        <w:t>六</w:t>
      </w:r>
      <w:r>
        <w:rPr>
          <w:rFonts w:hint="eastAsia" w:ascii="仿宋_GB2312" w:hAnsi="Calibri" w:eastAsia="仿宋_GB2312" w:cs="仿宋_GB2312"/>
          <w:i w:val="0"/>
          <w:iCs w:val="0"/>
          <w:caps w:val="0"/>
          <w:color w:val="auto"/>
          <w:spacing w:val="0"/>
          <w:kern w:val="0"/>
          <w:sz w:val="32"/>
          <w:szCs w:val="32"/>
          <w:highlight w:val="none"/>
          <w:lang w:val="en-US" w:eastAsia="zh-CN" w:bidi="ar"/>
        </w:rPr>
        <w:t>）其他不符合</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老字号和</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老字号企业基本条件的。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黑体" w:hAnsi="宋体" w:eastAsia="黑体" w:cs="黑体"/>
          <w:i w:val="0"/>
          <w:iCs w:val="0"/>
          <w:caps w:val="0"/>
          <w:color w:val="auto"/>
          <w:spacing w:val="0"/>
          <w:kern w:val="0"/>
          <w:sz w:val="32"/>
          <w:szCs w:val="32"/>
          <w:highlight w:val="none"/>
          <w:lang w:val="en-US" w:eastAsia="zh-CN" w:bidi="ar"/>
        </w:rPr>
        <w:t>第二十一条 </w:t>
      </w:r>
      <w:r>
        <w:rPr>
          <w:rFonts w:hint="eastAsia" w:ascii="仿宋_GB2312" w:eastAsia="仿宋_GB2312" w:cs="仿宋_GB2312"/>
          <w:i w:val="0"/>
          <w:iCs w:val="0"/>
          <w:caps w:val="0"/>
          <w:color w:val="auto"/>
          <w:spacing w:val="0"/>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会同相关</w:t>
      </w:r>
      <w:r>
        <w:rPr>
          <w:rFonts w:hint="eastAsia" w:ascii="仿宋_GB2312" w:eastAsia="仿宋_GB2312" w:cs="仿宋_GB2312"/>
          <w:i w:val="0"/>
          <w:iCs w:val="0"/>
          <w:caps w:val="0"/>
          <w:color w:val="auto"/>
          <w:spacing w:val="0"/>
          <w:kern w:val="0"/>
          <w:sz w:val="32"/>
          <w:szCs w:val="32"/>
          <w:highlight w:val="none"/>
          <w:lang w:val="en-US" w:eastAsia="zh-CN" w:bidi="ar"/>
        </w:rPr>
        <w:t>部门原则上每2年对珠海老字号通过走访、收集资料等形式或委托各区级商务部门、专业机构开展复核。对复核中发现已经不符合珠海老</w:t>
      </w:r>
      <w:r>
        <w:rPr>
          <w:rFonts w:hint="eastAsia" w:ascii="仿宋_GB2312" w:hAnsi="Calibri" w:eastAsia="仿宋_GB2312" w:cs="仿宋_GB2312"/>
          <w:i w:val="0"/>
          <w:iCs w:val="0"/>
          <w:caps w:val="0"/>
          <w:color w:val="auto"/>
          <w:spacing w:val="0"/>
          <w:kern w:val="0"/>
          <w:sz w:val="32"/>
          <w:szCs w:val="32"/>
          <w:highlight w:val="none"/>
          <w:lang w:val="en-US" w:eastAsia="zh-CN" w:bidi="ar"/>
        </w:rPr>
        <w:t>字号条件的，商相关部门作出移出</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老字号名录、收回</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老字号标识使用权及牌匾的决定。</w:t>
      </w:r>
      <w:r>
        <w:rPr>
          <w:rFonts w:hint="eastAsia" w:ascii="仿宋_GB2312" w:eastAsia="仿宋_GB2312" w:cs="仿宋_GB2312"/>
          <w:i w:val="0"/>
          <w:iCs w:val="0"/>
          <w:caps w:val="0"/>
          <w:color w:val="auto"/>
          <w:spacing w:val="0"/>
          <w:kern w:val="0"/>
          <w:sz w:val="32"/>
          <w:szCs w:val="32"/>
          <w:highlight w:val="none"/>
          <w:lang w:val="en-US" w:eastAsia="zh-CN" w:bidi="ar"/>
        </w:rPr>
        <w:t>每年对珠海老字号进行抽查，特殊情况随机检查。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pacing w:val="-6"/>
          <w:sz w:val="21"/>
          <w:szCs w:val="21"/>
          <w:highlight w:val="none"/>
        </w:rPr>
      </w:pPr>
      <w:r>
        <w:rPr>
          <w:rFonts w:hint="eastAsia" w:ascii="黑体" w:hAnsi="宋体" w:eastAsia="黑体" w:cs="黑体"/>
          <w:i w:val="0"/>
          <w:iCs w:val="0"/>
          <w:caps w:val="0"/>
          <w:color w:val="auto"/>
          <w:spacing w:val="-6"/>
          <w:kern w:val="0"/>
          <w:sz w:val="32"/>
          <w:szCs w:val="32"/>
          <w:highlight w:val="none"/>
          <w:lang w:val="en-US" w:eastAsia="zh-CN" w:bidi="ar"/>
        </w:rPr>
        <w:t>第二十二条 </w:t>
      </w:r>
      <w:r>
        <w:rPr>
          <w:rFonts w:hint="eastAsia" w:ascii="仿宋_GB2312" w:eastAsia="仿宋_GB2312" w:cs="仿宋_GB2312"/>
          <w:i w:val="0"/>
          <w:iCs w:val="0"/>
          <w:caps w:val="0"/>
          <w:color w:val="auto"/>
          <w:spacing w:val="-6"/>
          <w:kern w:val="0"/>
          <w:sz w:val="32"/>
          <w:szCs w:val="32"/>
          <w:highlight w:val="none"/>
          <w:lang w:val="en-US" w:eastAsia="zh-CN" w:bidi="ar"/>
        </w:rPr>
        <w:t>市商务局</w:t>
      </w:r>
      <w:r>
        <w:rPr>
          <w:rFonts w:hint="eastAsia" w:ascii="仿宋_GB2312" w:hAnsi="Calibri" w:eastAsia="仿宋_GB2312" w:cs="仿宋_GB2312"/>
          <w:i w:val="0"/>
          <w:iCs w:val="0"/>
          <w:caps w:val="0"/>
          <w:color w:val="auto"/>
          <w:spacing w:val="-6"/>
          <w:kern w:val="0"/>
          <w:sz w:val="32"/>
          <w:szCs w:val="32"/>
          <w:highlight w:val="none"/>
          <w:lang w:val="en-US" w:eastAsia="zh-CN" w:bidi="ar"/>
        </w:rPr>
        <w:t>作出暂停或收回</w:t>
      </w:r>
      <w:r>
        <w:rPr>
          <w:rFonts w:hint="eastAsia" w:ascii="仿宋_GB2312" w:eastAsia="仿宋_GB2312" w:cs="仿宋_GB2312"/>
          <w:i w:val="0"/>
          <w:iCs w:val="0"/>
          <w:caps w:val="0"/>
          <w:color w:val="auto"/>
          <w:spacing w:val="-6"/>
          <w:kern w:val="0"/>
          <w:sz w:val="32"/>
          <w:szCs w:val="32"/>
          <w:highlight w:val="none"/>
          <w:lang w:val="en-US" w:eastAsia="zh-CN" w:bidi="ar"/>
        </w:rPr>
        <w:t>珠海</w:t>
      </w:r>
      <w:r>
        <w:rPr>
          <w:rFonts w:hint="eastAsia" w:ascii="仿宋_GB2312" w:hAnsi="Calibri" w:eastAsia="仿宋_GB2312" w:cs="仿宋_GB2312"/>
          <w:i w:val="0"/>
          <w:iCs w:val="0"/>
          <w:caps w:val="0"/>
          <w:color w:val="auto"/>
          <w:spacing w:val="-6"/>
          <w:kern w:val="0"/>
          <w:sz w:val="32"/>
          <w:szCs w:val="32"/>
          <w:highlight w:val="none"/>
          <w:lang w:val="en-US" w:eastAsia="zh-CN" w:bidi="ar"/>
        </w:rPr>
        <w:t>老字号标识使用权、移出</w:t>
      </w:r>
      <w:r>
        <w:rPr>
          <w:rFonts w:hint="eastAsia" w:ascii="仿宋_GB2312" w:eastAsia="仿宋_GB2312" w:cs="仿宋_GB2312"/>
          <w:i w:val="0"/>
          <w:iCs w:val="0"/>
          <w:caps w:val="0"/>
          <w:color w:val="auto"/>
          <w:spacing w:val="-6"/>
          <w:kern w:val="0"/>
          <w:sz w:val="32"/>
          <w:szCs w:val="32"/>
          <w:highlight w:val="none"/>
          <w:lang w:val="en-US" w:eastAsia="zh-CN" w:bidi="ar"/>
        </w:rPr>
        <w:t>珠海</w:t>
      </w:r>
      <w:r>
        <w:rPr>
          <w:rFonts w:hint="eastAsia" w:ascii="仿宋_GB2312" w:hAnsi="Calibri" w:eastAsia="仿宋_GB2312" w:cs="仿宋_GB2312"/>
          <w:i w:val="0"/>
          <w:iCs w:val="0"/>
          <w:caps w:val="0"/>
          <w:color w:val="auto"/>
          <w:spacing w:val="-6"/>
          <w:kern w:val="0"/>
          <w:sz w:val="32"/>
          <w:szCs w:val="32"/>
          <w:highlight w:val="none"/>
          <w:lang w:val="en-US" w:eastAsia="zh-CN" w:bidi="ar"/>
        </w:rPr>
        <w:t>老字号名录决定的，应当事先告知拟作出决定的内容并听取当事人的陈述和申辩，在市商务局官方网站公布最终处理结果。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被移出</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老字号名录的，自决定作出之日起</w:t>
      </w:r>
      <w:r>
        <w:rPr>
          <w:rFonts w:hint="eastAsia" w:ascii="仿宋_GB2312" w:eastAsia="仿宋_GB2312" w:cs="仿宋_GB2312"/>
          <w:i w:val="0"/>
          <w:iCs w:val="0"/>
          <w:caps w:val="0"/>
          <w:color w:val="auto"/>
          <w:spacing w:val="0"/>
          <w:kern w:val="0"/>
          <w:sz w:val="32"/>
          <w:szCs w:val="32"/>
          <w:highlight w:val="none"/>
          <w:lang w:val="en-US" w:eastAsia="zh-CN" w:bidi="ar"/>
        </w:rPr>
        <w:t>两个申报周期内</w:t>
      </w:r>
      <w:r>
        <w:rPr>
          <w:rFonts w:hint="eastAsia" w:ascii="仿宋_GB2312" w:hAnsi="Calibri" w:eastAsia="仿宋_GB2312" w:cs="仿宋_GB2312"/>
          <w:i w:val="0"/>
          <w:iCs w:val="0"/>
          <w:caps w:val="0"/>
          <w:color w:val="auto"/>
          <w:spacing w:val="0"/>
          <w:kern w:val="0"/>
          <w:sz w:val="32"/>
          <w:szCs w:val="32"/>
          <w:highlight w:val="none"/>
          <w:lang w:val="en-US" w:eastAsia="zh-CN" w:bidi="ar"/>
        </w:rPr>
        <w:t>不得再次申报</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第五章</w:t>
      </w:r>
      <w:r>
        <w:rPr>
          <w:rFonts w:hint="eastAsia" w:ascii="黑体" w:hAnsi="宋体" w:eastAsia="黑体" w:cs="黑体"/>
          <w:i w:val="0"/>
          <w:iCs w:val="0"/>
          <w:caps w:val="0"/>
          <w:color w:val="auto"/>
          <w:spacing w:val="0"/>
          <w:kern w:val="0"/>
          <w:sz w:val="32"/>
          <w:szCs w:val="32"/>
          <w:highlight w:val="none"/>
          <w:lang w:val="en-US" w:eastAsia="zh" w:bidi="ar"/>
        </w:rPr>
        <w:t>　</w:t>
      </w:r>
      <w:r>
        <w:rPr>
          <w:rFonts w:hint="eastAsia" w:ascii="黑体" w:hAnsi="宋体" w:eastAsia="黑体" w:cs="黑体"/>
          <w:i w:val="0"/>
          <w:iCs w:val="0"/>
          <w:caps w:val="0"/>
          <w:color w:val="auto"/>
          <w:spacing w:val="0"/>
          <w:kern w:val="0"/>
          <w:sz w:val="32"/>
          <w:szCs w:val="32"/>
          <w:highlight w:val="none"/>
          <w:lang w:val="en-US" w:eastAsia="zh-CN" w:bidi="ar"/>
        </w:rPr>
        <w:t>其他</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黑体" w:hAnsi="宋体" w:eastAsia="黑体" w:cs="黑体"/>
          <w:i w:val="0"/>
          <w:iCs w:val="0"/>
          <w:caps w:val="0"/>
          <w:color w:val="auto"/>
          <w:spacing w:val="0"/>
          <w:kern w:val="0"/>
          <w:sz w:val="32"/>
          <w:szCs w:val="32"/>
          <w:highlight w:val="none"/>
          <w:lang w:val="en-US" w:eastAsia="zh-CN" w:bidi="ar"/>
        </w:rPr>
        <w:t>第二十三条 </w:t>
      </w:r>
      <w:r>
        <w:rPr>
          <w:rFonts w:hint="eastAsia" w:ascii="仿宋_GB2312" w:eastAsia="仿宋_GB2312" w:cs="仿宋_GB2312"/>
          <w:i w:val="0"/>
          <w:iCs w:val="0"/>
          <w:caps w:val="0"/>
          <w:color w:val="auto"/>
          <w:spacing w:val="0"/>
          <w:kern w:val="0"/>
          <w:sz w:val="32"/>
          <w:szCs w:val="32"/>
          <w:highlight w:val="none"/>
          <w:lang w:val="en-US" w:eastAsia="zh-CN" w:bidi="ar"/>
        </w:rPr>
        <w:t>各级</w:t>
      </w:r>
      <w:r>
        <w:rPr>
          <w:rFonts w:hint="eastAsia" w:ascii="仿宋_GB2312" w:hAnsi="Calibri" w:eastAsia="仿宋_GB2312" w:cs="仿宋_GB2312"/>
          <w:i w:val="0"/>
          <w:iCs w:val="0"/>
          <w:caps w:val="0"/>
          <w:color w:val="auto"/>
          <w:spacing w:val="0"/>
          <w:kern w:val="0"/>
          <w:sz w:val="32"/>
          <w:szCs w:val="32"/>
          <w:highlight w:val="none"/>
          <w:lang w:val="en-US" w:eastAsia="zh-CN" w:bidi="ar"/>
        </w:rPr>
        <w:t>相关部门</w:t>
      </w:r>
      <w:r>
        <w:rPr>
          <w:rFonts w:hint="eastAsia" w:ascii="仿宋_GB2312" w:eastAsia="仿宋_GB2312" w:cs="仿宋_GB2312"/>
          <w:i w:val="0"/>
          <w:iCs w:val="0"/>
          <w:caps w:val="0"/>
          <w:color w:val="auto"/>
          <w:spacing w:val="0"/>
          <w:kern w:val="0"/>
          <w:sz w:val="32"/>
          <w:szCs w:val="32"/>
          <w:highlight w:val="none"/>
          <w:lang w:val="en-US" w:eastAsia="zh-CN" w:bidi="ar"/>
        </w:rPr>
        <w:t>应</w:t>
      </w:r>
      <w:r>
        <w:rPr>
          <w:rFonts w:hint="eastAsia" w:ascii="仿宋_GB2312" w:hAnsi="Calibri" w:eastAsia="仿宋_GB2312" w:cs="仿宋_GB2312"/>
          <w:i w:val="0"/>
          <w:iCs w:val="0"/>
          <w:caps w:val="0"/>
          <w:color w:val="auto"/>
          <w:spacing w:val="0"/>
          <w:kern w:val="0"/>
          <w:sz w:val="32"/>
          <w:szCs w:val="32"/>
          <w:highlight w:val="none"/>
          <w:lang w:val="en-US" w:eastAsia="zh-CN" w:bidi="ar"/>
        </w:rPr>
        <w:t>加强对本区域内老字号知识产权、文化遗产的保护，为老字号文化传承、技艺改造、改革创新提供政策</w:t>
      </w:r>
      <w:r>
        <w:rPr>
          <w:rFonts w:hint="eastAsia" w:ascii="仿宋_GB2312" w:eastAsia="仿宋_GB2312" w:cs="仿宋_GB2312"/>
          <w:i w:val="0"/>
          <w:iCs w:val="0"/>
          <w:caps w:val="0"/>
          <w:color w:val="auto"/>
          <w:spacing w:val="0"/>
          <w:kern w:val="0"/>
          <w:sz w:val="32"/>
          <w:szCs w:val="32"/>
          <w:highlight w:val="none"/>
          <w:lang w:val="en-US" w:eastAsia="zh-CN" w:bidi="ar"/>
        </w:rPr>
        <w:t>和资金扶持，支持农村地区老字号品牌的培育与发展，</w:t>
      </w:r>
      <w:r>
        <w:rPr>
          <w:rFonts w:hint="eastAsia" w:ascii="仿宋_GB2312" w:hAnsi="Calibri" w:eastAsia="仿宋_GB2312" w:cs="仿宋_GB2312"/>
          <w:i w:val="0"/>
          <w:iCs w:val="0"/>
          <w:caps w:val="0"/>
          <w:color w:val="auto"/>
          <w:spacing w:val="0"/>
          <w:kern w:val="0"/>
          <w:sz w:val="32"/>
          <w:szCs w:val="32"/>
          <w:highlight w:val="none"/>
          <w:lang w:val="en-US" w:eastAsia="zh-CN" w:bidi="ar"/>
        </w:rPr>
        <w:t>组织开展老字号宣传推广活动。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黑体" w:hAnsi="宋体" w:eastAsia="黑体" w:cs="黑体"/>
          <w:i w:val="0"/>
          <w:iCs w:val="0"/>
          <w:caps w:val="0"/>
          <w:color w:val="auto"/>
          <w:spacing w:val="0"/>
          <w:kern w:val="0"/>
          <w:sz w:val="32"/>
          <w:szCs w:val="32"/>
          <w:highlight w:val="none"/>
          <w:lang w:val="en-US" w:eastAsia="zh-CN" w:bidi="ar"/>
        </w:rPr>
        <w:t>第二十四条  </w:t>
      </w:r>
      <w:r>
        <w:rPr>
          <w:rFonts w:hint="eastAsia" w:ascii="仿宋_GB2312" w:eastAsia="仿宋_GB2312" w:cs="仿宋_GB2312"/>
          <w:i w:val="0"/>
          <w:iCs w:val="0"/>
          <w:caps w:val="0"/>
          <w:color w:val="auto"/>
          <w:spacing w:val="0"/>
          <w:kern w:val="0"/>
          <w:sz w:val="32"/>
          <w:szCs w:val="32"/>
          <w:highlight w:val="none"/>
          <w:lang w:val="en-US" w:eastAsia="zh-CN" w:bidi="ar"/>
        </w:rPr>
        <w:t>各区及</w:t>
      </w:r>
      <w:r>
        <w:rPr>
          <w:rFonts w:hint="eastAsia" w:ascii="仿宋_GB2312" w:hAnsi="Calibri" w:eastAsia="仿宋_GB2312" w:cs="仿宋_GB2312"/>
          <w:i w:val="0"/>
          <w:iCs w:val="0"/>
          <w:caps w:val="0"/>
          <w:color w:val="auto"/>
          <w:spacing w:val="0"/>
          <w:kern w:val="0"/>
          <w:sz w:val="32"/>
          <w:szCs w:val="32"/>
          <w:highlight w:val="none"/>
          <w:lang w:val="en-US" w:eastAsia="zh-CN" w:bidi="ar"/>
        </w:rPr>
        <w:t>相关部门</w:t>
      </w:r>
      <w:r>
        <w:rPr>
          <w:rFonts w:hint="eastAsia" w:ascii="仿宋_GB2312" w:eastAsia="仿宋_GB2312" w:cs="仿宋_GB2312"/>
          <w:i w:val="0"/>
          <w:iCs w:val="0"/>
          <w:caps w:val="0"/>
          <w:color w:val="auto"/>
          <w:spacing w:val="0"/>
          <w:kern w:val="0"/>
          <w:sz w:val="32"/>
          <w:szCs w:val="32"/>
          <w:highlight w:val="none"/>
          <w:lang w:val="en-US" w:eastAsia="zh-CN" w:bidi="ar"/>
        </w:rPr>
        <w:t>应积极推动珠海老字号企业创新发展。</w:t>
      </w:r>
      <w:r>
        <w:rPr>
          <w:rFonts w:hint="eastAsia" w:ascii="仿宋_GB2312" w:hAnsi="仿宋_GB2312" w:eastAsia="仿宋_GB2312" w:cs="仿宋_GB2312"/>
          <w:b w:val="0"/>
          <w:bCs w:val="0"/>
          <w:color w:val="auto"/>
          <w:sz w:val="32"/>
          <w:szCs w:val="32"/>
          <w:highlight w:val="none"/>
          <w:lang w:eastAsia="zh-CN"/>
        </w:rPr>
        <w:t>宣传“一品牌一故事”，利用新闻、电视宣传、互联网媒体宣传老字号企业发展史料和典型案例，宣传一批符合条件的老字号代表性传承人。市商务局部门应结合</w:t>
      </w:r>
      <w:r>
        <w:rPr>
          <w:rFonts w:hint="eastAsia" w:ascii="仿宋_GB2312" w:hAnsi="仿宋_GB2312" w:eastAsia="仿宋_GB2312" w:cs="仿宋_GB2312"/>
          <w:b w:val="0"/>
          <w:bCs w:val="0"/>
          <w:color w:val="auto"/>
          <w:sz w:val="32"/>
          <w:szCs w:val="32"/>
          <w:highlight w:val="none"/>
          <w:lang w:val="en-US" w:eastAsia="zh-CN"/>
        </w:rPr>
        <w:t>珠海</w:t>
      </w:r>
      <w:r>
        <w:rPr>
          <w:rFonts w:hint="eastAsia" w:ascii="仿宋_GB2312" w:hAnsi="仿宋_GB2312" w:eastAsia="仿宋_GB2312" w:cs="仿宋_GB2312"/>
          <w:b w:val="0"/>
          <w:bCs w:val="0"/>
          <w:color w:val="auto"/>
          <w:sz w:val="32"/>
          <w:szCs w:val="32"/>
          <w:highlight w:val="none"/>
          <w:lang w:eastAsia="zh-CN"/>
        </w:rPr>
        <w:t>特色民俗，</w:t>
      </w:r>
      <w:r>
        <w:rPr>
          <w:rFonts w:hint="eastAsia" w:ascii="仿宋_GB2312" w:hAnsi="仿宋_GB2312" w:eastAsia="仿宋_GB2312" w:cs="仿宋_GB2312"/>
          <w:color w:val="auto"/>
          <w:sz w:val="32"/>
          <w:szCs w:val="32"/>
          <w:highlight w:val="none"/>
        </w:rPr>
        <w:t>通过</w:t>
      </w:r>
      <w:r>
        <w:rPr>
          <w:rFonts w:hint="eastAsia" w:ascii="仿宋_GB2312" w:hAnsi="仿宋_GB2312" w:eastAsia="仿宋_GB2312" w:cs="仿宋_GB2312"/>
          <w:color w:val="auto"/>
          <w:sz w:val="32"/>
          <w:szCs w:val="32"/>
          <w:highlight w:val="none"/>
          <w:lang w:val="en-US" w:eastAsia="zh-CN"/>
        </w:rPr>
        <w:t>珠海</w:t>
      </w:r>
      <w:r>
        <w:rPr>
          <w:rFonts w:hint="eastAsia" w:ascii="仿宋_GB2312" w:hAnsi="仿宋_GB2312" w:eastAsia="仿宋_GB2312" w:cs="仿宋_GB2312"/>
          <w:color w:val="auto"/>
          <w:sz w:val="32"/>
          <w:szCs w:val="32"/>
          <w:highlight w:val="none"/>
        </w:rPr>
        <w:t>美食节、</w:t>
      </w:r>
      <w:r>
        <w:rPr>
          <w:rFonts w:hint="eastAsia" w:ascii="仿宋_GB2312" w:hAnsi="仿宋_GB2312" w:eastAsia="仿宋_GB2312" w:cs="仿宋_GB2312"/>
          <w:color w:val="auto"/>
          <w:sz w:val="32"/>
          <w:szCs w:val="32"/>
          <w:highlight w:val="none"/>
          <w:lang w:val="en-US" w:eastAsia="zh-CN"/>
        </w:rPr>
        <w:t>旅游文化节</w:t>
      </w:r>
      <w:r>
        <w:rPr>
          <w:rFonts w:hint="eastAsia" w:ascii="仿宋_GB2312" w:hAnsi="仿宋_GB2312" w:eastAsia="仿宋_GB2312" w:cs="仿宋_GB2312"/>
          <w:color w:val="auto"/>
          <w:sz w:val="32"/>
          <w:szCs w:val="32"/>
          <w:highlight w:val="none"/>
        </w:rPr>
        <w:t>等活动，</w:t>
      </w:r>
      <w:r>
        <w:rPr>
          <w:rFonts w:hint="eastAsia" w:ascii="仿宋_GB2312" w:hAnsi="仿宋_GB2312" w:eastAsia="仿宋_GB2312" w:cs="仿宋_GB2312"/>
          <w:b w:val="0"/>
          <w:bCs w:val="0"/>
          <w:color w:val="auto"/>
          <w:sz w:val="32"/>
          <w:szCs w:val="32"/>
          <w:highlight w:val="none"/>
          <w:lang w:eastAsia="zh-CN"/>
        </w:rPr>
        <w:t>专设珠海老字号展览展销和文化体验活动，并给予展位优惠；</w:t>
      </w:r>
      <w:r>
        <w:rPr>
          <w:rFonts w:hint="eastAsia" w:ascii="仿宋_GB2312" w:hAnsi="仿宋_GB2312" w:eastAsia="仿宋_GB2312" w:cs="仿宋_GB2312"/>
          <w:i w:val="0"/>
          <w:iCs w:val="0"/>
          <w:caps w:val="0"/>
          <w:color w:val="auto"/>
          <w:spacing w:val="0"/>
          <w:kern w:val="0"/>
          <w:sz w:val="32"/>
          <w:szCs w:val="32"/>
          <w:highlight w:val="none"/>
          <w:lang w:val="en-US" w:eastAsia="zh-CN" w:bidi="ar"/>
        </w:rPr>
        <w:t>开展专项促消费活动，派发专项消费券，优先邀请珠海老字号企业参加，助力老字号打开消费市场；</w:t>
      </w:r>
      <w:r>
        <w:rPr>
          <w:rFonts w:hint="eastAsia" w:ascii="仿宋_GB2312" w:hAnsi="仿宋_GB2312" w:eastAsia="仿宋_GB2312" w:cs="仿宋_GB2312"/>
          <w:b w:val="0"/>
          <w:bCs w:val="0"/>
          <w:color w:val="auto"/>
          <w:sz w:val="32"/>
          <w:szCs w:val="32"/>
          <w:highlight w:val="none"/>
          <w:lang w:val="en-US" w:eastAsia="zh-CN"/>
        </w:rPr>
        <w:t>结合珠海市外向型经济比较发达的特点，应</w:t>
      </w:r>
      <w:r>
        <w:rPr>
          <w:rFonts w:hint="eastAsia" w:ascii="仿宋_GB2312" w:hAnsi="仿宋_GB2312" w:eastAsia="仿宋_GB2312" w:cs="仿宋_GB2312"/>
          <w:color w:val="auto"/>
          <w:sz w:val="32"/>
          <w:szCs w:val="32"/>
          <w:highlight w:val="none"/>
          <w:lang w:val="en-US" w:eastAsia="zh-CN"/>
        </w:rPr>
        <w:t>支持符合条件的老字号企业参加境外专业展会，积极宣传推广老字号品牌,积极为老字号企业“走出去”、开拓国际市场提供便利和</w:t>
      </w:r>
      <w:r>
        <w:rPr>
          <w:rFonts w:hint="eastAsia" w:ascii="仿宋_GB2312" w:hAnsi="Calibri" w:eastAsia="仿宋_GB2312" w:cs="仿宋_GB2312"/>
          <w:i w:val="0"/>
          <w:iCs w:val="0"/>
          <w:caps w:val="0"/>
          <w:color w:val="auto"/>
          <w:spacing w:val="0"/>
          <w:kern w:val="0"/>
          <w:sz w:val="32"/>
          <w:szCs w:val="32"/>
          <w:highlight w:val="none"/>
          <w:lang w:val="en-US" w:eastAsia="zh-CN" w:bidi="ar"/>
        </w:rPr>
        <w:t>扶持。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olor w:val="auto"/>
          <w:sz w:val="21"/>
          <w:szCs w:val="21"/>
          <w:highlight w:val="none"/>
        </w:rPr>
      </w:pPr>
      <w:r>
        <w:rPr>
          <w:rFonts w:hint="eastAsia" w:ascii="黑体" w:hAnsi="宋体" w:eastAsia="黑体" w:cs="黑体"/>
          <w:i w:val="0"/>
          <w:iCs w:val="0"/>
          <w:caps w:val="0"/>
          <w:color w:val="auto"/>
          <w:spacing w:val="0"/>
          <w:kern w:val="0"/>
          <w:sz w:val="32"/>
          <w:szCs w:val="32"/>
          <w:highlight w:val="none"/>
          <w:lang w:val="en-US" w:eastAsia="zh-CN" w:bidi="ar"/>
        </w:rPr>
        <w:t xml:space="preserve">第二十五条  </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老字号企业违反《</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老字号标识和牌匾使用规定》的，</w:t>
      </w:r>
      <w:r>
        <w:rPr>
          <w:rFonts w:hint="eastAsia" w:ascii="仿宋_GB2312" w:eastAsia="仿宋_GB2312" w:cs="仿宋_GB2312"/>
          <w:i w:val="0"/>
          <w:iCs w:val="0"/>
          <w:caps w:val="0"/>
          <w:color w:val="auto"/>
          <w:spacing w:val="0"/>
          <w:kern w:val="0"/>
          <w:sz w:val="32"/>
          <w:szCs w:val="32"/>
          <w:highlight w:val="none"/>
          <w:lang w:val="en-US" w:eastAsia="zh-CN" w:bidi="ar"/>
        </w:rPr>
        <w:t>各级商务部门</w:t>
      </w:r>
      <w:r>
        <w:rPr>
          <w:rFonts w:hint="eastAsia" w:ascii="仿宋_GB2312" w:hAnsi="Calibri" w:eastAsia="仿宋_GB2312" w:cs="仿宋_GB2312"/>
          <w:i w:val="0"/>
          <w:iCs w:val="0"/>
          <w:caps w:val="0"/>
          <w:color w:val="auto"/>
          <w:spacing w:val="0"/>
          <w:kern w:val="0"/>
          <w:sz w:val="32"/>
          <w:szCs w:val="32"/>
          <w:highlight w:val="none"/>
          <w:lang w:val="en-US" w:eastAsia="zh-CN" w:bidi="ar"/>
        </w:rPr>
        <w:t>可依据本办法采取相关措施。</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任何单位或个人冒用或滥用</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老字号标识或牌匾，</w:t>
      </w:r>
      <w:r>
        <w:rPr>
          <w:rFonts w:hint="eastAsia" w:ascii="仿宋_GB2312" w:eastAsia="仿宋_GB2312" w:cs="仿宋_GB2312"/>
          <w:i w:val="0"/>
          <w:iCs w:val="0"/>
          <w:caps w:val="0"/>
          <w:color w:val="auto"/>
          <w:spacing w:val="0"/>
          <w:kern w:val="0"/>
          <w:sz w:val="32"/>
          <w:szCs w:val="32"/>
          <w:highlight w:val="none"/>
          <w:lang w:val="en-US" w:eastAsia="zh-CN" w:bidi="ar"/>
        </w:rPr>
        <w:t>并</w:t>
      </w:r>
      <w:r>
        <w:rPr>
          <w:rFonts w:hint="eastAsia" w:ascii="仿宋_GB2312" w:hAnsi="Calibri" w:eastAsia="仿宋_GB2312" w:cs="仿宋_GB2312"/>
          <w:i w:val="0"/>
          <w:iCs w:val="0"/>
          <w:caps w:val="0"/>
          <w:color w:val="auto"/>
          <w:spacing w:val="0"/>
          <w:kern w:val="0"/>
          <w:sz w:val="32"/>
          <w:szCs w:val="32"/>
          <w:highlight w:val="none"/>
          <w:lang w:val="en-US" w:eastAsia="zh-CN" w:bidi="ar"/>
        </w:rPr>
        <w:t>违反《中华人民共和国商标法》《中华人民共和国反不正当竞争法》《中华人民共和国广告法》等法律法规的，</w:t>
      </w:r>
      <w:r>
        <w:rPr>
          <w:rFonts w:hint="eastAsia" w:ascii="仿宋_GB2312" w:eastAsia="仿宋_GB2312" w:cs="仿宋_GB2312"/>
          <w:i w:val="0"/>
          <w:iCs w:val="0"/>
          <w:caps w:val="0"/>
          <w:color w:val="auto"/>
          <w:spacing w:val="0"/>
          <w:kern w:val="0"/>
          <w:sz w:val="32"/>
          <w:szCs w:val="32"/>
          <w:highlight w:val="none"/>
          <w:lang w:val="en-US" w:eastAsia="zh-CN" w:bidi="ar"/>
        </w:rPr>
        <w:t>相关部门应</w:t>
      </w:r>
      <w:r>
        <w:rPr>
          <w:rFonts w:hint="eastAsia" w:ascii="仿宋_GB2312" w:hAnsi="Calibri" w:eastAsia="仿宋_GB2312" w:cs="仿宋_GB2312"/>
          <w:i w:val="0"/>
          <w:iCs w:val="0"/>
          <w:caps w:val="0"/>
          <w:color w:val="auto"/>
          <w:spacing w:val="0"/>
          <w:kern w:val="0"/>
          <w:sz w:val="32"/>
          <w:szCs w:val="32"/>
          <w:highlight w:val="none"/>
          <w:lang w:val="en-US" w:eastAsia="zh-CN" w:bidi="ar"/>
        </w:rPr>
        <w:t>依法依规</w:t>
      </w:r>
      <w:r>
        <w:rPr>
          <w:rFonts w:hint="eastAsia" w:ascii="仿宋_GB2312" w:eastAsia="仿宋_GB2312" w:cs="仿宋_GB2312"/>
          <w:i w:val="0"/>
          <w:iCs w:val="0"/>
          <w:caps w:val="0"/>
          <w:color w:val="auto"/>
          <w:spacing w:val="0"/>
          <w:kern w:val="0"/>
          <w:sz w:val="32"/>
          <w:szCs w:val="32"/>
          <w:highlight w:val="none"/>
          <w:lang w:val="en-US" w:eastAsia="zh-CN" w:bidi="ar"/>
        </w:rPr>
        <w:t>对其</w:t>
      </w:r>
      <w:r>
        <w:rPr>
          <w:rFonts w:hint="eastAsia" w:ascii="仿宋_GB2312" w:hAnsi="Calibri" w:eastAsia="仿宋_GB2312" w:cs="仿宋_GB2312"/>
          <w:i w:val="0"/>
          <w:iCs w:val="0"/>
          <w:caps w:val="0"/>
          <w:color w:val="auto"/>
          <w:spacing w:val="0"/>
          <w:kern w:val="0"/>
          <w:sz w:val="32"/>
          <w:szCs w:val="32"/>
          <w:highlight w:val="none"/>
          <w:lang w:val="en-US" w:eastAsia="zh-CN" w:bidi="ar"/>
        </w:rPr>
        <w:t>进行查处。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黑体" w:hAnsi="宋体" w:eastAsia="黑体" w:cs="黑体"/>
          <w:i w:val="0"/>
          <w:iCs w:val="0"/>
          <w:caps w:val="0"/>
          <w:color w:val="auto"/>
          <w:spacing w:val="0"/>
          <w:kern w:val="0"/>
          <w:sz w:val="32"/>
          <w:szCs w:val="32"/>
          <w:highlight w:val="none"/>
          <w:lang w:val="en-US" w:eastAsia="zh-CN" w:bidi="ar"/>
        </w:rPr>
      </w:pPr>
      <w:r>
        <w:rPr>
          <w:rFonts w:hint="eastAsia" w:ascii="黑体" w:hAnsi="宋体" w:eastAsia="黑体" w:cs="黑体"/>
          <w:i w:val="0"/>
          <w:iCs w:val="0"/>
          <w:caps w:val="0"/>
          <w:color w:val="auto"/>
          <w:spacing w:val="0"/>
          <w:kern w:val="0"/>
          <w:sz w:val="32"/>
          <w:szCs w:val="32"/>
          <w:highlight w:val="none"/>
          <w:lang w:val="en-US" w:eastAsia="zh-CN" w:bidi="ar"/>
        </w:rPr>
        <w:t xml:space="preserve">第二十六条 </w:t>
      </w:r>
      <w:r>
        <w:rPr>
          <w:rFonts w:hint="eastAsia" w:ascii="仿宋_GB2312" w:hAnsi="Calibri" w:eastAsia="仿宋_GB2312" w:cs="仿宋_GB2312"/>
          <w:i w:val="0"/>
          <w:iCs w:val="0"/>
          <w:caps w:val="0"/>
          <w:color w:val="auto"/>
          <w:spacing w:val="0"/>
          <w:kern w:val="0"/>
          <w:sz w:val="32"/>
          <w:szCs w:val="32"/>
          <w:highlight w:val="none"/>
          <w:lang w:val="en-US" w:eastAsia="zh-CN" w:bidi="ar"/>
        </w:rPr>
        <w:t>本办法实施前，已经商务部认定为“中华老字号”</w:t>
      </w:r>
      <w:r>
        <w:rPr>
          <w:rFonts w:hint="eastAsia" w:ascii="仿宋_GB2312" w:eastAsia="仿宋_GB2312" w:cs="仿宋_GB2312"/>
          <w:i w:val="0"/>
          <w:iCs w:val="0"/>
          <w:caps w:val="0"/>
          <w:color w:val="auto"/>
          <w:spacing w:val="0"/>
          <w:kern w:val="0"/>
          <w:sz w:val="32"/>
          <w:szCs w:val="32"/>
          <w:highlight w:val="none"/>
          <w:lang w:val="en-US" w:eastAsia="zh-CN" w:bidi="ar"/>
        </w:rPr>
        <w:t>、省商务厅认定为“广东老字号”</w:t>
      </w:r>
      <w:r>
        <w:rPr>
          <w:rFonts w:hint="eastAsia" w:ascii="仿宋_GB2312" w:hAnsi="Calibri" w:eastAsia="仿宋_GB2312" w:cs="仿宋_GB2312"/>
          <w:i w:val="0"/>
          <w:iCs w:val="0"/>
          <w:caps w:val="0"/>
          <w:color w:val="auto"/>
          <w:spacing w:val="0"/>
          <w:kern w:val="0"/>
          <w:sz w:val="32"/>
          <w:szCs w:val="32"/>
          <w:highlight w:val="none"/>
          <w:lang w:val="en-US" w:eastAsia="zh-CN" w:bidi="ar"/>
        </w:rPr>
        <w:t>的，自动列入</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 xml:space="preserve">老字号名录，按照本办法管理。   </w:t>
      </w:r>
      <w:r>
        <w:rPr>
          <w:rFonts w:hint="eastAsia" w:ascii="黑体" w:hAnsi="宋体" w:eastAsia="黑体" w:cs="黑体"/>
          <w:i w:val="0"/>
          <w:iCs w:val="0"/>
          <w:caps w:val="0"/>
          <w:color w:val="auto"/>
          <w:spacing w:val="0"/>
          <w:kern w:val="0"/>
          <w:sz w:val="32"/>
          <w:szCs w:val="32"/>
          <w:highlight w:val="none"/>
          <w:lang w:val="en-US" w:eastAsia="zh-CN" w:bidi="ar"/>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黑体" w:hAnsi="宋体" w:eastAsia="黑体" w:cs="黑体"/>
          <w:i w:val="0"/>
          <w:iCs w:val="0"/>
          <w:caps w:val="0"/>
          <w:color w:val="auto"/>
          <w:spacing w:val="0"/>
          <w:kern w:val="0"/>
          <w:sz w:val="32"/>
          <w:szCs w:val="32"/>
          <w:highlight w:val="none"/>
          <w:lang w:val="en-US" w:eastAsia="zh-CN" w:bidi="ar"/>
        </w:rPr>
        <w:t>第二十七条 </w:t>
      </w:r>
      <w:r>
        <w:rPr>
          <w:rFonts w:hint="eastAsia" w:ascii="仿宋_GB2312" w:hAnsi="Calibri" w:eastAsia="仿宋_GB2312" w:cs="仿宋_GB2312"/>
          <w:i w:val="0"/>
          <w:iCs w:val="0"/>
          <w:caps w:val="0"/>
          <w:color w:val="auto"/>
          <w:spacing w:val="0"/>
          <w:kern w:val="0"/>
          <w:sz w:val="32"/>
          <w:szCs w:val="32"/>
          <w:highlight w:val="none"/>
          <w:lang w:val="en-US" w:eastAsia="zh-CN" w:bidi="ar"/>
        </w:rPr>
        <w:t>本办法由</w:t>
      </w:r>
      <w:r>
        <w:rPr>
          <w:rFonts w:hint="eastAsia" w:ascii="仿宋_GB2312" w:eastAsia="仿宋_GB2312" w:cs="仿宋_GB2312"/>
          <w:i w:val="0"/>
          <w:iCs w:val="0"/>
          <w:caps w:val="0"/>
          <w:color w:val="auto"/>
          <w:spacing w:val="0"/>
          <w:kern w:val="0"/>
          <w:sz w:val="32"/>
          <w:szCs w:val="32"/>
          <w:highlight w:val="none"/>
          <w:lang w:val="en-US" w:eastAsia="zh-CN" w:bidi="ar"/>
        </w:rPr>
        <w:t>珠海市商务局</w:t>
      </w:r>
      <w:r>
        <w:rPr>
          <w:rFonts w:hint="eastAsia" w:ascii="仿宋_GB2312" w:hAnsi="Calibri" w:eastAsia="仿宋_GB2312" w:cs="仿宋_GB2312"/>
          <w:i w:val="0"/>
          <w:iCs w:val="0"/>
          <w:caps w:val="0"/>
          <w:color w:val="auto"/>
          <w:spacing w:val="0"/>
          <w:kern w:val="0"/>
          <w:sz w:val="32"/>
          <w:szCs w:val="32"/>
          <w:highlight w:val="none"/>
          <w:lang w:val="en-US" w:eastAsia="zh-CN" w:bidi="ar"/>
        </w:rPr>
        <w:t>负责解释。</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lang w:val="en-US" w:eastAsia="zh-CN" w:bidi="ar"/>
        </w:rPr>
      </w:pPr>
      <w:r>
        <w:rPr>
          <w:rFonts w:hint="eastAsia" w:ascii="黑体" w:hAnsi="宋体" w:eastAsia="黑体" w:cs="黑体"/>
          <w:i w:val="0"/>
          <w:iCs w:val="0"/>
          <w:caps w:val="0"/>
          <w:color w:val="auto"/>
          <w:spacing w:val="0"/>
          <w:kern w:val="0"/>
          <w:sz w:val="32"/>
          <w:szCs w:val="32"/>
          <w:highlight w:val="none"/>
          <w:lang w:val="en-US" w:eastAsia="zh-CN" w:bidi="ar"/>
        </w:rPr>
        <w:t>第二十八条 </w:t>
      </w:r>
      <w:r>
        <w:rPr>
          <w:rFonts w:hint="eastAsia" w:ascii="仿宋_GB2312" w:hAnsi="Calibri" w:eastAsia="仿宋_GB2312" w:cs="仿宋_GB2312"/>
          <w:i w:val="0"/>
          <w:iCs w:val="0"/>
          <w:caps w:val="0"/>
          <w:color w:val="auto"/>
          <w:spacing w:val="0"/>
          <w:kern w:val="0"/>
          <w:sz w:val="32"/>
          <w:szCs w:val="32"/>
          <w:highlight w:val="none"/>
          <w:lang w:val="en-US" w:eastAsia="zh-CN" w:bidi="ar"/>
        </w:rPr>
        <w:t>本办法自</w:t>
      </w:r>
      <w:r>
        <w:rPr>
          <w:rFonts w:hint="eastAsia" w:ascii="仿宋_GB2312" w:eastAsia="仿宋_GB2312" w:cs="仿宋_GB2312"/>
          <w:i w:val="0"/>
          <w:iCs w:val="0"/>
          <w:caps w:val="0"/>
          <w:color w:val="auto"/>
          <w:spacing w:val="0"/>
          <w:kern w:val="0"/>
          <w:sz w:val="32"/>
          <w:szCs w:val="32"/>
          <w:highlight w:val="none"/>
          <w:lang w:val="en-US" w:eastAsia="zh-CN" w:bidi="ar"/>
        </w:rPr>
        <w:t>发布之日</w:t>
      </w:r>
      <w:r>
        <w:rPr>
          <w:rFonts w:hint="eastAsia" w:ascii="仿宋_GB2312" w:hAnsi="Calibri" w:eastAsia="仿宋_GB2312" w:cs="仿宋_GB2312"/>
          <w:i w:val="0"/>
          <w:iCs w:val="0"/>
          <w:caps w:val="0"/>
          <w:color w:val="auto"/>
          <w:spacing w:val="0"/>
          <w:kern w:val="0"/>
          <w:sz w:val="32"/>
          <w:szCs w:val="32"/>
          <w:highlight w:val="none"/>
          <w:lang w:val="en-US" w:eastAsia="zh-CN" w:bidi="ar"/>
        </w:rPr>
        <w:t>起施行</w:t>
      </w:r>
      <w:r>
        <w:rPr>
          <w:rFonts w:hint="eastAsia" w:ascii="仿宋_GB2312" w:eastAsia="仿宋_GB2312" w:cs="仿宋_GB2312"/>
          <w:i w:val="0"/>
          <w:iCs w:val="0"/>
          <w:caps w:val="0"/>
          <w:color w:val="auto"/>
          <w:spacing w:val="0"/>
          <w:kern w:val="0"/>
          <w:sz w:val="32"/>
          <w:szCs w:val="32"/>
          <w:highlight w:val="none"/>
          <w:lang w:val="en-US" w:eastAsia="zh-CN" w:bidi="ar"/>
        </w:rPr>
        <w:t>，有效期五年</w:t>
      </w:r>
      <w:r>
        <w:rPr>
          <w:rFonts w:hint="eastAsia" w:ascii="仿宋_GB2312" w:hAnsi="Calibri" w:eastAsia="仿宋_GB2312" w:cs="仿宋_GB2312"/>
          <w:i w:val="0"/>
          <w:iCs w:val="0"/>
          <w:caps w:val="0"/>
          <w:color w:val="auto"/>
          <w:spacing w:val="0"/>
          <w:kern w:val="0"/>
          <w:sz w:val="32"/>
          <w:szCs w:val="32"/>
          <w:highlight w:val="none"/>
          <w:lang w:val="en-US" w:eastAsia="zh-CN" w:bidi="ar"/>
        </w:rPr>
        <w:t xml:space="preserve">。 </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hAnsi="Calibri" w:eastAsia="仿宋_GB2312" w:cs="仿宋_GB2312"/>
          <w:i w:val="0"/>
          <w:iCs w:val="0"/>
          <w:caps w:val="0"/>
          <w:color w:val="auto"/>
          <w:spacing w:val="0"/>
          <w:kern w:val="0"/>
          <w:sz w:val="32"/>
          <w:szCs w:val="32"/>
          <w:highlight w:val="none"/>
          <w:lang w:val="en-US" w:eastAsia="zh-CN" w:bidi="ar"/>
        </w:rPr>
        <w:t>附件：</w:t>
      </w:r>
      <w:r>
        <w:rPr>
          <w:rFonts w:hint="eastAsia" w:ascii="仿宋_GB2312" w:eastAsia="仿宋_GB2312" w:cs="仿宋_GB2312"/>
          <w:i w:val="0"/>
          <w:iCs w:val="0"/>
          <w:caps w:val="0"/>
          <w:color w:val="auto"/>
          <w:spacing w:val="0"/>
          <w:kern w:val="0"/>
          <w:sz w:val="32"/>
          <w:szCs w:val="32"/>
          <w:highlight w:val="none"/>
          <w:lang w:val="en-US" w:eastAsia="zh-CN" w:bidi="ar"/>
        </w:rPr>
        <w:t>1</w:t>
      </w:r>
      <w:r>
        <w:rPr>
          <w:rFonts w:hint="eastAsia" w:ascii="仿宋" w:hAnsi="仿宋" w:eastAsia="仿宋" w:cs="仿宋"/>
          <w:i w:val="0"/>
          <w:iCs w:val="0"/>
          <w:caps w:val="0"/>
          <w:color w:val="auto"/>
          <w:spacing w:val="0"/>
          <w:kern w:val="0"/>
          <w:sz w:val="32"/>
          <w:szCs w:val="32"/>
          <w:highlight w:val="none"/>
          <w:lang w:val="en-US" w:eastAsia="zh-CN" w:bidi="ar"/>
        </w:rPr>
        <w:t>．</w:t>
      </w:r>
      <w:r>
        <w:rPr>
          <w:rFonts w:hint="eastAsia" w:ascii="仿宋_GB2312" w:eastAsia="仿宋_GB2312" w:cs="仿宋_GB2312"/>
          <w:i w:val="0"/>
          <w:iCs w:val="0"/>
          <w:caps w:val="0"/>
          <w:color w:val="auto"/>
          <w:spacing w:val="0"/>
          <w:kern w:val="0"/>
          <w:sz w:val="32"/>
          <w:szCs w:val="32"/>
          <w:highlight w:val="none"/>
          <w:lang w:val="en-US" w:eastAsia="zh-CN" w:bidi="ar"/>
        </w:rPr>
        <w:t>珠海</w:t>
      </w:r>
      <w:r>
        <w:rPr>
          <w:rFonts w:hint="eastAsia" w:ascii="仿宋_GB2312" w:hAnsi="Calibri" w:eastAsia="仿宋_GB2312" w:cs="仿宋_GB2312"/>
          <w:i w:val="0"/>
          <w:iCs w:val="0"/>
          <w:caps w:val="0"/>
          <w:color w:val="auto"/>
          <w:spacing w:val="0"/>
          <w:kern w:val="0"/>
          <w:sz w:val="32"/>
          <w:szCs w:val="32"/>
          <w:highlight w:val="none"/>
          <w:lang w:val="en-US" w:eastAsia="zh-CN" w:bidi="ar"/>
        </w:rPr>
        <w:t>老字号标识和牌匾使用规定</w:t>
      </w:r>
    </w:p>
    <w:p>
      <w:pPr>
        <w:keepNext w:val="0"/>
        <w:keepLines w:val="0"/>
        <w:pageBreakBefore w:val="0"/>
        <w:kinsoku/>
        <w:wordWrap/>
        <w:overflowPunct/>
        <w:topLinePunct w:val="0"/>
        <w:autoSpaceDE/>
        <w:autoSpaceDN/>
        <w:bidi w:val="0"/>
        <w:adjustRightInd/>
        <w:snapToGrid/>
        <w:spacing w:line="240" w:lineRule="auto"/>
        <w:ind w:firstLine="1600" w:firstLineChars="500"/>
        <w:jc w:val="both"/>
        <w:textAlignment w:val="auto"/>
        <w:rPr>
          <w:rFonts w:hint="eastAsia" w:ascii="仿宋_GB2312" w:hAnsi="Calibri" w:eastAsia="仿宋_GB2312" w:cs="仿宋_GB2312"/>
          <w:i w:val="0"/>
          <w:iCs w:val="0"/>
          <w:caps w:val="0"/>
          <w:color w:val="auto"/>
          <w:spacing w:val="0"/>
          <w:kern w:val="0"/>
          <w:sz w:val="32"/>
          <w:szCs w:val="32"/>
          <w:highlight w:val="none"/>
          <w:lang w:val="en-US" w:eastAsia="zh-CN" w:bidi="ar"/>
        </w:rPr>
      </w:pPr>
      <w:r>
        <w:rPr>
          <w:rFonts w:hint="eastAsia" w:ascii="仿宋_GB2312" w:eastAsia="仿宋_GB2312" w:cs="仿宋_GB2312"/>
          <w:i w:val="0"/>
          <w:iCs w:val="0"/>
          <w:caps w:val="0"/>
          <w:color w:val="auto"/>
          <w:spacing w:val="0"/>
          <w:kern w:val="0"/>
          <w:sz w:val="32"/>
          <w:szCs w:val="32"/>
          <w:highlight w:val="none"/>
          <w:lang w:val="en-US" w:eastAsia="zh-CN" w:bidi="ar"/>
        </w:rPr>
        <w:t>2</w:t>
      </w:r>
      <w:r>
        <w:rPr>
          <w:rFonts w:hint="eastAsia" w:ascii="仿宋" w:hAnsi="仿宋" w:eastAsia="仿宋" w:cs="仿宋"/>
          <w:i w:val="0"/>
          <w:iCs w:val="0"/>
          <w:caps w:val="0"/>
          <w:color w:val="auto"/>
          <w:spacing w:val="0"/>
          <w:kern w:val="0"/>
          <w:sz w:val="32"/>
          <w:szCs w:val="32"/>
          <w:highlight w:val="none"/>
          <w:lang w:val="en-US" w:eastAsia="zh-CN" w:bidi="ar"/>
        </w:rPr>
        <w:t>．</w:t>
      </w:r>
      <w:r>
        <w:rPr>
          <w:rFonts w:hint="eastAsia" w:ascii="仿宋_GB2312" w:eastAsia="仿宋_GB2312" w:cs="仿宋_GB2312"/>
          <w:i w:val="0"/>
          <w:iCs w:val="0"/>
          <w:caps w:val="0"/>
          <w:color w:val="auto"/>
          <w:spacing w:val="0"/>
          <w:kern w:val="0"/>
          <w:sz w:val="32"/>
          <w:szCs w:val="32"/>
          <w:highlight w:val="none"/>
          <w:lang w:val="en-US" w:eastAsia="zh-CN" w:bidi="ar"/>
        </w:rPr>
        <w:t>“珠海老字号”评选及认定要求</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CESI黑体-GB2312" w:hAnsi="CESI黑体-GB2312" w:eastAsia="CESI黑体-GB2312" w:cs="CESI黑体-GB2312"/>
          <w:i w:val="0"/>
          <w:iCs w:val="0"/>
          <w:caps w:val="0"/>
          <w:color w:val="auto"/>
          <w:spacing w:val="0"/>
          <w:kern w:val="0"/>
          <w:sz w:val="32"/>
          <w:szCs w:val="32"/>
          <w:highlight w:val="none"/>
          <w:lang w:val="en-US" w:eastAsia="zh-CN" w:bidi="ar"/>
        </w:rPr>
      </w:pPr>
      <w:r>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t>附件1</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highlight w:val="none"/>
          <w:lang w:eastAsia="zh-CN"/>
        </w:rPr>
      </w:pPr>
      <w:r>
        <w:rPr>
          <w:rFonts w:hint="eastAsia" w:ascii="方正小标宋简体" w:hAnsi="方正小标宋简体" w:eastAsia="方正小标宋简体" w:cs="方正小标宋简体"/>
          <w:sz w:val="44"/>
          <w:szCs w:val="52"/>
          <w:highlight w:val="none"/>
          <w:lang w:eastAsia="zh-CN"/>
        </w:rPr>
        <w:t>珠海老字号标识和牌匾使用规定</w:t>
      </w:r>
    </w:p>
    <w:p>
      <w:pPr>
        <w:pStyle w:val="4"/>
        <w:keepNext w:val="0"/>
        <w:keepLines w:val="0"/>
        <w:pageBreakBefore w:val="0"/>
        <w:kinsoku/>
        <w:wordWrap/>
        <w:overflowPunct/>
        <w:topLinePunct w:val="0"/>
        <w:autoSpaceDE/>
        <w:autoSpaceDN/>
        <w:bidi w:val="0"/>
        <w:adjustRightInd/>
        <w:snapToGrid/>
        <w:spacing w:after="0" w:line="240" w:lineRule="auto"/>
        <w:jc w:val="both"/>
        <w:textAlignment w:val="auto"/>
        <w:rPr>
          <w:rFonts w:hint="eastAsia" w:ascii="CESI黑体-GB2312" w:hAnsi="CESI黑体-GB2312" w:eastAsia="CESI黑体-GB2312" w:cs="CESI黑体-GB2312"/>
          <w:sz w:val="32"/>
          <w:szCs w:val="40"/>
          <w:highlight w:val="none"/>
          <w:lang w:eastAsia="zh-CN"/>
        </w:rPr>
      </w:pPr>
    </w:p>
    <w:p>
      <w:pPr>
        <w:pStyle w:val="4"/>
        <w:keepNext w:val="0"/>
        <w:keepLines w:val="0"/>
        <w:pageBreakBefore w:val="0"/>
        <w:numPr>
          <w:ilvl w:val="0"/>
          <w:numId w:val="0"/>
        </w:numPr>
        <w:kinsoku/>
        <w:wordWrap/>
        <w:overflowPunct/>
        <w:topLinePunct w:val="0"/>
        <w:autoSpaceDE/>
        <w:autoSpaceDN/>
        <w:bidi w:val="0"/>
        <w:adjustRightInd/>
        <w:snapToGrid/>
        <w:spacing w:after="0" w:line="240" w:lineRule="auto"/>
        <w:ind w:leftChars="0"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黑体" w:hAnsi="黑体" w:eastAsia="黑体" w:cs="黑体"/>
          <w:b w:val="0"/>
          <w:bCs w:val="0"/>
          <w:sz w:val="32"/>
          <w:szCs w:val="40"/>
          <w:highlight w:val="none"/>
          <w:lang w:val="en-US" w:eastAsia="zh-CN"/>
        </w:rPr>
        <w:t>第一条</w:t>
      </w:r>
      <w:r>
        <w:rPr>
          <w:rFonts w:hint="eastAsia" w:ascii="仿宋_GB2312" w:hAnsi="仿宋_GB2312" w:eastAsia="仿宋_GB2312" w:cs="仿宋_GB2312"/>
          <w:sz w:val="32"/>
          <w:szCs w:val="40"/>
          <w:highlight w:val="none"/>
          <w:lang w:val="en-US" w:eastAsia="zh-CN"/>
        </w:rPr>
        <w:t xml:space="preserve"> 为维护珠海老字号信誉、加强对珠海老字号标识和牌匾的管理，规范珠海老字号标识和牌匾的使用、依据《珠海老字号认定管理办法》，制定本规定。</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default"/>
          <w:highlight w:val="none"/>
          <w:lang w:val="en-US" w:eastAsia="zh-CN"/>
        </w:rPr>
      </w:pPr>
      <w:r>
        <w:rPr>
          <w:rFonts w:hint="eastAsia" w:ascii="黑体" w:hAnsi="黑体" w:eastAsia="黑体" w:cs="黑体"/>
          <w:b w:val="0"/>
          <w:bCs w:val="0"/>
          <w:kern w:val="2"/>
          <w:sz w:val="32"/>
          <w:szCs w:val="40"/>
          <w:highlight w:val="none"/>
          <w:lang w:val="en-US" w:eastAsia="zh-CN" w:bidi="ar-SA"/>
        </w:rPr>
        <w:t>第二条</w:t>
      </w:r>
      <w:r>
        <w:rPr>
          <w:rFonts w:hint="eastAsia" w:ascii="仿宋_GB2312" w:hAnsi="仿宋_GB2312" w:eastAsia="仿宋_GB2312" w:cs="仿宋_GB2312"/>
          <w:sz w:val="32"/>
          <w:szCs w:val="40"/>
          <w:highlight w:val="none"/>
          <w:lang w:val="en-US" w:eastAsia="zh-CN"/>
        </w:rPr>
        <w:t xml:space="preserve"> 珠海老字号标识和牌匾的使用应当遵循本规定。</w:t>
      </w:r>
    </w:p>
    <w:p>
      <w:pPr>
        <w:pStyle w:val="4"/>
        <w:keepNext w:val="0"/>
        <w:keepLines w:val="0"/>
        <w:pageBreakBefore w:val="0"/>
        <w:numPr>
          <w:ilvl w:val="0"/>
          <w:numId w:val="0"/>
        </w:numPr>
        <w:kinsoku/>
        <w:wordWrap/>
        <w:overflowPunct/>
        <w:topLinePunct w:val="0"/>
        <w:autoSpaceDE/>
        <w:autoSpaceDN/>
        <w:bidi w:val="0"/>
        <w:adjustRightInd/>
        <w:snapToGrid/>
        <w:spacing w:after="0" w:line="240" w:lineRule="auto"/>
        <w:ind w:leftChars="0"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黑体" w:hAnsi="黑体" w:eastAsia="黑体" w:cs="黑体"/>
          <w:b w:val="0"/>
          <w:bCs w:val="0"/>
          <w:kern w:val="2"/>
          <w:sz w:val="32"/>
          <w:szCs w:val="40"/>
          <w:highlight w:val="none"/>
          <w:lang w:val="en-US" w:eastAsia="zh-CN" w:bidi="ar-SA"/>
        </w:rPr>
        <w:t>第三条</w:t>
      </w:r>
      <w:r>
        <w:rPr>
          <w:rFonts w:hint="eastAsia" w:ascii="仿宋_GB2312" w:hAnsi="仿宋_GB2312" w:eastAsia="仿宋_GB2312" w:cs="仿宋_GB2312"/>
          <w:sz w:val="32"/>
          <w:szCs w:val="40"/>
          <w:highlight w:val="none"/>
          <w:lang w:val="en-US" w:eastAsia="zh-CN"/>
        </w:rPr>
        <w:t xml:space="preserve"> 市商务局对珠海老字号的标识和牌匾的使用实行统一的管理和监督。区级商务部门按照职责分工对所辖区域内珠海老字号标识和牌匾的使用进行管理和监督。</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黑体" w:hAnsi="黑体" w:eastAsia="黑体" w:cs="黑体"/>
          <w:b w:val="0"/>
          <w:bCs w:val="0"/>
          <w:kern w:val="2"/>
          <w:sz w:val="32"/>
          <w:szCs w:val="40"/>
          <w:highlight w:val="none"/>
          <w:lang w:val="en-US" w:eastAsia="zh-CN" w:bidi="ar-SA"/>
        </w:rPr>
        <w:t xml:space="preserve">第四条 </w:t>
      </w:r>
      <w:r>
        <w:rPr>
          <w:rFonts w:hint="eastAsia"/>
          <w:highlight w:val="none"/>
          <w:lang w:val="en-US" w:eastAsia="zh-CN"/>
        </w:rPr>
        <w:t xml:space="preserve"> </w:t>
      </w:r>
      <w:r>
        <w:rPr>
          <w:rFonts w:hint="eastAsia" w:ascii="仿宋_GB2312" w:hAnsi="仿宋_GB2312" w:eastAsia="仿宋_GB2312" w:cs="仿宋_GB2312"/>
          <w:sz w:val="32"/>
          <w:szCs w:val="40"/>
          <w:highlight w:val="none"/>
          <w:lang w:val="en-US" w:eastAsia="zh-CN"/>
        </w:rPr>
        <w:t>珠海老字号标识适用于市商务局认定的珠海老字号和珠海老字号企业。未被认定为珠海老字号的企业或个人，不得使用老字号标识和文字。</w:t>
      </w:r>
    </w:p>
    <w:p>
      <w:pPr>
        <w:pStyle w:val="4"/>
        <w:keepNext w:val="0"/>
        <w:keepLines w:val="0"/>
        <w:pageBreakBefore w:val="0"/>
        <w:kinsoku/>
        <w:wordWrap/>
        <w:overflowPunct/>
        <w:topLinePunct w:val="0"/>
        <w:autoSpaceDE/>
        <w:autoSpaceDN/>
        <w:bidi w:val="0"/>
        <w:adjustRightInd/>
        <w:snapToGrid/>
        <w:spacing w:after="0" w:line="240" w:lineRule="auto"/>
        <w:jc w:val="both"/>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w:t>
      </w:r>
      <w:r>
        <w:rPr>
          <w:rFonts w:hint="eastAsia" w:ascii="黑体" w:hAnsi="黑体" w:eastAsia="黑体" w:cs="黑体"/>
          <w:highlight w:val="none"/>
          <w:lang w:val="en-US" w:eastAsia="zh-CN"/>
        </w:rPr>
        <w:t>第五条</w:t>
      </w:r>
      <w:r>
        <w:rPr>
          <w:rFonts w:hint="eastAsia" w:ascii="仿宋_GB2312" w:hAnsi="仿宋_GB2312" w:eastAsia="仿宋_GB2312" w:cs="仿宋_GB2312"/>
          <w:highlight w:val="none"/>
          <w:lang w:val="en-US" w:eastAsia="zh-CN"/>
        </w:rPr>
        <w:t xml:space="preserve"> 珠海老字号标识属市商务局所有，标准标识式样另行公布。</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黑体" w:hAnsi="黑体" w:eastAsia="黑体" w:cs="黑体"/>
          <w:kern w:val="2"/>
          <w:sz w:val="32"/>
          <w:szCs w:val="24"/>
          <w:highlight w:val="none"/>
          <w:lang w:val="en-US" w:eastAsia="zh-CN" w:bidi="ar-SA"/>
        </w:rPr>
        <w:t xml:space="preserve">第六条 </w:t>
      </w:r>
      <w:r>
        <w:rPr>
          <w:rFonts w:hint="eastAsia" w:ascii="仿宋_GB2312" w:hAnsi="仿宋_GB2312" w:eastAsia="仿宋_GB2312" w:cs="仿宋_GB2312"/>
          <w:sz w:val="32"/>
          <w:szCs w:val="40"/>
          <w:highlight w:val="none"/>
          <w:lang w:val="en-US" w:eastAsia="zh-CN"/>
        </w:rPr>
        <w:t>珠海老字号企业可以在相应产品或服务的包装、装潢、各类资料、广告宣传及互联网等媒介中使用统一规定的珠海老字号标识。</w:t>
      </w:r>
    </w:p>
    <w:p>
      <w:pPr>
        <w:pStyle w:val="4"/>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highlight w:val="none"/>
          <w:lang w:val="en-US" w:eastAsia="zh-CN"/>
        </w:rPr>
      </w:pPr>
      <w:r>
        <w:rPr>
          <w:rFonts w:hint="eastAsia" w:ascii="黑体" w:hAnsi="黑体" w:eastAsia="黑体" w:cs="黑体"/>
          <w:kern w:val="2"/>
          <w:sz w:val="32"/>
          <w:szCs w:val="24"/>
          <w:highlight w:val="none"/>
          <w:lang w:val="en-US" w:eastAsia="zh-CN" w:bidi="ar-SA"/>
        </w:rPr>
        <w:t xml:space="preserve">第七条 </w:t>
      </w:r>
      <w:r>
        <w:rPr>
          <w:rFonts w:hint="eastAsia" w:ascii="仿宋_GB2312" w:hAnsi="仿宋_GB2312" w:eastAsia="仿宋_GB2312" w:cs="仿宋_GB2312"/>
          <w:highlight w:val="none"/>
          <w:lang w:val="en-US" w:eastAsia="zh-CN"/>
        </w:rPr>
        <w:t>珠海老字号标识只能用于与珠海老字号相一致的产品或服务上，以其老字号注册商标核定使用的商品或服务为限，并应明显标注获得认定的企业名称，不得扩大使用范围。同时，应符合《中华人民共和国商标法》《中华人民共和国广告法》等相关法律法规要求。</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黑体" w:hAnsi="黑体" w:eastAsia="黑体" w:cs="黑体"/>
          <w:kern w:val="2"/>
          <w:sz w:val="32"/>
          <w:szCs w:val="24"/>
          <w:highlight w:val="none"/>
          <w:lang w:val="en-US" w:eastAsia="zh-CN" w:bidi="ar-SA"/>
        </w:rPr>
        <w:t xml:space="preserve">第八条 </w:t>
      </w:r>
      <w:r>
        <w:rPr>
          <w:rFonts w:hint="eastAsia" w:ascii="仿宋_GB2312" w:hAnsi="仿宋_GB2312" w:eastAsia="仿宋_GB2312" w:cs="仿宋_GB2312"/>
          <w:sz w:val="32"/>
          <w:szCs w:val="40"/>
          <w:highlight w:val="none"/>
          <w:lang w:val="en-US" w:eastAsia="zh-CN"/>
        </w:rPr>
        <w:t>珠海老字号标识在使用时，必须根据规定的式样使用，可按比例放大或者缩小，但不得更改标识的比例关系和色值。</w:t>
      </w:r>
    </w:p>
    <w:p>
      <w:pPr>
        <w:pStyle w:val="4"/>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highlight w:val="none"/>
          <w:lang w:val="en-US" w:eastAsia="zh-CN"/>
        </w:rPr>
      </w:pPr>
      <w:r>
        <w:rPr>
          <w:rFonts w:hint="eastAsia" w:ascii="黑体" w:hAnsi="黑体" w:eastAsia="黑体" w:cs="黑体"/>
          <w:kern w:val="2"/>
          <w:sz w:val="32"/>
          <w:szCs w:val="24"/>
          <w:highlight w:val="none"/>
          <w:lang w:val="en-US" w:eastAsia="zh-CN" w:bidi="ar-SA"/>
        </w:rPr>
        <w:t xml:space="preserve">第九条 </w:t>
      </w:r>
      <w:r>
        <w:rPr>
          <w:rFonts w:hint="eastAsia" w:ascii="仿宋_GB2312" w:hAnsi="仿宋_GB2312" w:eastAsia="仿宋_GB2312" w:cs="仿宋_GB2312"/>
          <w:highlight w:val="none"/>
          <w:lang w:val="en-US" w:eastAsia="zh-CN"/>
        </w:rPr>
        <w:t>珠海老字号标识在印刷时，附着媒介的底色不得影响标识的标准色值，不得投叠其他色彩和图案。</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黑体" w:hAnsi="黑体" w:eastAsia="黑体" w:cs="黑体"/>
          <w:kern w:val="2"/>
          <w:sz w:val="32"/>
          <w:szCs w:val="24"/>
          <w:highlight w:val="none"/>
          <w:lang w:val="en-US" w:eastAsia="zh-CN" w:bidi="ar-SA"/>
        </w:rPr>
        <w:t xml:space="preserve">第十条 </w:t>
      </w:r>
      <w:r>
        <w:rPr>
          <w:rFonts w:hint="eastAsia" w:ascii="仿宋_GB2312" w:hAnsi="仿宋_GB2312" w:eastAsia="仿宋_GB2312" w:cs="仿宋_GB2312"/>
          <w:sz w:val="32"/>
          <w:szCs w:val="40"/>
          <w:highlight w:val="none"/>
          <w:lang w:val="en-US" w:eastAsia="zh-CN"/>
        </w:rPr>
        <w:t>市商务局统一制作和颁发珠海老字号牌匾，未经许可，任何组织或个人不得自行制作、伪造、变造、销售或者冒用。</w:t>
      </w:r>
    </w:p>
    <w:p>
      <w:pPr>
        <w:pStyle w:val="4"/>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黑体" w:hAnsi="黑体" w:eastAsia="黑体" w:cs="黑体"/>
          <w:kern w:val="2"/>
          <w:sz w:val="32"/>
          <w:szCs w:val="24"/>
          <w:highlight w:val="none"/>
          <w:lang w:val="en-US" w:eastAsia="zh-CN" w:bidi="ar-SA"/>
        </w:rPr>
        <w:t xml:space="preserve">第十一条 </w:t>
      </w:r>
      <w:r>
        <w:rPr>
          <w:rFonts w:hint="eastAsia" w:ascii="仿宋_GB2312" w:hAnsi="仿宋_GB2312" w:eastAsia="仿宋_GB2312" w:cs="仿宋_GB2312"/>
          <w:sz w:val="32"/>
          <w:szCs w:val="40"/>
          <w:highlight w:val="none"/>
          <w:lang w:val="en-US" w:eastAsia="zh-CN"/>
        </w:rPr>
        <w:t>珠海老字号牌匾不得复制。</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黑体" w:hAnsi="黑体" w:eastAsia="黑体" w:cs="黑体"/>
          <w:kern w:val="2"/>
          <w:sz w:val="32"/>
          <w:szCs w:val="24"/>
          <w:highlight w:val="none"/>
          <w:lang w:val="en-US" w:eastAsia="zh-CN" w:bidi="ar-SA"/>
        </w:rPr>
        <w:t xml:space="preserve">第十二条 </w:t>
      </w:r>
      <w:r>
        <w:rPr>
          <w:rFonts w:hint="eastAsia" w:ascii="仿宋_GB2312" w:hAnsi="仿宋_GB2312" w:eastAsia="仿宋_GB2312" w:cs="仿宋_GB2312"/>
          <w:sz w:val="32"/>
          <w:szCs w:val="40"/>
          <w:highlight w:val="none"/>
          <w:lang w:val="en-US" w:eastAsia="zh-CN"/>
        </w:rPr>
        <w:t>珠海老字号牌匾应悬挂或者放置于珠海老字号企业主要办公或者经营场所，牌匾需保持牢固安全、整洁、美观，任何组织或者个人不得随意侵占、污损、破坏牌匾，如涉及不可移动文物对的，在悬挂、放置牌匾时不得破坏文物。</w:t>
      </w:r>
    </w:p>
    <w:p>
      <w:pPr>
        <w:pStyle w:val="4"/>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highlight w:val="none"/>
          <w:lang w:val="en-US" w:eastAsia="zh-CN"/>
        </w:rPr>
      </w:pPr>
      <w:r>
        <w:rPr>
          <w:rFonts w:hint="eastAsia" w:ascii="黑体" w:hAnsi="黑体" w:eastAsia="黑体" w:cs="黑体"/>
          <w:kern w:val="2"/>
          <w:sz w:val="32"/>
          <w:szCs w:val="24"/>
          <w:highlight w:val="none"/>
          <w:lang w:val="en-US" w:eastAsia="zh-CN" w:bidi="ar-SA"/>
        </w:rPr>
        <w:t xml:space="preserve">第十三条 </w:t>
      </w:r>
      <w:r>
        <w:rPr>
          <w:rFonts w:hint="eastAsia" w:ascii="仿宋_GB2312" w:hAnsi="仿宋_GB2312" w:eastAsia="仿宋_GB2312" w:cs="仿宋_GB2312"/>
          <w:szCs w:val="40"/>
          <w:highlight w:val="none"/>
          <w:lang w:val="en-US" w:eastAsia="zh-CN"/>
        </w:rPr>
        <w:t>珠海老字号企业被暂停珠海老字号标识、牌匾使用权期间，应撤回其含有珠海老字号标识的相关产品、服务，移除并妥善保存珠海老字号牌匾，且不得以珠海老字号的名义开展宣传。</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kern w:val="2"/>
          <w:sz w:val="32"/>
          <w:szCs w:val="24"/>
          <w:highlight w:val="none"/>
          <w:lang w:val="en-US" w:eastAsia="zh-CN" w:bidi="ar-SA"/>
        </w:rPr>
        <w:t xml:space="preserve">第十四条 </w:t>
      </w:r>
      <w:r>
        <w:rPr>
          <w:rFonts w:hint="eastAsia" w:ascii="仿宋_GB2312" w:hAnsi="仿宋_GB2312" w:eastAsia="仿宋_GB2312" w:cs="仿宋_GB2312"/>
          <w:sz w:val="32"/>
          <w:szCs w:val="32"/>
          <w:highlight w:val="none"/>
          <w:lang w:val="en-US" w:eastAsia="zh-CN"/>
        </w:rPr>
        <w:t>被移出珠海老字号名录并收回珠海老字号标识使用权及牌匾的企业，自市商务局作出决定之日起，停止使用珠海老字号标识，并负责清理自身使用的有关珠海老字号标识的各类宣传、产品、服务等；珠海老字号牌匾由各区商务部门负责收回，交由市商务局统一注销销毁。</w:t>
      </w:r>
    </w:p>
    <w:p>
      <w:pPr>
        <w:pStyle w:val="4"/>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szCs w:val="32"/>
          <w:highlight w:val="none"/>
          <w:lang w:val="en-US" w:eastAsia="zh-CN"/>
        </w:rPr>
      </w:pPr>
      <w:r>
        <w:rPr>
          <w:rFonts w:hint="eastAsia" w:ascii="黑体" w:hAnsi="黑体" w:eastAsia="黑体" w:cs="黑体"/>
          <w:kern w:val="2"/>
          <w:sz w:val="32"/>
          <w:szCs w:val="24"/>
          <w:highlight w:val="none"/>
          <w:lang w:val="en-US" w:eastAsia="zh-CN" w:bidi="ar-SA"/>
        </w:rPr>
        <w:t xml:space="preserve">第十五条 </w:t>
      </w:r>
      <w:r>
        <w:rPr>
          <w:rFonts w:hint="eastAsia" w:ascii="仿宋_GB2312" w:hAnsi="仿宋_GB2312" w:eastAsia="仿宋_GB2312" w:cs="仿宋_GB2312"/>
          <w:szCs w:val="32"/>
          <w:highlight w:val="none"/>
          <w:lang w:val="en-US" w:eastAsia="zh-CN"/>
        </w:rPr>
        <w:t>珠海老字号标识和牌匾不得擅自转让，珠海老字号企业的企业名称及注册商标人名义发生变更后，珠海老字号标识和牌匾的使用权随之变更，但须按照《珠海老字号认定管理办法》规定报市商务局备案。</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pPr>
      <w:r>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br w:type="page"/>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highlight w:val="none"/>
          <w:lang w:val="en-US" w:eastAsia="zh-CN"/>
        </w:rPr>
      </w:pPr>
      <w:r>
        <w:rPr>
          <w:rFonts w:hint="eastAsia" w:ascii="CESI黑体-GB2312" w:hAnsi="CESI黑体-GB2312" w:eastAsia="CESI黑体-GB2312" w:cs="CESI黑体-GB2312"/>
          <w:i w:val="0"/>
          <w:iCs w:val="0"/>
          <w:caps w:val="0"/>
          <w:color w:val="auto"/>
          <w:spacing w:val="0"/>
          <w:kern w:val="0"/>
          <w:sz w:val="32"/>
          <w:szCs w:val="32"/>
          <w:highlight w:val="none"/>
          <w:lang w:val="en-US" w:eastAsia="zh-CN" w:bidi="ar"/>
        </w:rPr>
        <w:t>附件2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“珠海老字号”评选及认定要求</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黑体" w:hAnsi="黑体" w:eastAsia="黑体" w:cs="黑体"/>
          <w:sz w:val="32"/>
          <w:szCs w:val="4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sz w:val="32"/>
          <w:szCs w:val="40"/>
          <w:highlight w:val="none"/>
          <w:lang w:val="en-US" w:eastAsia="zh-CN"/>
        </w:rPr>
      </w:pPr>
      <w:r>
        <w:rPr>
          <w:rFonts w:hint="eastAsia" w:ascii="黑体" w:hAnsi="黑体" w:eastAsia="黑体" w:cs="黑体"/>
          <w:kern w:val="2"/>
          <w:sz w:val="32"/>
          <w:szCs w:val="40"/>
          <w:highlight w:val="none"/>
          <w:lang w:val="en-US" w:eastAsia="zh-CN" w:bidi="ar-SA"/>
        </w:rPr>
        <w:t>一、</w:t>
      </w:r>
      <w:r>
        <w:rPr>
          <w:rFonts w:hint="eastAsia" w:ascii="黑体" w:hAnsi="黑体" w:eastAsia="黑体" w:cs="黑体"/>
          <w:sz w:val="32"/>
          <w:szCs w:val="40"/>
          <w:highlight w:val="none"/>
          <w:lang w:val="en-US" w:eastAsia="zh-CN"/>
        </w:rPr>
        <w:t>评选对象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商号在珠海市内注册登记，主营业务不变，企业产品、技艺或服务品牌与居民生活息息相关，并具备老字号特征的企业（可申报企业目录详见附表1）。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黑体" w:hAnsi="黑体" w:eastAsia="黑体" w:cs="黑体"/>
          <w:sz w:val="32"/>
          <w:szCs w:val="40"/>
          <w:highlight w:val="none"/>
          <w:lang w:val="en-US" w:eastAsia="zh-CN"/>
        </w:rPr>
      </w:pPr>
      <w:r>
        <w:rPr>
          <w:rFonts w:hint="eastAsia" w:ascii="黑体" w:hAnsi="黑体" w:eastAsia="黑体" w:cs="黑体"/>
          <w:kern w:val="2"/>
          <w:sz w:val="32"/>
          <w:szCs w:val="40"/>
          <w:highlight w:val="none"/>
          <w:lang w:val="en-US" w:eastAsia="zh-CN" w:bidi="ar-SA"/>
        </w:rPr>
        <w:t>二、</w:t>
      </w:r>
      <w:r>
        <w:rPr>
          <w:rFonts w:hint="eastAsia" w:ascii="黑体" w:hAnsi="黑体" w:eastAsia="黑体" w:cs="黑体"/>
          <w:sz w:val="32"/>
          <w:szCs w:val="40"/>
          <w:highlight w:val="none"/>
          <w:lang w:val="en-US" w:eastAsia="zh-CN"/>
        </w:rPr>
        <w:t>申报原则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“珠海老字号”评选遵循“自主培育、自愿申报、优中择优、有进有出”的原则。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黑体" w:hAnsi="黑体" w:eastAsia="黑体" w:cs="黑体"/>
          <w:kern w:val="2"/>
          <w:sz w:val="32"/>
          <w:szCs w:val="40"/>
          <w:highlight w:val="none"/>
          <w:lang w:val="en-US" w:eastAsia="zh-CN" w:bidi="ar-SA"/>
        </w:rPr>
      </w:pPr>
      <w:r>
        <w:rPr>
          <w:rFonts w:hint="eastAsia" w:ascii="黑体" w:hAnsi="黑体" w:eastAsia="黑体" w:cs="黑体"/>
          <w:kern w:val="2"/>
          <w:sz w:val="32"/>
          <w:szCs w:val="40"/>
          <w:highlight w:val="none"/>
          <w:lang w:val="en-US" w:eastAsia="zh-CN" w:bidi="ar-SA"/>
        </w:rPr>
        <w:t xml:space="preserve">三、评选指标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default"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珠海老字号”评选满分为100分，分别从历史底蕴、文化传承、地域特色、经营能力、创新发展、社会贡献（加分项）六个一级指标进行具体评选（评分表见附表2）。在对某一具体行业进行评价时，应在不改变一级指标的情况下，依据行业特点及具体情况在实际评价中对二级指标进行细化和增减。</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 w:leftChars="0" w:firstLine="640" w:firstLineChars="0"/>
        <w:jc w:val="both"/>
        <w:textAlignment w:val="auto"/>
        <w:rPr>
          <w:rFonts w:hint="eastAsia" w:ascii="楷体" w:hAnsi="楷体" w:eastAsia="楷体" w:cs="楷体"/>
          <w:sz w:val="32"/>
          <w:szCs w:val="40"/>
          <w:highlight w:val="none"/>
          <w:lang w:val="en-US" w:eastAsia="zh-CN"/>
        </w:rPr>
      </w:pPr>
      <w:r>
        <w:rPr>
          <w:rFonts w:hint="eastAsia" w:ascii="楷体" w:hAnsi="楷体" w:eastAsia="楷体" w:cs="楷体"/>
          <w:sz w:val="32"/>
          <w:szCs w:val="40"/>
          <w:highlight w:val="none"/>
          <w:lang w:val="en-US" w:eastAsia="zh-CN"/>
        </w:rPr>
        <w:t>历史底蕴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共计25分，主要从创立时间、原址保护、历史信物等三个方面进行评价。</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 w:leftChars="0" w:firstLine="640" w:firstLineChars="0"/>
        <w:jc w:val="both"/>
        <w:textAlignment w:val="auto"/>
        <w:rPr>
          <w:rFonts w:hint="eastAsia" w:ascii="楷体_GB2312" w:hAnsi="楷体_GB2312" w:eastAsia="楷体_GB2312" w:cs="楷体_GB2312"/>
          <w:sz w:val="32"/>
          <w:szCs w:val="40"/>
          <w:highlight w:val="none"/>
          <w:lang w:val="en-US" w:eastAsia="zh-CN"/>
        </w:rPr>
      </w:pPr>
      <w:r>
        <w:rPr>
          <w:rFonts w:hint="eastAsia" w:ascii="楷体_GB2312" w:hAnsi="楷体_GB2312" w:eastAsia="楷体_GB2312" w:cs="楷体_GB2312"/>
          <w:sz w:val="32"/>
          <w:szCs w:val="40"/>
          <w:highlight w:val="none"/>
          <w:lang w:val="en-US" w:eastAsia="zh-CN"/>
        </w:rPr>
        <w:t>文化传承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jc w:val="both"/>
        <w:textAlignment w:val="auto"/>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共计25分，主要从文化传承有力、文化传播载体丰富等两个方面进行评价。</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 w:leftChars="0" w:firstLine="640" w:firstLineChars="0"/>
        <w:jc w:val="both"/>
        <w:textAlignment w:val="auto"/>
        <w:rPr>
          <w:rFonts w:hint="eastAsia" w:ascii="楷体" w:hAnsi="楷体" w:eastAsia="楷体" w:cs="楷体"/>
          <w:sz w:val="32"/>
          <w:szCs w:val="40"/>
          <w:highlight w:val="none"/>
          <w:lang w:val="en-US" w:eastAsia="zh-CN"/>
        </w:rPr>
      </w:pPr>
      <w:r>
        <w:rPr>
          <w:rFonts w:hint="eastAsia" w:ascii="楷体" w:hAnsi="楷体" w:eastAsia="楷体" w:cs="楷体"/>
          <w:sz w:val="32"/>
          <w:szCs w:val="40"/>
          <w:highlight w:val="none"/>
          <w:lang w:val="en-US" w:eastAsia="zh-CN"/>
        </w:rPr>
        <w:t>地域特色</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共计10分，主要从品牌是否具有珠海及岭南特色、其产品是否为岭南文化典型代表等方面进行评价。</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 w:leftChars="0" w:firstLine="640" w:firstLineChars="0"/>
        <w:jc w:val="both"/>
        <w:textAlignment w:val="auto"/>
        <w:rPr>
          <w:rFonts w:hint="eastAsia" w:ascii="楷体" w:hAnsi="楷体" w:eastAsia="楷体" w:cs="楷体"/>
          <w:sz w:val="32"/>
          <w:szCs w:val="40"/>
          <w:highlight w:val="none"/>
          <w:lang w:val="en-US" w:eastAsia="zh-CN"/>
        </w:rPr>
      </w:pPr>
      <w:r>
        <w:rPr>
          <w:rFonts w:hint="eastAsia" w:ascii="楷体" w:hAnsi="楷体" w:eastAsia="楷体" w:cs="楷体"/>
          <w:sz w:val="32"/>
          <w:szCs w:val="40"/>
          <w:highlight w:val="none"/>
          <w:lang w:val="en-US" w:eastAsia="zh-CN"/>
        </w:rPr>
        <w:t>经营能力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jc w:val="both"/>
        <w:textAlignment w:val="auto"/>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共计25分，主要从品牌权属清晰、制度健全、经济效益良好等四个方面进行评价。</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 w:leftChars="0" w:firstLine="640" w:firstLineChars="0"/>
        <w:jc w:val="both"/>
        <w:textAlignment w:val="auto"/>
        <w:rPr>
          <w:rFonts w:hint="eastAsia" w:ascii="楷体" w:hAnsi="楷体" w:eastAsia="楷体" w:cs="楷体"/>
          <w:sz w:val="32"/>
          <w:szCs w:val="40"/>
          <w:highlight w:val="none"/>
          <w:lang w:val="en-US" w:eastAsia="zh-CN"/>
        </w:rPr>
      </w:pPr>
      <w:r>
        <w:rPr>
          <w:rFonts w:hint="eastAsia" w:ascii="楷体" w:hAnsi="楷体" w:eastAsia="楷体" w:cs="楷体"/>
          <w:sz w:val="32"/>
          <w:szCs w:val="40"/>
          <w:highlight w:val="none"/>
          <w:lang w:val="en-US" w:eastAsia="zh-CN"/>
        </w:rPr>
        <w:t>创新发展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jc w:val="both"/>
        <w:textAlignment w:val="auto"/>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共计15分，主要从创新产品丰富、品牌影响深远、生产技术革新、技术专利获得情况等四个方面进行评价。</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 w:leftChars="0" w:firstLine="640" w:firstLineChars="0"/>
        <w:jc w:val="both"/>
        <w:textAlignment w:val="auto"/>
        <w:rPr>
          <w:rFonts w:hint="eastAsia" w:ascii="楷体" w:hAnsi="楷体" w:eastAsia="楷体" w:cs="楷体"/>
          <w:b w:val="0"/>
          <w:bCs w:val="0"/>
          <w:sz w:val="32"/>
          <w:szCs w:val="40"/>
          <w:highlight w:val="none"/>
          <w:vertAlign w:val="baseline"/>
          <w:lang w:val="en-US" w:eastAsia="zh-CN"/>
        </w:rPr>
      </w:pPr>
      <w:r>
        <w:rPr>
          <w:rFonts w:hint="eastAsia" w:ascii="楷体" w:hAnsi="楷体" w:eastAsia="楷体" w:cs="楷体"/>
          <w:b w:val="0"/>
          <w:bCs w:val="0"/>
          <w:sz w:val="32"/>
          <w:szCs w:val="40"/>
          <w:highlight w:val="none"/>
          <w:vertAlign w:val="baseline"/>
          <w:lang w:val="en-US" w:eastAsia="zh-CN"/>
        </w:rPr>
        <w:t>社会贡献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jc w:val="both"/>
        <w:textAlignment w:val="auto"/>
        <w:rPr>
          <w:rFonts w:hint="default" w:ascii="仿宋" w:hAnsi="仿宋" w:eastAsia="仿宋" w:cs="仿宋"/>
          <w:sz w:val="32"/>
          <w:szCs w:val="40"/>
          <w:highlight w:val="none"/>
          <w:lang w:val="en-US" w:eastAsia="zh-CN"/>
        </w:rPr>
      </w:pPr>
      <w:r>
        <w:rPr>
          <w:rFonts w:hint="eastAsia" w:ascii="仿宋" w:hAnsi="仿宋" w:eastAsia="仿宋" w:cs="仿宋"/>
          <w:b w:val="0"/>
          <w:bCs w:val="0"/>
          <w:sz w:val="32"/>
          <w:szCs w:val="40"/>
          <w:highlight w:val="none"/>
          <w:vertAlign w:val="baseline"/>
          <w:lang w:val="en-US" w:eastAsia="zh-CN"/>
        </w:rPr>
        <w:t>共计5分，不纳入百分制，作为加分项额外计算。从参与重大任务、配合政府相关部门开展运行检测、积极组织促进行业发展公益性活动等几个方面进行评价。</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sz w:val="32"/>
          <w:szCs w:val="40"/>
          <w:highlight w:val="none"/>
          <w:lang w:val="en-US" w:eastAsia="zh-CN"/>
        </w:rPr>
      </w:pPr>
      <w:r>
        <w:rPr>
          <w:rFonts w:hint="eastAsia" w:ascii="黑体" w:hAnsi="黑体" w:eastAsia="黑体" w:cs="黑体"/>
          <w:sz w:val="32"/>
          <w:szCs w:val="40"/>
          <w:highlight w:val="none"/>
          <w:lang w:val="en-US" w:eastAsia="zh-CN"/>
        </w:rPr>
        <w:t>其他要求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（一）对于近3年发生过重大安全责任事故、重大侵犯知识产权或消费者权益事件、</w:t>
      </w:r>
      <w:r>
        <w:rPr>
          <w:rFonts w:hint="eastAsia" w:ascii="仿宋_GB2312" w:eastAsia="仿宋_GB2312" w:cs="仿宋_GB2312"/>
          <w:i w:val="0"/>
          <w:iCs w:val="0"/>
          <w:caps w:val="0"/>
          <w:color w:val="auto"/>
          <w:spacing w:val="0"/>
          <w:kern w:val="0"/>
          <w:sz w:val="32"/>
          <w:szCs w:val="32"/>
          <w:highlight w:val="none"/>
          <w:lang w:val="en-US" w:eastAsia="zh-CN" w:bidi="ar"/>
        </w:rPr>
        <w:t>严重扰乱市场秩序或其他严重违法行为</w:t>
      </w:r>
      <w:r>
        <w:rPr>
          <w:rFonts w:hint="eastAsia" w:ascii="仿宋" w:hAnsi="仿宋" w:eastAsia="仿宋" w:cs="仿宋"/>
          <w:sz w:val="32"/>
          <w:szCs w:val="40"/>
          <w:highlight w:val="none"/>
          <w:lang w:val="en-US" w:eastAsia="zh-CN"/>
        </w:rPr>
        <w:t>，或拖欠员工工资，或被相关部门列入严重违法失信名单的不予赋分。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jc w:val="both"/>
        <w:textAlignment w:val="auto"/>
        <w:rPr>
          <w:rFonts w:hint="eastAsia" w:ascii="仿宋" w:hAnsi="仿宋" w:eastAsia="仿宋" w:cs="仿宋"/>
          <w:sz w:val="32"/>
          <w:szCs w:val="40"/>
          <w:highlight w:val="none"/>
          <w:lang w:val="en-US" w:eastAsia="zh-CN"/>
        </w:rPr>
        <w:sectPr>
          <w:footerReference r:id="rId3" w:type="default"/>
          <w:pgSz w:w="11906" w:h="16838"/>
          <w:pgMar w:top="2098" w:right="1474" w:bottom="1984" w:left="1587" w:header="850" w:footer="1531" w:gutter="0"/>
          <w:pgNumType w:fmt="decimal"/>
          <w:cols w:space="0" w:num="1"/>
          <w:rtlGutter w:val="0"/>
          <w:docGrid w:type="lines" w:linePitch="579" w:charSpace="0"/>
        </w:sectPr>
      </w:pPr>
      <w:r>
        <w:rPr>
          <w:rFonts w:hint="eastAsia" w:ascii="仿宋" w:hAnsi="仿宋" w:eastAsia="仿宋" w:cs="仿宋"/>
          <w:sz w:val="32"/>
          <w:szCs w:val="40"/>
          <w:highlight w:val="none"/>
          <w:lang w:val="en-US" w:eastAsia="zh-CN"/>
        </w:rPr>
        <w:t>（二）认定评价指标根据发展需要适时修订。</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黑体" w:hAnsi="黑体" w:eastAsia="黑体" w:cs="黑体"/>
          <w:sz w:val="32"/>
          <w:szCs w:val="40"/>
          <w:highlight w:val="none"/>
          <w:lang w:val="en-US" w:eastAsia="zh-CN"/>
        </w:rPr>
      </w:pPr>
      <w:r>
        <w:rPr>
          <w:rFonts w:hint="eastAsia" w:ascii="黑体" w:hAnsi="黑体" w:eastAsia="黑体" w:cs="黑体"/>
          <w:sz w:val="32"/>
          <w:szCs w:val="40"/>
          <w:highlight w:val="none"/>
          <w:lang w:val="en-US" w:eastAsia="zh-CN"/>
        </w:rPr>
        <w:t>附表1</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52"/>
          <w:highlight w:val="none"/>
          <w:lang w:val="en-US" w:eastAsia="zh-CN"/>
        </w:rPr>
      </w:pPr>
      <w:r>
        <w:rPr>
          <w:rFonts w:hint="eastAsia" w:ascii="方正小标宋简体" w:hAnsi="方正小标宋简体" w:eastAsia="方正小标宋简体" w:cs="方正小标宋简体"/>
          <w:sz w:val="44"/>
          <w:szCs w:val="52"/>
          <w:highlight w:val="none"/>
          <w:lang w:val="en-US" w:eastAsia="zh-CN"/>
        </w:rPr>
        <w:t>“珠海老字号”可申报行业目录</w:t>
      </w:r>
    </w:p>
    <w:tbl>
      <w:tblPr>
        <w:tblStyle w:val="8"/>
        <w:tblW w:w="498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1236"/>
        <w:gridCol w:w="1835"/>
        <w:gridCol w:w="5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71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门类</w:t>
            </w: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大类代码</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中类</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小类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H住宿和餐饮业</w:t>
            </w: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61</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住宿业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旅馆饭店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一般旅馆</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民宿服务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露营地服务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其他住宿业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62</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餐饮业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正餐服务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快餐服务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饮料及冷饮服务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餐饮配送及外卖送餐服务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其他餐饮业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F批发和零售业</w:t>
            </w: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51</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批发业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食品、饮料及烟草制品批发</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纺织、服装及家庭用品批发</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文化、体育用品及器材批发</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医药及医疗器械批发</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矿产品、建材及化工产品批发</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机械设备、五金产品及电子产品批发</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贸易经纪与代理</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其他批发业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52</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零售业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综合零售</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食品、饮料及烟草制品专门零售</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纺织、服装及日用品专门零售</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文化、体育用品及器材专门零售</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医药及医疗器材专门零售</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汽车、摩托车、零配件和燃料及其他动力销售</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家用电器及电子产品专门零售</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五金、家具及室内装饰材料专门零售</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货摊、无店铺或其他零售业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L租赁和商务服务业</w:t>
            </w: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72</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商务服务业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组织管理服务</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综合管理服务</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法律服务</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咨询与调查</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广告业</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会展、展览及相关服务</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其他商务服务业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O居民服务、修理和其他服务业</w:t>
            </w: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80</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居民服务业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托儿所服务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洗染服务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理发及美容服务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摄影扩印服务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婚姻服务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其他居民服务业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82</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其他服务业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清洁服务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宠物服务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其他未列明服务业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88</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文化艺术业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文艺创作与表演</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艺术表演场馆</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图书馆与档案馆</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文物及非物质文化遗产保护</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群众文化活动</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其他文化艺术业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89</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体育业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体育组织</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体育场地设施管理</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健身休闲活动</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其他体育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90</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娱乐业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室内娱乐活动</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游乐园</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休闲观光活动</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文化体育娱乐活动及经纪代理服务</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其他娱乐业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C制造业</w:t>
            </w: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13</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农副产品加工业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谷物磨制</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植物油加工</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水产品加工</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蔬菜、菌类、水果和坚果加工</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其他农副产品加工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14</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食品制造业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焙烤食品制造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糖果、巧克力及蜜饯制造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方便食品制造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乳制品制造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罐头食品制造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调味品、发酵制品制造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其他食品制造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15</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酒、饮料和精制茶制造业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酒的制造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饮料制造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精制茶加工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18</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纺织服装、服饰业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机织服装制造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针织或钩针编织服装制造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服饰制造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21</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造纸和纸制品业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纸浆制造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造纸</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纸制品制造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24</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文教、工美、体育和娱乐用品制造业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文教办公用品制造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乐器制造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工艺美术及礼仪用品制造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体育用品制造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玩具制造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游艺器材及娱乐用品制造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26</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化学原料和化学制品制造业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涂料、油墨、颜料及类似产品制造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合成材料制造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专用化学产品制造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日用化学产品制造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27</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医学制造业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化学药品原料药制造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化学药品制剂制造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中药饮片加工</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中成药生产</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生物药品制品制造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卫生材料及医药用品制造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药用辅料及包装材料制造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29</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橡胶和塑料制品业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橡胶制品业</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塑料制品业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30</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非金属矿物制品业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水泥、石灰和石膏制造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砖瓦、石材等建筑材料制造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玻璃制造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陶瓷制品制造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34</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通用设备制造业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金属加工机械制造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泵、阀门、压缩机及类似机械制造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轴承、齿轮和传动部件制造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烘炉、风机、包装等设备制造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文化、办公用机械制造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通用零部件制造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其他通用设备制造业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35</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专用设备制造业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食品、饮料及饲料生产专用设备</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印刷、制药、日化及日用品生产专用设备制造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纺织、服装和皮革加工专用设备制造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电子和电工机械专用设备制造</w:t>
            </w:r>
          </w:p>
          <w:p>
            <w:pPr>
              <w:keepNext w:val="0"/>
              <w:keepLines w:val="0"/>
              <w:pageBreakBefore w:val="0"/>
              <w:widowControl w:val="0"/>
              <w:numPr>
                <w:ilvl w:val="0"/>
                <w:numId w:val="0"/>
              </w:numPr>
              <w:kinsoku/>
              <w:wordWrap/>
              <w:overflowPunct/>
              <w:topLinePunct w:val="0"/>
              <w:autoSpaceDE/>
              <w:autoSpaceDN/>
              <w:bidi w:val="0"/>
              <w:adjustRightInd/>
              <w:snapToGrid w:val="0"/>
              <w:spacing w:line="228"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医疗仪器设备和器械制造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36</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汽车制造业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汽车整车制造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37</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铁路、船舶、航空航天和其他运输设备制造</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铁路运输设备制造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船舶及相关装置制造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航空、航天器及设备制造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38</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电气机械和器材制造业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电机制造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电线、电缆、光缆及电工器材制造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家用电力器具制造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非电力家用电力器具制造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39</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计算机、通信和其他电子设备制造业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计算机制造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通信设备制造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非专业视听设备制造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智能消费设备制造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电子器件制造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电子元件及电子专用材料制造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其他电子设备制造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40</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仪器仪表制造业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通用仪器仪表制造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专用仪器仪表制造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钟表与计时仪器制造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光学仪器制造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衡器制造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其他仪器仪表制造业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E建筑业</w:t>
            </w: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47</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房屋建筑业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住宅房屋建筑</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体育场馆建筑</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其他房屋建筑业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50</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建筑装饰、装修和其他建筑业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建筑装饰和装修业</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建筑物拆除和场地准备活动</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提供施工设备服务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其他未列明建筑业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G交通运输、仓储和邮政业</w:t>
            </w: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54</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道路运输业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城市公共交通运输</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公路旅客运输</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道路货物运输</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道路运输辅助活动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J金融业</w:t>
            </w: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66</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货币金融服务</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中央银行服务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货币银行服务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非货币银行服务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银行理财服务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银行监管服务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67</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资本市场服务</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证券市场服务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公开募集证券投资基金</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非公开募集证券投资资金</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期货市场服务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证券期货监管服务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资本投资服务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其他资本市场服务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68</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保险业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人身保险</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财产保险</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再保险</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商业养老金</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保险中介服务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保险资产管理</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保险监管服务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其他保险活动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6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69</w:t>
            </w:r>
          </w:p>
        </w:tc>
        <w:tc>
          <w:tcPr>
            <w:tcW w:w="93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其他金融业</w:t>
            </w:r>
          </w:p>
        </w:tc>
        <w:tc>
          <w:tcPr>
            <w:tcW w:w="271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金融信托与管理服务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控股公司服务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非金融机构支付服务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金融信息服务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金融资产管理公司</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其他未列明金融业</w:t>
            </w:r>
          </w:p>
        </w:tc>
      </w:tr>
    </w:tbl>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szCs w:val="24"/>
          <w:highlight w:val="none"/>
          <w:vertAlign w:val="baseline"/>
          <w:lang w:val="en-US" w:eastAsia="zh-CN"/>
        </w:rPr>
        <w:t>行业代码分类来源GB/T 4754-2017国民经济行业分类</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仿宋" w:hAnsi="仿宋" w:eastAsia="仿宋" w:cs="仿宋"/>
          <w:sz w:val="24"/>
          <w:highlight w:val="none"/>
          <w:lang w:val="en-US" w:eastAsia="zh-CN"/>
        </w:rPr>
        <w:sectPr>
          <w:pgSz w:w="11906" w:h="16838"/>
          <w:pgMar w:top="1134" w:right="1134" w:bottom="1134" w:left="1134" w:header="567" w:footer="567" w:gutter="0"/>
          <w:pgNumType w:fmt="decimal"/>
          <w:cols w:space="0" w:num="1"/>
          <w:rtlGutter w:val="0"/>
          <w:docGrid w:linePitch="312" w:charSpace="0"/>
        </w:sectPr>
      </w:pP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附表2</w:t>
      </w:r>
    </w:p>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52"/>
          <w:highlight w:val="none"/>
          <w:lang w:val="en-US" w:eastAsia="zh-CN"/>
        </w:rPr>
      </w:pPr>
      <w:r>
        <w:rPr>
          <w:rFonts w:hint="eastAsia" w:ascii="方正小标宋简体" w:hAnsi="方正小标宋简体" w:eastAsia="方正小标宋简体" w:cs="方正小标宋简体"/>
          <w:sz w:val="44"/>
          <w:szCs w:val="52"/>
          <w:highlight w:val="none"/>
          <w:lang w:val="en-US" w:eastAsia="zh-CN"/>
        </w:rPr>
        <w:t>“珠海老字号”评分表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3618"/>
        <w:gridCol w:w="758"/>
        <w:gridCol w:w="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方正小标宋简体" w:hAnsi="方正小标宋简体" w:eastAsia="方正小标宋简体" w:cs="方正小标宋简体"/>
                <w:sz w:val="44"/>
                <w:szCs w:val="52"/>
                <w:highlight w:val="none"/>
                <w:vertAlign w:val="baseline"/>
                <w:lang w:val="en-US" w:eastAsia="zh-CN"/>
              </w:rPr>
            </w:pPr>
            <w:r>
              <w:rPr>
                <w:rFonts w:hint="eastAsia" w:ascii="黑体" w:hAnsi="黑体" w:eastAsia="黑体" w:cs="黑体"/>
                <w:b w:val="0"/>
                <w:bCs w:val="0"/>
                <w:sz w:val="32"/>
                <w:szCs w:val="32"/>
                <w:highlight w:val="none"/>
                <w:vertAlign w:val="baseline"/>
                <w:lang w:val="en-US" w:eastAsia="zh-CN"/>
              </w:rPr>
              <w:t>1.历史底蕴（25分）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1.1创立时间（10分）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评价基准：以申报企业出现类似企业的组织形式（如作坊、店铺等），并使用商号、商标或品牌对外开展经营、宣传等活动的时间为基准。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restar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创立年限在20年（含）以上。</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w:t>
            </w:r>
          </w:p>
        </w:tc>
        <w:tc>
          <w:tcPr>
            <w:tcW w:w="245" w:type="pct"/>
            <w:vMerge w:val="restar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kern w:val="2"/>
                <w:sz w:val="24"/>
                <w:szCs w:val="24"/>
                <w:highlight w:val="none"/>
                <w:vertAlign w:val="baseline"/>
                <w:lang w:val="en-US" w:eastAsia="zh-CN" w:bidi="ar-SA"/>
              </w:rPr>
            </w:pPr>
            <w:r>
              <w:rPr>
                <w:rFonts w:hint="eastAsia" w:ascii="仿宋" w:hAnsi="仿宋" w:eastAsia="仿宋" w:cs="仿宋"/>
                <w:sz w:val="24"/>
                <w:szCs w:val="24"/>
                <w:highlight w:val="none"/>
                <w:vertAlign w:val="baseline"/>
                <w:lang w:val="en-US" w:eastAsia="zh-CN"/>
              </w:rPr>
              <w:t>创立年限在30年（含）以上。</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kern w:val="2"/>
                <w:sz w:val="24"/>
                <w:szCs w:val="24"/>
                <w:highlight w:val="none"/>
                <w:vertAlign w:val="baseline"/>
                <w:lang w:val="en-US" w:eastAsia="zh-CN" w:bidi="ar-SA"/>
              </w:rPr>
            </w:pPr>
            <w:r>
              <w:rPr>
                <w:rFonts w:hint="eastAsia" w:ascii="仿宋" w:hAnsi="仿宋" w:eastAsia="仿宋" w:cs="仿宋"/>
                <w:sz w:val="24"/>
                <w:szCs w:val="24"/>
                <w:highlight w:val="none"/>
                <w:vertAlign w:val="baseline"/>
                <w:lang w:val="en-US" w:eastAsia="zh-CN"/>
              </w:rPr>
              <w:t>8</w:t>
            </w:r>
          </w:p>
        </w:tc>
        <w:tc>
          <w:tcPr>
            <w:tcW w:w="245"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创立年限在40年（含）以上。</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10</w:t>
            </w:r>
          </w:p>
        </w:tc>
        <w:tc>
          <w:tcPr>
            <w:tcW w:w="245"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1.2原址保护（5分）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有城市记忆、民族特色和文化传承的建筑或设施。</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1.3历史信物（10分）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评价基准：衡量信物的历史价值，同时保留不同价值的信物，按照保留最高价值信物计算分数，不重复得分。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39" w:type="pct"/>
            <w:vMerge w:val="restar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保留了20年（含）前:刊登的广告、一般用品、照片等一般历史价值物品3分；字号牌匾、名人或主要经营者题字、与老字号相关的经营场所内外的重要照片等重要信物5分。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w:t>
            </w:r>
          </w:p>
        </w:tc>
        <w:tc>
          <w:tcPr>
            <w:tcW w:w="245" w:type="pct"/>
            <w:vMerge w:val="restar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保留了30年（含）前：刊登的广告、一般用品、照片等一般历史价值物品5分；字号牌匾、名人或主要经营者题字、与老字号相关的经营场所内外的重要照片等重要信物8分。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8</w:t>
            </w:r>
          </w:p>
        </w:tc>
        <w:tc>
          <w:tcPr>
            <w:tcW w:w="245"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保留了40年（含）前：刊登的广告、一般用品、照片等一般历史价值物品8分，字号牌匾、名人或主要经营者题字、与老字号相关的经营场所内外的重要照片等重要信物10分。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10</w:t>
            </w:r>
          </w:p>
        </w:tc>
        <w:tc>
          <w:tcPr>
            <w:tcW w:w="245"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黑体" w:hAnsi="黑体" w:eastAsia="黑体" w:cs="黑体"/>
                <w:b w:val="0"/>
                <w:bCs w:val="0"/>
                <w:sz w:val="32"/>
                <w:szCs w:val="32"/>
                <w:highlight w:val="none"/>
                <w:vertAlign w:val="baseline"/>
                <w:lang w:val="en-US" w:eastAsia="zh-CN"/>
              </w:rPr>
              <w:t>2.文化传承（25分）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2.1文化传承有力（10分）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评价基准：同时被列入以上各级名录的，按列入的最高层级得分，不重复得分。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restar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相关文化、技艺、产品等有较好传承，有传承人和典型传承技艺与服务。</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245" w:type="pct"/>
            <w:vMerge w:val="restar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相关文化或技艺等被列入市、区级非物质文化遗产代表性项目名录。</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w:t>
            </w:r>
          </w:p>
        </w:tc>
        <w:tc>
          <w:tcPr>
            <w:tcW w:w="245"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相关文化或技艺等被列入省级非物质文化遗产代表性项目名录。</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7</w:t>
            </w:r>
          </w:p>
        </w:tc>
        <w:tc>
          <w:tcPr>
            <w:tcW w:w="245"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相关文化或技艺等被列入国家级非物质文化遗产代表性项目名录、联合国教科文组织非物质文化遗产名录（名册）。</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10</w:t>
            </w:r>
          </w:p>
        </w:tc>
        <w:tc>
          <w:tcPr>
            <w:tcW w:w="245"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2.2文化传播载体丰富（15分）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评价基准：同时拥有多种文化传播载体和途径的，可累计得分，最多不超过15分。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分数</w:t>
            </w:r>
          </w:p>
        </w:tc>
        <w:tc>
          <w:tcPr>
            <w:tcW w:w="245" w:type="pct"/>
            <w:tcBorders>
              <w:top w:val="nil"/>
            </w:tcBorders>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建有体现品牌文化价值的展厅、博物馆、文化馆等。</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245" w:type="pct"/>
            <w:tcBorders>
              <w:top w:val="nil"/>
            </w:tcBorders>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具有历代传承的店训、堂训、师训、店规等文化资源得2分，有历代传承并在社会上有一定影响力的典礼仪式等活动得2分。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7</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参加由商务部门牵头组织的展会、消费节等活动，每场活动得1分，最多不超过4分。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8</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通过在新媒体平台（微博、微信、抖音、快手等），或以广告和视频（微视频、纪录片）、电影电视剧、宣传册等形式宣传和展示品牌文化或掌门人故事，1种宣传载体进行宣传相关内容得1分，最多不超过4分。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黑体" w:hAnsi="黑体" w:eastAsia="黑体" w:cs="黑体"/>
                <w:b w:val="0"/>
                <w:bCs w:val="0"/>
                <w:sz w:val="32"/>
                <w:szCs w:val="32"/>
                <w:highlight w:val="none"/>
                <w:vertAlign w:val="baseline"/>
                <w:lang w:val="en-US" w:eastAsia="zh-CN"/>
              </w:rPr>
              <w:t>3.地域特色（10分）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评价基准：衡量地域特色，按照符合的最高标准计算分数，不重复打分。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restar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9</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有一定的珠海和岭南特色，与岭南文化较为协调。</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245" w:type="pct"/>
            <w:vMerge w:val="restar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具有地道的珠海特色，在岭南文化中得到认同。</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w:t>
            </w:r>
          </w:p>
        </w:tc>
        <w:tc>
          <w:tcPr>
            <w:tcW w:w="245"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具有鲜明的珠海特色，与岭南文化融为一体，其产品或品牌成为岭南文化中的典型代表之一。</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10</w:t>
            </w:r>
          </w:p>
        </w:tc>
        <w:tc>
          <w:tcPr>
            <w:tcW w:w="245" w:type="pct"/>
            <w:vMerge w:val="continue"/>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黑体" w:hAnsi="黑体" w:eastAsia="黑体" w:cs="黑体"/>
                <w:b w:val="0"/>
                <w:bCs w:val="0"/>
                <w:sz w:val="32"/>
                <w:szCs w:val="32"/>
                <w:highlight w:val="none"/>
                <w:vertAlign w:val="baseline"/>
                <w:lang w:val="en-US" w:eastAsia="zh-CN"/>
              </w:rPr>
              <w:t>4.经营能力（25分）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4.1</w:t>
            </w:r>
            <w:r>
              <w:rPr>
                <w:rFonts w:hint="eastAsia" w:ascii="仿宋" w:hAnsi="仿宋" w:eastAsia="仿宋" w:cs="仿宋"/>
                <w:b/>
                <w:bCs/>
                <w:sz w:val="28"/>
                <w:szCs w:val="28"/>
                <w:highlight w:val="none"/>
                <w:vertAlign w:val="baseline"/>
                <w:lang w:val="en-US" w:eastAsia="zh-Hans"/>
              </w:rPr>
              <w:t>品牌</w:t>
            </w:r>
            <w:r>
              <w:rPr>
                <w:rFonts w:hint="eastAsia" w:ascii="仿宋" w:hAnsi="仿宋" w:eastAsia="仿宋" w:cs="仿宋"/>
                <w:b/>
                <w:bCs/>
                <w:sz w:val="28"/>
                <w:szCs w:val="28"/>
                <w:highlight w:val="none"/>
                <w:vertAlign w:val="baseline"/>
                <w:lang w:val="en-US" w:eastAsia="zh-CN"/>
              </w:rPr>
              <w:t>权属清晰（3分）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评价基准：以合法拥有品牌、无产权纠纷、相关商标证书为基准。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10</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依法拥有与品牌相一致的企业字号或注册商标的所有权或使用权。</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4.2制度健全（3分）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评价基准：以管理制度完善程度为基准，按照制度完善程度累计计分，最多不超过3分。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评分标准</w:t>
            </w:r>
          </w:p>
        </w:tc>
        <w:tc>
          <w:tcPr>
            <w:tcW w:w="238" w:type="pct"/>
            <w:tcBorders>
              <w:top w:val="nil"/>
            </w:tcBorders>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11</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有完善的管理制度，包括安全生产管理制度、突发事件应急处置机制及食品安全、环境卫生、知识产权、消费者权益、市场公平竞争、人才培训等。</w:t>
            </w:r>
          </w:p>
        </w:tc>
        <w:tc>
          <w:tcPr>
            <w:tcW w:w="238" w:type="pct"/>
            <w:tcBorders>
              <w:top w:val="nil"/>
            </w:tcBorders>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4.3经济效益良好（14分）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评价基准：主营业务以申请单位长期从事、具有明确传承脉络、不等同于但不得超出营业执照经营范围为基准。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12</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主营业务连续经营15年（含）以上。</w:t>
            </w:r>
            <w:r>
              <w:rPr>
                <w:rFonts w:hint="eastAsia" w:ascii="仿宋" w:hAnsi="仿宋" w:eastAsia="仿宋" w:cs="仿宋"/>
                <w:sz w:val="24"/>
                <w:szCs w:val="24"/>
                <w:highlight w:val="none"/>
                <w:vertAlign w:val="baseline"/>
                <w:lang w:val="en-US" w:eastAsia="zh-CN"/>
              </w:rPr>
              <w:t>主营业务连续经营时间为15-25年（含）（1分）；主营业务连续经营时间为25-35年（含）（2分）；主营业务连续经营时间为35年以上（3分）。不重复得分。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13</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盈利能力</w:t>
            </w:r>
            <w:r>
              <w:rPr>
                <w:rFonts w:hint="eastAsia" w:ascii="仿宋" w:hAnsi="仿宋" w:eastAsia="仿宋" w:cs="仿宋"/>
                <w:b/>
                <w:bCs/>
                <w:sz w:val="24"/>
                <w:szCs w:val="24"/>
                <w:highlight w:val="none"/>
                <w:vertAlign w:val="baseline"/>
                <w:lang w:val="en-US" w:eastAsia="zh-Hans"/>
              </w:rPr>
              <w:t>良好</w:t>
            </w:r>
            <w:r>
              <w:rPr>
                <w:rFonts w:hint="eastAsia" w:ascii="仿宋" w:hAnsi="仿宋" w:eastAsia="仿宋" w:cs="仿宋"/>
                <w:b/>
                <w:bCs/>
                <w:sz w:val="24"/>
                <w:szCs w:val="24"/>
                <w:highlight w:val="none"/>
                <w:vertAlign w:val="baseline"/>
                <w:lang w:val="en-US" w:eastAsia="zh-CN"/>
              </w:rPr>
              <w:t>，可持续发展能力强。</w:t>
            </w:r>
            <w:r>
              <w:rPr>
                <w:rFonts w:hint="eastAsia" w:ascii="仿宋" w:hAnsi="仿宋" w:eastAsia="仿宋" w:cs="仿宋"/>
                <w:sz w:val="24"/>
                <w:szCs w:val="24"/>
                <w:highlight w:val="none"/>
                <w:vertAlign w:val="baseline"/>
                <w:lang w:val="en-US" w:eastAsia="zh-CN"/>
              </w:rPr>
              <w:t>企业处于盈利状态（1分）；持续盈利2年（含）以上（2分）；持续盈利3年（含）以上（3分）。不重复得分。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14</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国际化、跨区域、数字化、连锁化经营。</w:t>
            </w:r>
            <w:r>
              <w:rPr>
                <w:rFonts w:hint="eastAsia" w:ascii="仿宋" w:hAnsi="仿宋" w:eastAsia="仿宋" w:cs="仿宋"/>
                <w:sz w:val="24"/>
                <w:szCs w:val="24"/>
                <w:highlight w:val="none"/>
                <w:vertAlign w:val="baseline"/>
                <w:lang w:val="en-US" w:eastAsia="zh-CN"/>
              </w:rPr>
              <w:t>商品或服务进入国际市场（1分）；商品或服务进入省外市场（1分）；运用电子商务方式拓展销售渠道（1分）；拥有2家以上的直营店或加盟店（1分）。每符合一项得1分，最多得4分。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15</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企业达到规模（限额）以上。</w:t>
            </w:r>
            <w:r>
              <w:rPr>
                <w:rFonts w:hint="eastAsia" w:ascii="仿宋" w:hAnsi="仿宋" w:eastAsia="仿宋" w:cs="仿宋"/>
                <w:b w:val="0"/>
                <w:bCs w:val="0"/>
                <w:sz w:val="24"/>
                <w:szCs w:val="24"/>
                <w:highlight w:val="none"/>
                <w:vertAlign w:val="baseline"/>
                <w:lang w:val="en-US" w:eastAsia="zh-CN"/>
              </w:rPr>
              <w:t>达到规模以上工业、有资质的建筑业、限额以上批发和零售业、限额以上住宿和餐饮业、规模以上服务业以及有开发经营活动的全部房地产开发经营业的企业，得4分。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4.4荣誉认证（5分）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sz w:val="24"/>
                <w:szCs w:val="24"/>
                <w:highlight w:val="none"/>
                <w:vertAlign w:val="baseline"/>
                <w:lang w:val="en-US" w:eastAsia="zh-CN"/>
              </w:rPr>
            </w:pPr>
            <w:r>
              <w:rPr>
                <w:rFonts w:hint="eastAsia" w:ascii="仿宋" w:hAnsi="仿宋" w:eastAsia="仿宋" w:cs="仿宋"/>
                <w:b w:val="0"/>
                <w:bCs w:val="0"/>
                <w:sz w:val="24"/>
                <w:szCs w:val="24"/>
                <w:highlight w:val="none"/>
                <w:vertAlign w:val="baseline"/>
                <w:lang w:val="en-US" w:eastAsia="zh-CN"/>
              </w:rPr>
              <w:t>评价基准：以荣誉称号层级为准，同时获得称号的，以最高层级荣誉称号得分；体系认证以各体系认证证书为基准。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16</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老字号相关商标或产品、品牌获得市级荣誉（1分）；获得省级荣誉（2分）；获得国家级荣誉（3分）。不重复得分，最多得3分。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17</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通过ISO 9001体系认证、SC认证得2分。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黑体" w:hAnsi="黑体" w:eastAsia="黑体" w:cs="黑体"/>
                <w:b w:val="0"/>
                <w:bCs w:val="0"/>
                <w:sz w:val="32"/>
                <w:szCs w:val="32"/>
                <w:highlight w:val="none"/>
                <w:vertAlign w:val="baseline"/>
                <w:lang w:val="en-US" w:eastAsia="zh-CN"/>
              </w:rPr>
              <w:t>5.创新发展（15分）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5.1创新产品丰富（2分）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评价基准：以能够投入生产、进入市场的创新产品为基准。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bCs/>
                <w:sz w:val="24"/>
                <w:szCs w:val="24"/>
                <w:highlight w:val="none"/>
                <w:vertAlign w:val="baseline"/>
                <w:lang w:val="en-US" w:eastAsia="zh-Hans"/>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18</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在保证产品质量的前提下，根据消费者需求研发创新产品，提升品牌创新力，丰富品牌品类，每有一种创新产品得0.5分，最多得2分。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5.2品牌影响深远（8分）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评价基准：以传播形式多样化程度、传播影响产生的实际效果为基准，累计得分，最高不超过8分。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bCs/>
                <w:sz w:val="24"/>
                <w:szCs w:val="24"/>
                <w:highlight w:val="none"/>
                <w:vertAlign w:val="baseline"/>
                <w:lang w:val="en-US" w:eastAsia="zh-CN"/>
              </w:rPr>
            </w:pPr>
            <w:r>
              <w:rPr>
                <w:rFonts w:hint="eastAsia" w:ascii="黑体" w:hAnsi="黑体" w:eastAsia="黑体" w:cs="黑体"/>
                <w:b w:val="0"/>
                <w:bCs w:val="0"/>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19</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传播</w:t>
            </w:r>
            <w:r>
              <w:rPr>
                <w:rFonts w:hint="eastAsia" w:ascii="仿宋" w:hAnsi="仿宋" w:eastAsia="仿宋" w:cs="仿宋"/>
                <w:b/>
                <w:bCs/>
                <w:sz w:val="24"/>
                <w:szCs w:val="24"/>
                <w:highlight w:val="none"/>
                <w:vertAlign w:val="baseline"/>
                <w:lang w:val="en-US" w:eastAsia="zh-Hans"/>
              </w:rPr>
              <w:t>活动多样</w:t>
            </w:r>
            <w:r>
              <w:rPr>
                <w:rFonts w:hint="eastAsia" w:ascii="仿宋" w:hAnsi="仿宋" w:eastAsia="仿宋" w:cs="仿宋"/>
                <w:b/>
                <w:bCs/>
                <w:sz w:val="24"/>
                <w:szCs w:val="24"/>
                <w:highlight w:val="none"/>
                <w:vertAlign w:val="baseline"/>
                <w:lang w:val="en-US" w:eastAsia="zh-CN"/>
              </w:rPr>
              <w:t>。</w:t>
            </w:r>
            <w:r>
              <w:rPr>
                <w:rFonts w:hint="eastAsia" w:ascii="仿宋" w:hAnsi="仿宋" w:eastAsia="仿宋" w:cs="仿宋"/>
                <w:sz w:val="24"/>
                <w:szCs w:val="24"/>
                <w:highlight w:val="none"/>
                <w:vertAlign w:val="baseline"/>
                <w:lang w:val="en-US" w:eastAsia="zh-CN"/>
              </w:rPr>
              <w:t>举办具有影响力的大型购物消费类活动、文化内涵丰富的文化活动，以及突出商旅文融合发展的互动活动，每举办一次上述活动得0.5分，最多得2分。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20</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营销渠道多元。</w:t>
            </w:r>
            <w:r>
              <w:rPr>
                <w:rFonts w:hint="eastAsia" w:ascii="仿宋" w:hAnsi="仿宋" w:eastAsia="仿宋" w:cs="仿宋"/>
                <w:sz w:val="24"/>
                <w:szCs w:val="24"/>
                <w:highlight w:val="none"/>
                <w:vertAlign w:val="baseline"/>
                <w:lang w:val="en-US" w:eastAsia="zh-CN"/>
              </w:rPr>
              <w:t>运用互联网技术，利用第三方平台、公众号、直播、快闪店等方式，全方位推动线上线下营销渠道融合，每采取一种线上营销方式可得0.5分，最多得2分。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21</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跨界联合互动。</w:t>
            </w:r>
            <w:r>
              <w:rPr>
                <w:rFonts w:hint="eastAsia" w:ascii="仿宋" w:hAnsi="仿宋" w:eastAsia="仿宋" w:cs="仿宋"/>
                <w:b w:val="0"/>
                <w:bCs w:val="0"/>
                <w:sz w:val="24"/>
                <w:szCs w:val="24"/>
                <w:highlight w:val="none"/>
                <w:vertAlign w:val="baseline"/>
                <w:lang w:val="en-US" w:eastAsia="zh-CN"/>
              </w:rPr>
              <w:t>与匹配度高的品牌、作品、文创产品跨界互动，联合打造IP。每采取一项措施可得0.5分，最多得2分。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22</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提升消费体验。</w:t>
            </w:r>
            <w:r>
              <w:rPr>
                <w:rFonts w:hint="eastAsia" w:ascii="仿宋" w:hAnsi="仿宋" w:eastAsia="仿宋" w:cs="仿宋"/>
                <w:b w:val="0"/>
                <w:bCs w:val="0"/>
                <w:sz w:val="24"/>
                <w:szCs w:val="24"/>
                <w:highlight w:val="none"/>
                <w:vertAlign w:val="baseline"/>
                <w:lang w:val="en-US" w:eastAsia="zh-CN"/>
              </w:rPr>
              <w:t>通过改进包装标识、升级店面、提供增值服务等措施，提升产品消费体验，从而吸引更多消费者，每采用一种措施得0.5分，最多得2分。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5.3生产技术革新（2分）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评价基准：以通过技术手段革新产品、技艺、服务为基准。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sz w:val="24"/>
                <w:szCs w:val="24"/>
                <w:highlight w:val="none"/>
                <w:vertAlign w:val="baseline"/>
                <w:lang w:val="en-US" w:eastAsia="zh-CN"/>
              </w:rPr>
            </w:pPr>
            <w:r>
              <w:rPr>
                <w:rFonts w:hint="eastAsia" w:ascii="黑体" w:hAnsi="黑体" w:eastAsia="黑体" w:cs="黑体"/>
                <w:b w:val="0"/>
                <w:bCs w:val="0"/>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23</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val="0"/>
                <w:bCs w:val="0"/>
                <w:sz w:val="24"/>
                <w:szCs w:val="24"/>
                <w:highlight w:val="none"/>
                <w:vertAlign w:val="baseline"/>
                <w:lang w:val="en-US" w:eastAsia="zh-CN"/>
              </w:rPr>
              <w:t>通过引进或改良技术和设备，在掌握传统工艺核心技艺和关键技术的基础上改进技艺，降低生产成本，且成效明显。</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b/>
                <w:bCs/>
                <w:sz w:val="28"/>
                <w:szCs w:val="28"/>
                <w:highlight w:val="none"/>
                <w:vertAlign w:val="baseline"/>
                <w:lang w:val="en-US" w:eastAsia="zh-CN"/>
              </w:rPr>
              <w:t>5.4技术专利（3分）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val="0"/>
                <w:bCs w:val="0"/>
                <w:sz w:val="24"/>
                <w:szCs w:val="24"/>
                <w:highlight w:val="none"/>
                <w:vertAlign w:val="baseline"/>
                <w:lang w:val="en-US" w:eastAsia="zh-CN"/>
              </w:rPr>
              <w:t>评价基准：以官方文件、证书为基准，以获得专利的</w:t>
            </w:r>
            <w:r>
              <w:rPr>
                <w:rFonts w:hint="eastAsia" w:ascii="仿宋" w:hAnsi="仿宋" w:eastAsia="仿宋" w:cs="仿宋"/>
                <w:sz w:val="24"/>
                <w:szCs w:val="24"/>
                <w:highlight w:val="none"/>
                <w:vertAlign w:val="baseline"/>
                <w:lang w:val="en-US" w:eastAsia="zh-CN"/>
              </w:rPr>
              <w:t>最高层级得分，不重复得分。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24</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老字号相关的核心产品、技艺或方法获得实用新型专利（1.5分），老字号相关的核心产品、技艺或方法获得国家发明专利（3分）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黑体" w:hAnsi="黑体" w:eastAsia="黑体" w:cs="黑体"/>
                <w:b w:val="0"/>
                <w:bCs w:val="0"/>
                <w:sz w:val="32"/>
                <w:szCs w:val="32"/>
                <w:highlight w:val="none"/>
                <w:vertAlign w:val="baseline"/>
                <w:lang w:val="en-US" w:eastAsia="zh-CN"/>
              </w:rPr>
              <w:t>6.社会贡献（5分，加分项）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序号</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评分标准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分数</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kern w:val="2"/>
                <w:sz w:val="24"/>
                <w:szCs w:val="24"/>
                <w:highlight w:val="none"/>
                <w:vertAlign w:val="baseline"/>
                <w:lang w:val="en-US" w:eastAsia="zh-CN" w:bidi="ar-SA"/>
              </w:rPr>
            </w:pPr>
            <w:r>
              <w:rPr>
                <w:rFonts w:hint="eastAsia" w:ascii="黑体" w:hAnsi="黑体" w:eastAsia="黑体" w:cs="黑体"/>
                <w:sz w:val="24"/>
                <w:szCs w:val="24"/>
                <w:highlight w:val="none"/>
                <w:vertAlign w:val="baseline"/>
                <w:lang w:val="en-US" w:eastAsia="zh-CN"/>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25</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参与抢险救灾应急保供、“百千万工程”、拥军等重大任务，参与每项任务得0.5分；配合商务部门等政府相关部门开展运行检测等工作得1.5分，最多得3分。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9"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26</w:t>
            </w:r>
          </w:p>
        </w:tc>
        <w:tc>
          <w:tcPr>
            <w:tcW w:w="4277" w:type="pct"/>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积极组织促进行业发展的公益性活动，每组织一项活动得0.5分，最多得2分.</w:t>
            </w:r>
          </w:p>
        </w:tc>
        <w:tc>
          <w:tcPr>
            <w:tcW w:w="238"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highlight w:val="none"/>
                <w:vertAlign w:val="baseline"/>
                <w:lang w:val="en-US" w:eastAsia="zh-CN"/>
              </w:rPr>
            </w:pPr>
            <w:r>
              <w:rPr>
                <w:rFonts w:hint="default" w:ascii="仿宋" w:hAnsi="仿宋" w:eastAsia="仿宋" w:cs="仿宋"/>
                <w:sz w:val="24"/>
                <w:szCs w:val="24"/>
                <w:highlight w:val="none"/>
                <w:vertAlign w:val="baseline"/>
                <w:lang w:val="en-US" w:eastAsia="zh-CN"/>
              </w:rPr>
              <w:t>2</w:t>
            </w:r>
          </w:p>
        </w:tc>
        <w:tc>
          <w:tcPr>
            <w:tcW w:w="245" w:type="pct"/>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4"/>
                <w:szCs w:val="24"/>
                <w:highlight w:val="none"/>
                <w:vertAlign w:val="baseline"/>
                <w:lang w:val="en-US" w:eastAsia="zh-CN"/>
              </w:rPr>
            </w:pPr>
          </w:p>
        </w:tc>
      </w:tr>
    </w:tbl>
    <w:p>
      <w:pPr>
        <w:keepNext w:val="0"/>
        <w:keepLines w:val="0"/>
        <w:pageBreakBefore w:val="0"/>
        <w:kinsoku/>
        <w:wordWrap/>
        <w:overflowPunct/>
        <w:topLinePunct w:val="0"/>
        <w:autoSpaceDE/>
        <w:autoSpaceDN/>
        <w:bidi w:val="0"/>
        <w:adjustRightInd/>
        <w:snapToGrid w:val="0"/>
        <w:spacing w:line="240" w:lineRule="auto"/>
        <w:jc w:val="left"/>
        <w:textAlignment w:val="auto"/>
        <w:rPr>
          <w:rFonts w:hint="default"/>
          <w:highlight w:val="none"/>
          <w:lang w:val="en-US" w:eastAsia="zh-CN"/>
        </w:rPr>
      </w:pPr>
    </w:p>
    <w:sectPr>
      <w:pgSz w:w="16838" w:h="11906" w:orient="landscape"/>
      <w:pgMar w:top="1134" w:right="567" w:bottom="1134" w:left="567" w:header="567" w:footer="567"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5E607F"/>
    <w:multiLevelType w:val="singleLevel"/>
    <w:tmpl w:val="B75E607F"/>
    <w:lvl w:ilvl="0" w:tentative="0">
      <w:start w:val="4"/>
      <w:numFmt w:val="chineseCounting"/>
      <w:suff w:val="nothing"/>
      <w:lvlText w:val="%1、"/>
      <w:lvlJc w:val="left"/>
      <w:rPr>
        <w:rFonts w:hint="eastAsia"/>
      </w:rPr>
    </w:lvl>
  </w:abstractNum>
  <w:abstractNum w:abstractNumId="1">
    <w:nsid w:val="6993AEF7"/>
    <w:multiLevelType w:val="singleLevel"/>
    <w:tmpl w:val="6993AEF7"/>
    <w:lvl w:ilvl="0" w:tentative="0">
      <w:start w:val="1"/>
      <w:numFmt w:val="chineseCounting"/>
      <w:suff w:val="nothing"/>
      <w:lvlText w:val="（%1）"/>
      <w:lvlJc w:val="left"/>
      <w:pPr>
        <w:ind w:left="-1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HorizontalSpacing w:val="210"/>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7F5CA6"/>
    <w:rsid w:val="0DA53BE8"/>
    <w:rsid w:val="1BFBDB37"/>
    <w:rsid w:val="29FFCF4A"/>
    <w:rsid w:val="2EF13D8E"/>
    <w:rsid w:val="367FC190"/>
    <w:rsid w:val="374D2F57"/>
    <w:rsid w:val="37FF7966"/>
    <w:rsid w:val="3B67095B"/>
    <w:rsid w:val="3BAF6B04"/>
    <w:rsid w:val="3BDF1DB7"/>
    <w:rsid w:val="3E3D8D36"/>
    <w:rsid w:val="3EE5C383"/>
    <w:rsid w:val="3FDB011E"/>
    <w:rsid w:val="46EF34FA"/>
    <w:rsid w:val="4C7D3F3C"/>
    <w:rsid w:val="523F82E1"/>
    <w:rsid w:val="557E2EA9"/>
    <w:rsid w:val="55FE2E59"/>
    <w:rsid w:val="57F319D3"/>
    <w:rsid w:val="57F76A20"/>
    <w:rsid w:val="5AE79537"/>
    <w:rsid w:val="5F3EBAD5"/>
    <w:rsid w:val="5F89C667"/>
    <w:rsid w:val="5FF708B2"/>
    <w:rsid w:val="62BF0089"/>
    <w:rsid w:val="63BD2743"/>
    <w:rsid w:val="69AFE2EC"/>
    <w:rsid w:val="6ABEA206"/>
    <w:rsid w:val="6BFF2690"/>
    <w:rsid w:val="6C62A64B"/>
    <w:rsid w:val="6D6FB1BF"/>
    <w:rsid w:val="6EDF311D"/>
    <w:rsid w:val="6F3D431C"/>
    <w:rsid w:val="6F8F6A54"/>
    <w:rsid w:val="6FAF75B6"/>
    <w:rsid w:val="6FFE052A"/>
    <w:rsid w:val="75DED50C"/>
    <w:rsid w:val="764F96C3"/>
    <w:rsid w:val="77B71BE6"/>
    <w:rsid w:val="77FE7D1B"/>
    <w:rsid w:val="7B6ECF31"/>
    <w:rsid w:val="7B92BCC4"/>
    <w:rsid w:val="7BD7F47C"/>
    <w:rsid w:val="7BFBC51E"/>
    <w:rsid w:val="7BFE6C5C"/>
    <w:rsid w:val="7CF660C6"/>
    <w:rsid w:val="7D2F821E"/>
    <w:rsid w:val="7E7F6BA0"/>
    <w:rsid w:val="7E8F7317"/>
    <w:rsid w:val="7F47B28E"/>
    <w:rsid w:val="7F55BCAA"/>
    <w:rsid w:val="7F5ADB37"/>
    <w:rsid w:val="7FBEBE9A"/>
    <w:rsid w:val="7FD73E88"/>
    <w:rsid w:val="7FFB82D7"/>
    <w:rsid w:val="7FFD46AC"/>
    <w:rsid w:val="7FFF3E84"/>
    <w:rsid w:val="8F5F7C2C"/>
    <w:rsid w:val="97FFA61D"/>
    <w:rsid w:val="99F78570"/>
    <w:rsid w:val="AF7FA3DF"/>
    <w:rsid w:val="AFF1641D"/>
    <w:rsid w:val="AFFFBF23"/>
    <w:rsid w:val="BDAD29F5"/>
    <w:rsid w:val="BFF7B43A"/>
    <w:rsid w:val="DF3FFA7B"/>
    <w:rsid w:val="DFADFA4A"/>
    <w:rsid w:val="DFDB43C8"/>
    <w:rsid w:val="EBDE9D11"/>
    <w:rsid w:val="EE5D1263"/>
    <w:rsid w:val="EE6714A0"/>
    <w:rsid w:val="EEAF4F46"/>
    <w:rsid w:val="EEBFC646"/>
    <w:rsid w:val="EEFE3B8F"/>
    <w:rsid w:val="EF66A62C"/>
    <w:rsid w:val="EFFF4206"/>
    <w:rsid w:val="F2576DE2"/>
    <w:rsid w:val="F59C65C9"/>
    <w:rsid w:val="F5FCEBD1"/>
    <w:rsid w:val="F77F5CA6"/>
    <w:rsid w:val="F79D52B3"/>
    <w:rsid w:val="F7CFC716"/>
    <w:rsid w:val="F7DE0268"/>
    <w:rsid w:val="F7FF65A3"/>
    <w:rsid w:val="F7FFB3F0"/>
    <w:rsid w:val="F9EF1BCA"/>
    <w:rsid w:val="FB795573"/>
    <w:rsid w:val="FBAF21E0"/>
    <w:rsid w:val="FBFB0FB9"/>
    <w:rsid w:val="FBFFD19A"/>
    <w:rsid w:val="FCFBB30C"/>
    <w:rsid w:val="FD3B9346"/>
    <w:rsid w:val="FD4F8BA0"/>
    <w:rsid w:val="FD7C5562"/>
    <w:rsid w:val="FDBEE4F7"/>
    <w:rsid w:val="FE793394"/>
    <w:rsid w:val="FEB3747D"/>
    <w:rsid w:val="FEEF24FC"/>
    <w:rsid w:val="FEFDB025"/>
    <w:rsid w:val="FFFBA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9" w:lineRule="exact"/>
      <w:jc w:val="center"/>
      <w:outlineLvl w:val="0"/>
    </w:pPr>
    <w:rPr>
      <w:rFonts w:eastAsia="方正小标宋_GBK" w:asciiTheme="minorAscii" w:hAnsiTheme="minorAscii"/>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spacing w:after="120"/>
    </w:pPr>
    <w:rPr>
      <w:rFonts w:eastAsia="CESI仿宋-GB2312"/>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2024-02-12T23:59:00Z</dcterms:created>
  <dc:creator>xingjd</dc:creator>
  <cp:lastModifiedBy>YIFAN</cp:lastModifiedBy>
  <cp:lastPrinted>2024-08-07T16:24:00Z</cp:lastPrinted>
  <dcterms:modified xsi:type="dcterms:W3CDTF">2024-09-18T15:54:10Z</dcterms:modified>
  <dc:title>珠海老字号认定管理办法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4C67775898240744D6069166DD223546</vt:lpwstr>
  </property>
</Properties>
</file>