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rPr>
          <w:rFonts w:hint="eastAsia"/>
        </w:rPr>
        <w:t>配装眼镜产品质量监督抽查实施细则</w:t>
      </w:r>
    </w:p>
    <w:p>
      <w:pPr>
        <w:spacing w:line="560" w:lineRule="exact"/>
        <w:rPr>
          <w:szCs w:val="32"/>
        </w:rPr>
      </w:pPr>
      <w:bookmarkStart w:id="0" w:name="_GoBack"/>
      <w:bookmarkEnd w:id="0"/>
    </w:p>
    <w:p>
      <w:pPr>
        <w:spacing w:line="560" w:lineRule="exact"/>
        <w:ind w:firstLine="640" w:firstLineChars="200"/>
        <w:rPr>
          <w:szCs w:val="32"/>
        </w:rPr>
      </w:pPr>
      <w:r>
        <w:rPr>
          <w:rFonts w:eastAsia="黑体"/>
          <w:szCs w:val="32"/>
        </w:rPr>
        <w:t>1 抽样方法</w:t>
      </w:r>
    </w:p>
    <w:p>
      <w:pPr>
        <w:spacing w:line="560" w:lineRule="exact"/>
        <w:ind w:firstLine="616" w:firstLineChars="200"/>
        <w:rPr>
          <w:color w:val="000000"/>
          <w:szCs w:val="32"/>
        </w:rPr>
      </w:pPr>
      <w:r>
        <w:rPr>
          <w:color w:val="000000"/>
          <w:spacing w:val="-6"/>
          <w:szCs w:val="32"/>
        </w:rPr>
        <w:t>以随机抽样的方式在被抽样生产者、销售的待销产品中抽</w:t>
      </w:r>
      <w:r>
        <w:rPr>
          <w:color w:val="000000"/>
          <w:szCs w:val="32"/>
        </w:rPr>
        <w:t>取。</w:t>
      </w:r>
    </w:p>
    <w:p>
      <w:pPr>
        <w:spacing w:line="560" w:lineRule="exact"/>
        <w:ind w:firstLine="640" w:firstLineChars="200"/>
        <w:rPr>
          <w:color w:val="000000"/>
          <w:szCs w:val="32"/>
        </w:rPr>
      </w:pPr>
      <w:r>
        <w:rPr>
          <w:color w:val="000000"/>
          <w:szCs w:val="32"/>
        </w:rPr>
        <w:t>随机数一般可使用随机数表等方法产生。</w:t>
      </w:r>
    </w:p>
    <w:p>
      <w:pPr>
        <w:spacing w:line="560" w:lineRule="exact"/>
        <w:ind w:firstLine="640" w:firstLineChars="200"/>
        <w:rPr>
          <w:color w:val="000000"/>
          <w:szCs w:val="32"/>
        </w:rPr>
      </w:pPr>
      <w:r>
        <w:rPr>
          <w:color w:val="000000"/>
          <w:szCs w:val="32"/>
        </w:rPr>
        <w:t>每批次产品抽取1组样本（无备样）。</w:t>
      </w:r>
    </w:p>
    <w:p>
      <w:pPr>
        <w:spacing w:line="560" w:lineRule="exact"/>
        <w:ind w:firstLine="640" w:firstLineChars="200"/>
        <w:rPr>
          <w:color w:val="000000"/>
          <w:szCs w:val="32"/>
        </w:rPr>
      </w:pPr>
      <w:r>
        <w:rPr>
          <w:color w:val="000000"/>
          <w:szCs w:val="32"/>
        </w:rPr>
        <w:t>具体抽样数量和方法如下：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43"/>
        <w:gridCol w:w="4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886"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序号</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产品名称</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第1组数量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886"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1</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配装眼镜</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1副</w:t>
            </w:r>
          </w:p>
        </w:tc>
      </w:tr>
    </w:tbl>
    <w:p>
      <w:pPr>
        <w:spacing w:line="56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当库存基数少于抽查数量时，可由抽样人员现场开具配装眼镜处方单（含顶焦度、轴位、瞳距等），交抽查市场主体现场制作。为确保样品的完好有效，每一副配装眼镜应附有包含加工制作参数的单据、出厂标识标签等，并有独立完整的包装。在运输和寄送过程中应适当防护，防止样品变形或破损。</w:t>
      </w:r>
    </w:p>
    <w:p>
      <w:pPr>
        <w:spacing w:line="560" w:lineRule="exact"/>
        <w:ind w:firstLine="640" w:firstLineChars="200"/>
        <w:rPr>
          <w:szCs w:val="32"/>
        </w:rPr>
      </w:pPr>
      <w:r>
        <w:rPr>
          <w:rFonts w:eastAsia="黑体"/>
          <w:szCs w:val="32"/>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4773"/>
        <w:gridCol w:w="3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77"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773"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3418"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w:t>
            </w:r>
          </w:p>
        </w:tc>
        <w:tc>
          <w:tcPr>
            <w:tcW w:w="4773" w:type="dxa"/>
            <w:vAlign w:val="center"/>
          </w:tcPr>
          <w:p>
            <w:pPr>
              <w:spacing w:line="340" w:lineRule="exact"/>
              <w:jc w:val="center"/>
              <w:rPr>
                <w:rFonts w:eastAsia="宋体"/>
                <w:sz w:val="21"/>
                <w:szCs w:val="21"/>
              </w:rPr>
            </w:pPr>
            <w:r>
              <w:rPr>
                <w:rFonts w:hint="eastAsia" w:eastAsia="宋体"/>
                <w:sz w:val="21"/>
                <w:szCs w:val="21"/>
              </w:rPr>
              <w:t>镜片材料和表面质量</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2</w:t>
            </w:r>
          </w:p>
        </w:tc>
        <w:tc>
          <w:tcPr>
            <w:tcW w:w="4773" w:type="dxa"/>
            <w:vAlign w:val="center"/>
          </w:tcPr>
          <w:p>
            <w:pPr>
              <w:spacing w:line="340" w:lineRule="exact"/>
              <w:jc w:val="center"/>
              <w:rPr>
                <w:rFonts w:eastAsia="宋体"/>
                <w:sz w:val="21"/>
                <w:szCs w:val="21"/>
              </w:rPr>
            </w:pPr>
            <w:r>
              <w:rPr>
                <w:rFonts w:hint="eastAsia" w:eastAsia="宋体"/>
                <w:sz w:val="21"/>
                <w:szCs w:val="21"/>
              </w:rPr>
              <w:t>镜架外观质量</w:t>
            </w:r>
          </w:p>
        </w:tc>
        <w:tc>
          <w:tcPr>
            <w:tcW w:w="3418" w:type="dxa"/>
            <w:vAlign w:val="center"/>
          </w:tcPr>
          <w:p>
            <w:pPr>
              <w:spacing w:line="340" w:lineRule="exact"/>
              <w:jc w:val="center"/>
              <w:rPr>
                <w:rFonts w:eastAsia="宋体"/>
                <w:sz w:val="21"/>
                <w:szCs w:val="21"/>
              </w:rPr>
            </w:pPr>
            <w:r>
              <w:rPr>
                <w:rFonts w:hint="eastAsia" w:eastAsia="宋体"/>
                <w:sz w:val="21"/>
                <w:szCs w:val="21"/>
              </w:rPr>
              <w:t>GB/T 14214-2019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3</w:t>
            </w:r>
          </w:p>
        </w:tc>
        <w:tc>
          <w:tcPr>
            <w:tcW w:w="4773" w:type="dxa"/>
            <w:vAlign w:val="center"/>
          </w:tcPr>
          <w:p>
            <w:pPr>
              <w:spacing w:line="340" w:lineRule="exact"/>
              <w:jc w:val="center"/>
              <w:rPr>
                <w:rFonts w:eastAsia="宋体"/>
                <w:sz w:val="21"/>
                <w:szCs w:val="21"/>
              </w:rPr>
            </w:pPr>
            <w:r>
              <w:rPr>
                <w:rFonts w:hint="eastAsia" w:eastAsia="宋体"/>
                <w:sz w:val="21"/>
                <w:szCs w:val="21"/>
              </w:rPr>
              <w:t>球镜顶焦度偏差（主子午面一）</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4</w:t>
            </w:r>
          </w:p>
        </w:tc>
        <w:tc>
          <w:tcPr>
            <w:tcW w:w="4773" w:type="dxa"/>
            <w:vAlign w:val="center"/>
          </w:tcPr>
          <w:p>
            <w:pPr>
              <w:spacing w:line="340" w:lineRule="exact"/>
              <w:jc w:val="center"/>
              <w:rPr>
                <w:rFonts w:eastAsia="宋体"/>
                <w:sz w:val="21"/>
                <w:szCs w:val="21"/>
              </w:rPr>
            </w:pPr>
            <w:r>
              <w:rPr>
                <w:rFonts w:hint="eastAsia" w:eastAsia="宋体"/>
                <w:sz w:val="21"/>
                <w:szCs w:val="21"/>
              </w:rPr>
              <w:t>球镜顶焦度偏差（主子午面二）</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5</w:t>
            </w:r>
          </w:p>
        </w:tc>
        <w:tc>
          <w:tcPr>
            <w:tcW w:w="4773" w:type="dxa"/>
            <w:vAlign w:val="center"/>
          </w:tcPr>
          <w:p>
            <w:pPr>
              <w:spacing w:line="340" w:lineRule="exact"/>
              <w:jc w:val="center"/>
              <w:rPr>
                <w:rFonts w:eastAsia="宋体"/>
                <w:sz w:val="21"/>
                <w:szCs w:val="21"/>
              </w:rPr>
            </w:pPr>
            <w:r>
              <w:rPr>
                <w:rFonts w:hint="eastAsia" w:eastAsia="宋体"/>
                <w:sz w:val="21"/>
                <w:szCs w:val="21"/>
              </w:rPr>
              <w:t>柱镜顶焦度偏差</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6</w:t>
            </w:r>
          </w:p>
        </w:tc>
        <w:tc>
          <w:tcPr>
            <w:tcW w:w="4773" w:type="dxa"/>
            <w:vAlign w:val="center"/>
          </w:tcPr>
          <w:p>
            <w:pPr>
              <w:spacing w:line="340" w:lineRule="exact"/>
              <w:jc w:val="center"/>
              <w:rPr>
                <w:rFonts w:eastAsia="宋体"/>
                <w:sz w:val="21"/>
                <w:szCs w:val="21"/>
              </w:rPr>
            </w:pPr>
            <w:r>
              <w:rPr>
                <w:rFonts w:hint="eastAsia" w:eastAsia="宋体"/>
                <w:sz w:val="21"/>
                <w:szCs w:val="21"/>
              </w:rPr>
              <w:t>柱镜轴位方向偏差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7</w:t>
            </w:r>
          </w:p>
        </w:tc>
        <w:tc>
          <w:tcPr>
            <w:tcW w:w="4773" w:type="dxa"/>
            <w:vAlign w:val="center"/>
          </w:tcPr>
          <w:p>
            <w:pPr>
              <w:spacing w:line="340" w:lineRule="exact"/>
              <w:jc w:val="center"/>
              <w:rPr>
                <w:rFonts w:eastAsia="宋体"/>
                <w:sz w:val="21"/>
                <w:szCs w:val="21"/>
              </w:rPr>
            </w:pPr>
            <w:r>
              <w:rPr>
                <w:rFonts w:hint="eastAsia" w:eastAsia="宋体"/>
                <w:sz w:val="21"/>
                <w:szCs w:val="21"/>
              </w:rPr>
              <w:t>处方棱镜度偏差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8</w:t>
            </w:r>
          </w:p>
        </w:tc>
        <w:tc>
          <w:tcPr>
            <w:tcW w:w="4773" w:type="dxa"/>
            <w:vAlign w:val="center"/>
          </w:tcPr>
          <w:p>
            <w:pPr>
              <w:spacing w:line="340" w:lineRule="exact"/>
              <w:jc w:val="center"/>
              <w:rPr>
                <w:rFonts w:eastAsia="宋体"/>
                <w:sz w:val="21"/>
                <w:szCs w:val="21"/>
              </w:rPr>
            </w:pPr>
            <w:r>
              <w:rPr>
                <w:rFonts w:hint="eastAsia" w:eastAsia="宋体"/>
                <w:sz w:val="21"/>
                <w:szCs w:val="21"/>
              </w:rPr>
              <w:t>附加顶焦度</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9</w:t>
            </w:r>
          </w:p>
        </w:tc>
        <w:tc>
          <w:tcPr>
            <w:tcW w:w="4773" w:type="dxa"/>
            <w:vAlign w:val="center"/>
          </w:tcPr>
          <w:p>
            <w:pPr>
              <w:spacing w:line="340" w:lineRule="exact"/>
              <w:jc w:val="center"/>
              <w:rPr>
                <w:rFonts w:eastAsia="宋体"/>
                <w:sz w:val="21"/>
                <w:szCs w:val="21"/>
              </w:rPr>
            </w:pPr>
            <w:r>
              <w:rPr>
                <w:rFonts w:hint="eastAsia" w:eastAsia="宋体"/>
                <w:sz w:val="21"/>
                <w:szCs w:val="21"/>
              </w:rPr>
              <w:t>光学中心水平距离偏差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10</w:t>
            </w:r>
          </w:p>
        </w:tc>
        <w:tc>
          <w:tcPr>
            <w:tcW w:w="4773" w:type="dxa"/>
            <w:vAlign w:val="center"/>
          </w:tcPr>
          <w:p>
            <w:pPr>
              <w:spacing w:line="340" w:lineRule="exact"/>
              <w:jc w:val="center"/>
              <w:rPr>
                <w:rFonts w:eastAsia="宋体"/>
                <w:sz w:val="21"/>
                <w:szCs w:val="21"/>
              </w:rPr>
            </w:pPr>
            <w:r>
              <w:rPr>
                <w:rFonts w:hint="eastAsia" w:eastAsia="宋体"/>
                <w:sz w:val="21"/>
                <w:szCs w:val="21"/>
              </w:rPr>
              <w:t>光学中心单侧水平偏差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11</w:t>
            </w:r>
          </w:p>
        </w:tc>
        <w:tc>
          <w:tcPr>
            <w:tcW w:w="4773" w:type="dxa"/>
            <w:vAlign w:val="center"/>
          </w:tcPr>
          <w:p>
            <w:pPr>
              <w:spacing w:line="340" w:lineRule="exact"/>
              <w:jc w:val="center"/>
              <w:rPr>
                <w:rFonts w:eastAsia="宋体"/>
                <w:sz w:val="21"/>
                <w:szCs w:val="21"/>
              </w:rPr>
            </w:pPr>
            <w:r>
              <w:rPr>
                <w:rFonts w:hint="eastAsia" w:eastAsia="宋体"/>
                <w:sz w:val="21"/>
                <w:szCs w:val="21"/>
              </w:rPr>
              <w:t>光学中心垂直互差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12</w:t>
            </w:r>
          </w:p>
        </w:tc>
        <w:tc>
          <w:tcPr>
            <w:tcW w:w="4773" w:type="dxa"/>
            <w:vAlign w:val="center"/>
          </w:tcPr>
          <w:p>
            <w:pPr>
              <w:spacing w:line="340" w:lineRule="exact"/>
              <w:jc w:val="center"/>
              <w:rPr>
                <w:rFonts w:eastAsia="宋体"/>
                <w:sz w:val="21"/>
                <w:szCs w:val="21"/>
              </w:rPr>
            </w:pPr>
            <w:r>
              <w:rPr>
                <w:rFonts w:hint="eastAsia" w:eastAsia="宋体"/>
                <w:sz w:val="21"/>
                <w:szCs w:val="21"/>
              </w:rPr>
              <w:t>可见光谱区透射比</w:t>
            </w:r>
          </w:p>
        </w:tc>
        <w:tc>
          <w:tcPr>
            <w:tcW w:w="3418" w:type="dxa"/>
            <w:vAlign w:val="center"/>
          </w:tcPr>
          <w:p>
            <w:pPr>
              <w:spacing w:line="340" w:lineRule="exact"/>
              <w:jc w:val="center"/>
              <w:rPr>
                <w:rFonts w:eastAsia="宋体"/>
                <w:sz w:val="21"/>
                <w:szCs w:val="21"/>
              </w:rPr>
            </w:pPr>
            <w:r>
              <w:rPr>
                <w:rFonts w:hint="eastAsia" w:eastAsia="宋体"/>
                <w:sz w:val="21"/>
                <w:szCs w:val="21"/>
              </w:rPr>
              <w:t>GB 10810.3-2006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13</w:t>
            </w:r>
          </w:p>
        </w:tc>
        <w:tc>
          <w:tcPr>
            <w:tcW w:w="4773" w:type="dxa"/>
            <w:vAlign w:val="center"/>
          </w:tcPr>
          <w:p>
            <w:pPr>
              <w:spacing w:line="340" w:lineRule="exact"/>
              <w:jc w:val="center"/>
              <w:rPr>
                <w:rFonts w:eastAsia="宋体"/>
                <w:sz w:val="21"/>
                <w:szCs w:val="21"/>
              </w:rPr>
            </w:pPr>
            <w:r>
              <w:rPr>
                <w:rFonts w:hint="eastAsia" w:eastAsia="宋体"/>
                <w:sz w:val="21"/>
                <w:szCs w:val="21"/>
              </w:rPr>
              <w:t>光透射比相对偏差</w:t>
            </w:r>
          </w:p>
        </w:tc>
        <w:tc>
          <w:tcPr>
            <w:tcW w:w="3418" w:type="dxa"/>
            <w:vAlign w:val="center"/>
          </w:tcPr>
          <w:p>
            <w:pPr>
              <w:spacing w:line="340" w:lineRule="exact"/>
              <w:jc w:val="center"/>
              <w:rPr>
                <w:rFonts w:eastAsia="宋体"/>
                <w:sz w:val="21"/>
                <w:szCs w:val="21"/>
              </w:rPr>
            </w:pPr>
            <w:r>
              <w:rPr>
                <w:rFonts w:hint="eastAsia" w:eastAsia="宋体"/>
                <w:sz w:val="21"/>
                <w:szCs w:val="21"/>
              </w:rPr>
              <w:t>GB 10810.3-2006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14</w:t>
            </w:r>
          </w:p>
        </w:tc>
        <w:tc>
          <w:tcPr>
            <w:tcW w:w="4773" w:type="dxa"/>
            <w:vAlign w:val="center"/>
          </w:tcPr>
          <w:p>
            <w:pPr>
              <w:spacing w:line="340" w:lineRule="exact"/>
              <w:jc w:val="center"/>
              <w:rPr>
                <w:rFonts w:eastAsia="宋体"/>
                <w:sz w:val="21"/>
                <w:szCs w:val="21"/>
              </w:rPr>
            </w:pPr>
            <w:r>
              <w:rPr>
                <w:rFonts w:hint="eastAsia" w:eastAsia="宋体"/>
                <w:sz w:val="21"/>
                <w:szCs w:val="21"/>
              </w:rPr>
              <w:t>紫外光谱区透射比</w:t>
            </w:r>
          </w:p>
        </w:tc>
        <w:tc>
          <w:tcPr>
            <w:tcW w:w="3418" w:type="dxa"/>
            <w:vAlign w:val="center"/>
          </w:tcPr>
          <w:p>
            <w:pPr>
              <w:spacing w:line="340" w:lineRule="exact"/>
              <w:jc w:val="center"/>
              <w:rPr>
                <w:rFonts w:eastAsia="宋体"/>
                <w:sz w:val="21"/>
                <w:szCs w:val="21"/>
              </w:rPr>
            </w:pPr>
            <w:r>
              <w:rPr>
                <w:rFonts w:hint="eastAsia" w:eastAsia="宋体"/>
                <w:sz w:val="21"/>
                <w:szCs w:val="21"/>
              </w:rPr>
              <w:t>GB 10810.3-2006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15</w:t>
            </w:r>
          </w:p>
        </w:tc>
        <w:tc>
          <w:tcPr>
            <w:tcW w:w="4773" w:type="dxa"/>
            <w:vAlign w:val="center"/>
          </w:tcPr>
          <w:p>
            <w:pPr>
              <w:spacing w:line="340" w:lineRule="exact"/>
              <w:jc w:val="center"/>
              <w:rPr>
                <w:rFonts w:eastAsia="宋体"/>
                <w:sz w:val="21"/>
                <w:szCs w:val="21"/>
              </w:rPr>
            </w:pPr>
            <w:r>
              <w:rPr>
                <w:rFonts w:hint="eastAsia" w:eastAsia="宋体"/>
                <w:sz w:val="21"/>
                <w:szCs w:val="21"/>
              </w:rPr>
              <w:t>镜片厚度</w:t>
            </w:r>
          </w:p>
        </w:tc>
        <w:tc>
          <w:tcPr>
            <w:tcW w:w="3418" w:type="dxa"/>
            <w:vAlign w:val="center"/>
          </w:tcPr>
          <w:p>
            <w:pPr>
              <w:spacing w:line="340" w:lineRule="exact"/>
              <w:jc w:val="center"/>
              <w:rPr>
                <w:rFonts w:eastAsia="宋体"/>
                <w:sz w:val="21"/>
                <w:szCs w:val="21"/>
              </w:rPr>
            </w:pPr>
            <w:r>
              <w:rPr>
                <w:rFonts w:hint="eastAsia" w:eastAsia="宋体"/>
                <w:sz w:val="21"/>
                <w:szCs w:val="21"/>
              </w:rPr>
              <w:t>GB 10810.1-2005 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16</w:t>
            </w:r>
          </w:p>
        </w:tc>
        <w:tc>
          <w:tcPr>
            <w:tcW w:w="4773" w:type="dxa"/>
            <w:vAlign w:val="center"/>
          </w:tcPr>
          <w:p>
            <w:pPr>
              <w:spacing w:line="340" w:lineRule="exact"/>
              <w:jc w:val="center"/>
              <w:rPr>
                <w:rFonts w:eastAsia="宋体"/>
                <w:sz w:val="21"/>
                <w:szCs w:val="21"/>
              </w:rPr>
            </w:pPr>
            <w:r>
              <w:rPr>
                <w:rFonts w:hint="eastAsia" w:eastAsia="宋体"/>
                <w:sz w:val="21"/>
                <w:szCs w:val="21"/>
              </w:rPr>
              <w:t>装配质量</w:t>
            </w:r>
          </w:p>
        </w:tc>
        <w:tc>
          <w:tcPr>
            <w:tcW w:w="3418" w:type="dxa"/>
            <w:vAlign w:val="center"/>
          </w:tcPr>
          <w:p>
            <w:pPr>
              <w:spacing w:line="340" w:lineRule="exact"/>
              <w:jc w:val="center"/>
              <w:rPr>
                <w:rFonts w:eastAsia="宋体"/>
                <w:sz w:val="21"/>
                <w:szCs w:val="21"/>
              </w:rPr>
            </w:pPr>
            <w:r>
              <w:rPr>
                <w:rFonts w:hint="eastAsia" w:eastAsia="宋体"/>
                <w:sz w:val="21"/>
                <w:szCs w:val="21"/>
              </w:rPr>
              <w:t>GB 13511.1-2011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9168" w:type="dxa"/>
            <w:gridSpan w:val="3"/>
            <w:vAlign w:val="center"/>
          </w:tcPr>
          <w:p>
            <w:pPr>
              <w:spacing w:line="340" w:lineRule="exact"/>
              <w:jc w:val="left"/>
              <w:rPr>
                <w:rFonts w:eastAsia="宋体"/>
                <w:sz w:val="21"/>
                <w:szCs w:val="21"/>
              </w:rPr>
            </w:pPr>
            <w:r>
              <w:rPr>
                <w:rFonts w:hint="eastAsia" w:eastAsia="宋体"/>
                <w:sz w:val="21"/>
                <w:szCs w:val="21"/>
              </w:rPr>
              <w:t>注：1.定配眼镜所用镜片有染色时透射比应符合GB 10810.3 5.3要求，使用光致变色镜片时透射比应符合GB 10810.3 5.5要求，当定配眼镜明示可适合作驾驶镜时透射比应符合GB 10810.3 5.4要求。</w:t>
            </w:r>
          </w:p>
          <w:p>
            <w:pPr>
              <w:spacing w:line="340" w:lineRule="exact"/>
              <w:jc w:val="left"/>
              <w:rPr>
                <w:rFonts w:eastAsia="宋体"/>
                <w:sz w:val="21"/>
                <w:szCs w:val="21"/>
              </w:rPr>
            </w:pPr>
            <w:r>
              <w:rPr>
                <w:rFonts w:hint="eastAsia" w:eastAsia="宋体"/>
                <w:sz w:val="21"/>
                <w:szCs w:val="21"/>
              </w:rPr>
              <w:t>2.只有当抽查的样品有处方棱镜度、标称厚度时，才对序号7、15项目进行检测。</w:t>
            </w:r>
          </w:p>
          <w:p>
            <w:pPr>
              <w:spacing w:line="340" w:lineRule="exact"/>
              <w:jc w:val="left"/>
              <w:rPr>
                <w:rFonts w:eastAsia="宋体"/>
                <w:sz w:val="21"/>
                <w:szCs w:val="21"/>
              </w:rPr>
            </w:pPr>
            <w:r>
              <w:rPr>
                <w:rFonts w:hint="eastAsia" w:eastAsia="宋体"/>
                <w:sz w:val="21"/>
                <w:szCs w:val="21"/>
              </w:rPr>
              <w:t>3.只有当抽查的样品为多焦点镜片时，才对序号8项目进行检测。</w:t>
            </w:r>
          </w:p>
        </w:tc>
      </w:tr>
    </w:tbl>
    <w:p>
      <w:pPr>
        <w:spacing w:line="560" w:lineRule="exact"/>
        <w:ind w:firstLine="640" w:firstLineChars="200"/>
        <w:rPr>
          <w:szCs w:val="32"/>
        </w:rPr>
      </w:pPr>
      <w:r>
        <w:rPr>
          <w:szCs w:val="32"/>
        </w:rPr>
        <w:t>执行企业标准、团体标准、地方标准的产品，检验项目参照上述内容执行。</w:t>
      </w:r>
    </w:p>
    <w:p>
      <w:pPr>
        <w:spacing w:line="560" w:lineRule="exact"/>
        <w:ind w:firstLine="640" w:firstLineChars="200"/>
        <w:rPr>
          <w:szCs w:val="32"/>
        </w:rPr>
      </w:pPr>
      <w:r>
        <w:rPr>
          <w:szCs w:val="32"/>
        </w:rPr>
        <w:t>凡是注日期的文件，其随后所有的修改单（不包括勘误的内容）或修订版不适用于本细则。凡是不注日期的文件，其最新版本适用于本细则。</w:t>
      </w:r>
    </w:p>
    <w:p>
      <w:pPr>
        <w:spacing w:line="560" w:lineRule="exact"/>
        <w:ind w:firstLine="640" w:firstLineChars="200"/>
        <w:rPr>
          <w:szCs w:val="32"/>
        </w:rPr>
      </w:pPr>
      <w:r>
        <w:rPr>
          <w:rFonts w:eastAsia="黑体"/>
          <w:szCs w:val="32"/>
        </w:rPr>
        <w:t>3 判定规则</w:t>
      </w:r>
    </w:p>
    <w:p>
      <w:pPr>
        <w:spacing w:line="560" w:lineRule="exact"/>
        <w:ind w:firstLine="640" w:firstLineChars="200"/>
        <w:rPr>
          <w:szCs w:val="32"/>
        </w:rPr>
      </w:pPr>
      <w:r>
        <w:rPr>
          <w:szCs w:val="32"/>
        </w:rPr>
        <w:t>3.1依据标准</w:t>
      </w:r>
    </w:p>
    <w:p>
      <w:pPr>
        <w:spacing w:line="560" w:lineRule="exact"/>
        <w:ind w:firstLine="640" w:firstLineChars="200"/>
        <w:rPr>
          <w:szCs w:val="32"/>
        </w:rPr>
      </w:pPr>
      <w:r>
        <w:rPr>
          <w:szCs w:val="32"/>
        </w:rPr>
        <w:t>GB 13511.1-2011 《配装眼镜 第1部分：单光和多焦点》</w:t>
      </w:r>
    </w:p>
    <w:p>
      <w:pPr>
        <w:spacing w:line="560" w:lineRule="exact"/>
        <w:ind w:firstLine="640" w:firstLineChars="200"/>
        <w:rPr>
          <w:szCs w:val="32"/>
        </w:rPr>
      </w:pPr>
      <w:r>
        <w:rPr>
          <w:szCs w:val="32"/>
        </w:rPr>
        <w:t>现行有效的企业标准、团体标准、地方标准及产品明示质量要求</w:t>
      </w:r>
    </w:p>
    <w:p>
      <w:pPr>
        <w:spacing w:line="560" w:lineRule="exact"/>
        <w:ind w:firstLine="640" w:firstLineChars="200"/>
        <w:rPr>
          <w:szCs w:val="32"/>
        </w:rPr>
      </w:pPr>
      <w:r>
        <w:rPr>
          <w:szCs w:val="32"/>
        </w:rPr>
        <w:t>3.2判定原则</w:t>
      </w:r>
    </w:p>
    <w:p>
      <w:pPr>
        <w:spacing w:line="560" w:lineRule="exact"/>
        <w:ind w:firstLine="640" w:firstLineChars="200"/>
        <w:rPr>
          <w:szCs w:val="32"/>
        </w:rPr>
      </w:pPr>
      <w:r>
        <w:rPr>
          <w:szCs w:val="32"/>
        </w:rPr>
        <w:t>经检验，检验项目全部合格，判定为被抽查产品所检项目未发现不合格；检验项目中任一项或一项以上不合格，判定为被抽查产品不合格。</w:t>
      </w:r>
    </w:p>
    <w:p>
      <w:pPr>
        <w:spacing w:line="560" w:lineRule="exact"/>
        <w:ind w:firstLine="640" w:firstLineChars="200"/>
        <w:rPr>
          <w:szCs w:val="32"/>
        </w:rPr>
      </w:pPr>
      <w:r>
        <w:rPr>
          <w:szCs w:val="32"/>
        </w:rPr>
        <w:t>若被检产品明示的质量要求高于本细则中检验项目依据的标准要求时，应按被检产品明示的质量要求判定。</w:t>
      </w:r>
    </w:p>
    <w:p>
      <w:pPr>
        <w:spacing w:line="560" w:lineRule="exact"/>
        <w:ind w:firstLine="636" w:firstLineChars="199"/>
        <w:rPr>
          <w:szCs w:val="32"/>
        </w:rPr>
      </w:pPr>
      <w:r>
        <w:rPr>
          <w:szCs w:val="32"/>
        </w:rPr>
        <w:t>若被检产品明示的质量要求低于本细则中检验项目依据的强制性标准要求时，应按照强制性标准要求判定。</w:t>
      </w:r>
    </w:p>
    <w:p>
      <w:pPr>
        <w:spacing w:line="560" w:lineRule="exact"/>
        <w:ind w:firstLine="636" w:firstLineChars="199"/>
        <w:rPr>
          <w:szCs w:val="32"/>
        </w:rPr>
      </w:pPr>
      <w:r>
        <w:rPr>
          <w:szCs w:val="32"/>
        </w:rPr>
        <w:t>若被检产品明示的质量要求低于或包含本细则中检验项目依据的推荐性标准要求时，应以被检产品明示的质量要求判定。</w:t>
      </w:r>
    </w:p>
    <w:p>
      <w:pPr>
        <w:spacing w:line="560" w:lineRule="exact"/>
        <w:ind w:firstLine="636" w:firstLineChars="199"/>
        <w:rPr>
          <w:szCs w:val="32"/>
        </w:rPr>
      </w:pPr>
      <w:r>
        <w:rPr>
          <w:szCs w:val="32"/>
        </w:rPr>
        <w:t>若被检产品明示的质量要求缺少本细则中检验项目依据的强制性标准要求时，应按照强制性标准要求判定。</w:t>
      </w:r>
    </w:p>
    <w:p>
      <w:pPr>
        <w:spacing w:line="560" w:lineRule="exact"/>
        <w:ind w:firstLine="636" w:firstLineChars="199"/>
        <w:rPr>
          <w:szCs w:val="32"/>
        </w:rPr>
      </w:pPr>
      <w:r>
        <w:rPr>
          <w:szCs w:val="32"/>
        </w:rPr>
        <w:t>若被检产品明示的质量要求缺少本细则中检验项目依据的推荐性标准要求时，该项目不参与判定。</w:t>
      </w: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ourier New">
    <w:altName w:val="DejaVu Sans"/>
    <w:panose1 w:val="02070309020205020404"/>
    <w:charset w:val="00"/>
    <w:family w:val="modern"/>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72"/>
    <w:rsid w:val="000E46AA"/>
    <w:rsid w:val="001500FA"/>
    <w:rsid w:val="0039098A"/>
    <w:rsid w:val="00E44772"/>
    <w:rsid w:val="8CFD6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semiHidden/>
    <w:unhideWhenUsed/>
    <w:qFormat/>
    <w:uiPriority w:val="99"/>
    <w:rPr>
      <w:rFonts w:ascii="宋体" w:hAnsi="Courier New" w:eastAsia="宋体" w:cs="Courier New"/>
      <w:sz w:val="21"/>
      <w:szCs w:val="21"/>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0">
    <w:name w:val="纯文本 Char"/>
    <w:basedOn w:val="6"/>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Pages>
  <Words>222</Words>
  <Characters>1271</Characters>
  <Lines>10</Lines>
  <Paragraphs>2</Paragraphs>
  <TotalTime>0</TotalTime>
  <ScaleCrop>false</ScaleCrop>
  <LinksUpToDate>false</LinksUpToDate>
  <CharactersWithSpaces>1491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2024-05-16T17:02:00Z</dcterms:created>
  <dc:creator>政府版用户</dc:creator>
  <cp:lastModifiedBy>admin1</cp:lastModifiedBy>
  <dcterms:modified xsi:type="dcterms:W3CDTF">2024-06-21T11:08:09Z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72DDB922AEA8F41499EE7466988459A1</vt:lpwstr>
  </property>
</Properties>
</file>