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eastAsia="方正小标宋简体"/>
          <w:color w:val="000000"/>
        </w:rPr>
      </w:pPr>
      <w:r>
        <w:rPr>
          <w:rFonts w:hint="eastAsia" w:eastAsia="方正小标宋简体"/>
          <w:color w:val="000000"/>
        </w:rPr>
        <w:t>车用汽油产品质量监督抽查实施细则</w:t>
      </w:r>
    </w:p>
    <w:p>
      <w:pPr>
        <w:spacing w:line="440" w:lineRule="exact"/>
        <w:rPr>
          <w:rFonts w:eastAsia="方正小标宋简体"/>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每批次抽取样品4L，其中2L作为检验样品，2L作为备用样品。</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在生产企业（油库）抽样时，按</w:t>
      </w:r>
      <w:r>
        <w:rPr>
          <w:rFonts w:eastAsia="宋体"/>
          <w:color w:val="000000"/>
          <w:sz w:val="21"/>
          <w:szCs w:val="21"/>
        </w:rPr>
        <w:t>GB/T 4756-2015</w:t>
      </w:r>
      <w:r>
        <w:rPr>
          <w:rFonts w:hint="eastAsia" w:eastAsia="宋体"/>
          <w:color w:val="000000"/>
          <w:sz w:val="21"/>
          <w:szCs w:val="21"/>
        </w:rPr>
        <w:t>《石油液体手工取样法》规定的方法抽取样本；在加油站或燃油供应船舶或燃油供应车辆抽样时，直接在加油机加油枪或加油管出口处（或取样处）随机抽取样本。抽取样本前，通过油枪或油管将至少</w:t>
      </w:r>
      <w:r>
        <w:rPr>
          <w:rFonts w:eastAsia="宋体"/>
          <w:color w:val="000000"/>
          <w:sz w:val="21"/>
          <w:szCs w:val="21"/>
        </w:rPr>
        <w:t>4L</w:t>
      </w:r>
      <w:r>
        <w:rPr>
          <w:rFonts w:hint="eastAsia" w:eastAsia="宋体"/>
          <w:color w:val="000000"/>
          <w:sz w:val="21"/>
          <w:szCs w:val="21"/>
        </w:rPr>
        <w:t>油品放出，清洗加油管，避免加油管污染样品；同时清洗取样罐至少</w:t>
      </w:r>
      <w:r>
        <w:rPr>
          <w:rFonts w:eastAsia="宋体"/>
          <w:color w:val="000000"/>
          <w:sz w:val="21"/>
          <w:szCs w:val="21"/>
        </w:rPr>
        <w:t>3</w:t>
      </w:r>
      <w:r>
        <w:rPr>
          <w:rFonts w:hint="eastAsia" w:eastAsia="宋体"/>
          <w:color w:val="000000"/>
          <w:sz w:val="21"/>
          <w:szCs w:val="21"/>
        </w:rPr>
        <w:t>次。</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确定被抽样对象应符合T/GDAQI 020-2022《产品质量监督抽查抽样检验技术服务规范》5.3.3.3和第6章抽样的相关要求。</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抽取样品应为同一型号规格、同一批次的产品，检验样品和备用样品必须取自同一油枪或储罐。</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检验样品和备用样品应分别签封，确保防止拆封、封条完整、清晰，并注明“检验样品”或“备用样品”，一起送至检验机构。封样单上应有被抽查企业和抽样人员双方的签名，注明抽样日期。封好样后，可采取拍照、封样单骑缝签名、漆封、特殊材料等其他附加的防拆封措施。在运送过程中应注意对样品进行适当防护，避免出现磕碰、雨淋、进水等情况</w:t>
      </w:r>
    </w:p>
    <w:p>
      <w:pPr>
        <w:snapToGrid w:val="0"/>
        <w:spacing w:line="440" w:lineRule="exact"/>
        <w:ind w:firstLine="420" w:firstLineChars="200"/>
        <w:rPr>
          <w:rFonts w:eastAsia="宋体"/>
          <w:color w:val="000000"/>
          <w:sz w:val="21"/>
          <w:szCs w:val="21"/>
        </w:rPr>
      </w:pPr>
    </w:p>
    <w:p>
      <w:pPr>
        <w:snapToGrid w:val="0"/>
        <w:spacing w:line="440" w:lineRule="exact"/>
        <w:rPr>
          <w:rFonts w:eastAsia="黑体"/>
          <w:color w:val="000000"/>
          <w:sz w:val="21"/>
          <w:szCs w:val="21"/>
        </w:rPr>
      </w:pPr>
      <w:r>
        <w:rPr>
          <w:rFonts w:eastAsia="黑体"/>
          <w:color w:val="000000"/>
          <w:sz w:val="21"/>
          <w:szCs w:val="21"/>
        </w:rPr>
        <w:t>2 检验依据</w:t>
      </w:r>
    </w:p>
    <w:p>
      <w:pPr>
        <w:snapToGrid w:val="0"/>
        <w:spacing w:line="440" w:lineRule="exact"/>
        <w:jc w:val="center"/>
        <w:rPr>
          <w:color w:val="000000"/>
          <w:szCs w:val="21"/>
        </w:rPr>
      </w:pP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3898"/>
        <w:gridCol w:w="4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183" w:type="dxa"/>
            <w:vAlign w:val="center"/>
          </w:tcPr>
          <w:p>
            <w:pPr>
              <w:snapToGrid w:val="0"/>
              <w:jc w:val="center"/>
              <w:rPr>
                <w:rFonts w:eastAsia="宋体"/>
                <w:color w:val="000000"/>
                <w:sz w:val="21"/>
                <w:szCs w:val="21"/>
              </w:rPr>
            </w:pPr>
            <w:r>
              <w:rPr>
                <w:rFonts w:eastAsia="宋体"/>
                <w:color w:val="000000"/>
                <w:sz w:val="21"/>
                <w:szCs w:val="21"/>
              </w:rPr>
              <w:t>序号</w:t>
            </w:r>
          </w:p>
        </w:tc>
        <w:tc>
          <w:tcPr>
            <w:tcW w:w="3898" w:type="dxa"/>
            <w:vAlign w:val="center"/>
          </w:tcPr>
          <w:p>
            <w:pPr>
              <w:snapToGrid w:val="0"/>
              <w:jc w:val="center"/>
              <w:rPr>
                <w:rFonts w:eastAsia="宋体"/>
                <w:color w:val="000000"/>
                <w:sz w:val="21"/>
                <w:szCs w:val="21"/>
              </w:rPr>
            </w:pPr>
            <w:r>
              <w:rPr>
                <w:rFonts w:eastAsia="宋体"/>
                <w:color w:val="000000"/>
                <w:sz w:val="21"/>
                <w:szCs w:val="21"/>
              </w:rPr>
              <w:t>检验项目</w:t>
            </w:r>
          </w:p>
        </w:tc>
        <w:tc>
          <w:tcPr>
            <w:tcW w:w="4093" w:type="dxa"/>
            <w:vAlign w:val="center"/>
          </w:tcPr>
          <w:p>
            <w:pPr>
              <w:snapToGrid w:val="0"/>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bookmarkStart w:id="0" w:name="_GoBack" w:colFirst="0" w:colLast="2"/>
            <w:r>
              <w:rPr>
                <w:rFonts w:eastAsia="宋体"/>
                <w:color w:val="000000"/>
                <w:sz w:val="21"/>
                <w:szCs w:val="21"/>
              </w:rPr>
              <w:t>1</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机械杂质及水分</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2</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硫含量</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SH/T 0689-2000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3</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馏程</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4</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密度</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1884－2000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5</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硫醇</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NB/SH/T 0174-2015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6</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蒸气压</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8017-2012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7</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研究法辛烷值</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8</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铅含量</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8020-2015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9</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诱导期</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8018-2015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10</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铜片腐蚀</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11</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水溶性酸或碱</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259-1988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12</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苯含量</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SH/T 0713-2002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13</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氧含量</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14</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甲醇含量</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15</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锰含量</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NB/SH/T 0711-2019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16</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铁含量</w:t>
            </w:r>
          </w:p>
        </w:tc>
        <w:tc>
          <w:tcPr>
            <w:tcW w:w="4093" w:type="dxa"/>
          </w:tcPr>
          <w:p>
            <w:pPr>
              <w:snapToGrid w:val="0"/>
              <w:jc w:val="center"/>
              <w:rPr>
                <w:rFonts w:eastAsia="宋体"/>
                <w:color w:val="000000"/>
                <w:sz w:val="21"/>
                <w:szCs w:val="21"/>
              </w:rPr>
            </w:pPr>
            <w:r>
              <w:rPr>
                <w:rFonts w:hint="eastAsia" w:eastAsia="宋体"/>
                <w:color w:val="000000"/>
                <w:sz w:val="21"/>
                <w:szCs w:val="21"/>
              </w:rPr>
              <w:t>SH/T 0712-2002</w:t>
            </w:r>
          </w:p>
        </w:tc>
      </w:tr>
      <w:bookmarkEnd w:id="0"/>
    </w:tbl>
    <w:p>
      <w:pPr>
        <w:snapToGrid w:val="0"/>
        <w:spacing w:line="440" w:lineRule="exact"/>
        <w:ind w:firstLine="420" w:firstLineChars="200"/>
        <w:rPr>
          <w:rFonts w:eastAsia="宋体"/>
          <w:sz w:val="21"/>
          <w:szCs w:val="21"/>
        </w:rPr>
      </w:pPr>
      <w:r>
        <w:rPr>
          <w:rFonts w:eastAsia="宋体"/>
          <w:sz w:val="21"/>
          <w:szCs w:val="21"/>
        </w:rPr>
        <w:t>执行企业标准、团体标准、地方标准的产品，检验项目参照上述内容执行。</w:t>
      </w:r>
    </w:p>
    <w:p>
      <w:pPr>
        <w:snapToGrid w:val="0"/>
        <w:spacing w:line="440" w:lineRule="exact"/>
        <w:ind w:firstLine="420" w:firstLineChars="200"/>
        <w:rPr>
          <w:rFonts w:eastAsia="宋体"/>
          <w:sz w:val="21"/>
          <w:szCs w:val="21"/>
        </w:rPr>
      </w:pPr>
      <w:r>
        <w:rPr>
          <w:rFonts w:eastAsia="宋体"/>
          <w:sz w:val="21"/>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eastAsia="宋体"/>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359" w:firstLineChars="171"/>
        <w:rPr>
          <w:rFonts w:eastAsia="宋体"/>
          <w:color w:val="000000"/>
          <w:sz w:val="21"/>
          <w:szCs w:val="21"/>
        </w:rPr>
      </w:pPr>
      <w:r>
        <w:rPr>
          <w:rFonts w:hint="eastAsia" w:eastAsia="宋体"/>
          <w:color w:val="000000"/>
          <w:sz w:val="21"/>
          <w:szCs w:val="21"/>
        </w:rPr>
        <w:t>GB 17930-2016《车用汽油》</w:t>
      </w:r>
    </w:p>
    <w:p>
      <w:pPr>
        <w:snapToGrid w:val="0"/>
        <w:spacing w:line="440" w:lineRule="exact"/>
        <w:ind w:firstLine="359" w:firstLineChars="171"/>
        <w:rPr>
          <w:rFonts w:eastAsia="宋体"/>
          <w:color w:val="000000"/>
          <w:sz w:val="21"/>
          <w:szCs w:val="21"/>
        </w:rPr>
      </w:pPr>
      <w:r>
        <w:rPr>
          <w:rFonts w:eastAsia="宋体"/>
          <w:color w:val="000000"/>
          <w:sz w:val="21"/>
          <w:szCs w:val="21"/>
        </w:rPr>
        <w:t>现行有效的企业标准、团体标准、地方标准及产品明示质量要求</w:t>
      </w:r>
    </w:p>
    <w:p>
      <w:pPr>
        <w:snapToGrid w:val="0"/>
        <w:spacing w:line="440" w:lineRule="exact"/>
        <w:rPr>
          <w:rFonts w:eastAsia="宋体"/>
          <w:color w:val="000000"/>
          <w:sz w:val="21"/>
          <w:szCs w:val="21"/>
        </w:rPr>
      </w:pPr>
      <w:r>
        <w:rPr>
          <w:rFonts w:hint="eastAsia" w:eastAsia="宋体"/>
          <w:color w:val="000000"/>
          <w:sz w:val="21"/>
          <w:szCs w:val="21"/>
        </w:rPr>
        <w:t>3.2 判定原则</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经检验，检验项目全部合格，判定为被抽查产品合格；检验项目中任一项或一项以上不合格，判定为被抽查产品不合格。</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当</w:t>
      </w:r>
      <w:r>
        <w:rPr>
          <w:rFonts w:eastAsia="宋体"/>
          <w:color w:val="000000"/>
          <w:sz w:val="21"/>
          <w:szCs w:val="21"/>
        </w:rPr>
        <w:t>被检产品明示的质量要求高于本细则中检验项目依据的标准要求时，应按被检产品明示的质量要求判定。</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当</w:t>
      </w:r>
      <w:r>
        <w:rPr>
          <w:rFonts w:eastAsia="宋体"/>
          <w:color w:val="000000"/>
          <w:sz w:val="21"/>
          <w:szCs w:val="21"/>
        </w:rPr>
        <w:t>被检产品明示的质量要求低于本细则中检验项目依据的强制性标准要求时，应按照强制性标准要求判定。</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当</w:t>
      </w:r>
      <w:r>
        <w:rPr>
          <w:rFonts w:eastAsia="宋体"/>
          <w:color w:val="000000"/>
          <w:sz w:val="21"/>
          <w:szCs w:val="21"/>
        </w:rPr>
        <w:t>被检产品明示的质量要求缺少本细则中检验项目依据的强制性标准要求时，应按照强制性标准要求判定。</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当被检样品标签标识中执行标准信息和产品类别信息不明或有误，影响检测和判定时，可根据产品特点等信息判断和选择相关标准进行检验，并应在检验报告中作出相关说明。</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按照产品质量相关法律法规的规定判定。</w:t>
      </w:r>
    </w:p>
    <w:p>
      <w:pPr>
        <w:autoSpaceDE w:val="0"/>
        <w:autoSpaceDN w:val="0"/>
        <w:spacing w:line="600" w:lineRule="exact"/>
        <w:ind w:firstLine="420" w:firstLineChars="200"/>
        <w:rPr>
          <w:rFonts w:eastAsia="宋体"/>
          <w:color w:val="000000"/>
          <w:sz w:val="21"/>
          <w:szCs w:val="21"/>
        </w:rPr>
      </w:pPr>
      <w:r>
        <w:rPr>
          <w:rFonts w:hint="eastAsia" w:eastAsia="宋体"/>
          <w:color w:val="000000"/>
          <w:sz w:val="21"/>
          <w:szCs w:val="21"/>
        </w:rPr>
        <w:t>检验中发现因样品失效或者其他原因致使检验无法进行的，检验人员应如实记录，并提供相关证明材料，报送组织监督抽查的市场监管部门</w:t>
      </w:r>
      <w:r>
        <w:rPr>
          <w:rFonts w:eastAsia="宋体"/>
          <w:color w:val="000000"/>
          <w:sz w:val="21"/>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094"/>
    <w:rsid w:val="00036BC7"/>
    <w:rsid w:val="00045C20"/>
    <w:rsid w:val="0005045D"/>
    <w:rsid w:val="00063BD5"/>
    <w:rsid w:val="00092ABD"/>
    <w:rsid w:val="0009567A"/>
    <w:rsid w:val="00116270"/>
    <w:rsid w:val="00120EFB"/>
    <w:rsid w:val="001221DB"/>
    <w:rsid w:val="00192BBD"/>
    <w:rsid w:val="001D0EAC"/>
    <w:rsid w:val="001F5DD4"/>
    <w:rsid w:val="00201CDD"/>
    <w:rsid w:val="00223348"/>
    <w:rsid w:val="00250DFA"/>
    <w:rsid w:val="00283F57"/>
    <w:rsid w:val="002923B9"/>
    <w:rsid w:val="00294579"/>
    <w:rsid w:val="003042B1"/>
    <w:rsid w:val="00310C73"/>
    <w:rsid w:val="00333B62"/>
    <w:rsid w:val="0039338B"/>
    <w:rsid w:val="004015F5"/>
    <w:rsid w:val="00441D0E"/>
    <w:rsid w:val="004556A2"/>
    <w:rsid w:val="00467558"/>
    <w:rsid w:val="004757C1"/>
    <w:rsid w:val="004A5090"/>
    <w:rsid w:val="004B2573"/>
    <w:rsid w:val="004D7439"/>
    <w:rsid w:val="00544BE4"/>
    <w:rsid w:val="005923AA"/>
    <w:rsid w:val="005924E9"/>
    <w:rsid w:val="00592C01"/>
    <w:rsid w:val="005A0994"/>
    <w:rsid w:val="005F3C4A"/>
    <w:rsid w:val="006238A1"/>
    <w:rsid w:val="00624315"/>
    <w:rsid w:val="00652531"/>
    <w:rsid w:val="00695250"/>
    <w:rsid w:val="006B1D22"/>
    <w:rsid w:val="006D07E0"/>
    <w:rsid w:val="006D4F7A"/>
    <w:rsid w:val="006D505E"/>
    <w:rsid w:val="006E20D4"/>
    <w:rsid w:val="006F4E7D"/>
    <w:rsid w:val="00732793"/>
    <w:rsid w:val="00735F9B"/>
    <w:rsid w:val="0074286E"/>
    <w:rsid w:val="00752F93"/>
    <w:rsid w:val="0075545D"/>
    <w:rsid w:val="007914F7"/>
    <w:rsid w:val="007A0EE2"/>
    <w:rsid w:val="007A10C3"/>
    <w:rsid w:val="007B0EC6"/>
    <w:rsid w:val="007F204B"/>
    <w:rsid w:val="008265CD"/>
    <w:rsid w:val="00832A68"/>
    <w:rsid w:val="00835C60"/>
    <w:rsid w:val="00841ED0"/>
    <w:rsid w:val="00895950"/>
    <w:rsid w:val="008C102E"/>
    <w:rsid w:val="008C280B"/>
    <w:rsid w:val="008F74C7"/>
    <w:rsid w:val="00926BC7"/>
    <w:rsid w:val="009F07C3"/>
    <w:rsid w:val="00A02A33"/>
    <w:rsid w:val="00A40122"/>
    <w:rsid w:val="00A66D10"/>
    <w:rsid w:val="00A8128C"/>
    <w:rsid w:val="00A97411"/>
    <w:rsid w:val="00AA0E83"/>
    <w:rsid w:val="00AC1C38"/>
    <w:rsid w:val="00B25DB1"/>
    <w:rsid w:val="00B7736F"/>
    <w:rsid w:val="00BA2151"/>
    <w:rsid w:val="00BA664E"/>
    <w:rsid w:val="00BB0486"/>
    <w:rsid w:val="00BB0B4C"/>
    <w:rsid w:val="00BB47C2"/>
    <w:rsid w:val="00BC667E"/>
    <w:rsid w:val="00BD50D2"/>
    <w:rsid w:val="00C070D8"/>
    <w:rsid w:val="00C17D35"/>
    <w:rsid w:val="00C4082C"/>
    <w:rsid w:val="00C450FD"/>
    <w:rsid w:val="00C512B6"/>
    <w:rsid w:val="00C67868"/>
    <w:rsid w:val="00C94D75"/>
    <w:rsid w:val="00CC19A7"/>
    <w:rsid w:val="00D1464E"/>
    <w:rsid w:val="00D224DD"/>
    <w:rsid w:val="00D357A6"/>
    <w:rsid w:val="00D554F8"/>
    <w:rsid w:val="00D629E1"/>
    <w:rsid w:val="00DC058E"/>
    <w:rsid w:val="00DE1180"/>
    <w:rsid w:val="00E54840"/>
    <w:rsid w:val="00E56737"/>
    <w:rsid w:val="00E61CE3"/>
    <w:rsid w:val="00E72969"/>
    <w:rsid w:val="00E86D1B"/>
    <w:rsid w:val="00E94DFB"/>
    <w:rsid w:val="00E9624B"/>
    <w:rsid w:val="00E977EC"/>
    <w:rsid w:val="00EC3EBE"/>
    <w:rsid w:val="00EE24A1"/>
    <w:rsid w:val="00EE31D6"/>
    <w:rsid w:val="00F1323C"/>
    <w:rsid w:val="00F36D74"/>
    <w:rsid w:val="00F5376E"/>
    <w:rsid w:val="00F60942"/>
    <w:rsid w:val="00F8007C"/>
    <w:rsid w:val="00FA7094"/>
    <w:rsid w:val="00FA791E"/>
    <w:rsid w:val="00FB22F7"/>
    <w:rsid w:val="00FC173D"/>
    <w:rsid w:val="00FC3578"/>
    <w:rsid w:val="00FE6536"/>
    <w:rsid w:val="37BFD5D1"/>
    <w:rsid w:val="5BEB6052"/>
    <w:rsid w:val="779D3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9"/>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0"/>
    <w:unhideWhenUsed/>
    <w:qFormat/>
    <w:uiPriority w:val="0"/>
    <w:rPr>
      <w:rFonts w:ascii="宋体" w:hAnsi="Courier New" w:eastAsia="宋体" w:cs="Courier New"/>
      <w:sz w:val="21"/>
      <w:szCs w:val="21"/>
    </w:rPr>
  </w:style>
  <w:style w:type="paragraph" w:styleId="4">
    <w:name w:val="footer"/>
    <w:basedOn w:val="1"/>
    <w:link w:val="15"/>
    <w:qFormat/>
    <w:uiPriority w:val="0"/>
    <w:pPr>
      <w:tabs>
        <w:tab w:val="center" w:pos="4153"/>
        <w:tab w:val="right" w:pos="8306"/>
      </w:tabs>
      <w:snapToGrid w:val="0"/>
      <w:jc w:val="left"/>
    </w:pPr>
    <w:rPr>
      <w:rFonts w:eastAsia="仿宋_GB2312"/>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1 Char"/>
    <w:basedOn w:val="8"/>
    <w:link w:val="2"/>
    <w:qFormat/>
    <w:uiPriority w:val="0"/>
    <w:rPr>
      <w:rFonts w:ascii="方正小标宋简体" w:eastAsia="方正小标宋简体"/>
      <w:kern w:val="44"/>
      <w:sz w:val="38"/>
      <w:szCs w:val="24"/>
    </w:rPr>
  </w:style>
  <w:style w:type="character" w:customStyle="1" w:styleId="10">
    <w:name w:val="纯文本 Char"/>
    <w:basedOn w:val="8"/>
    <w:link w:val="3"/>
    <w:qFormat/>
    <w:uiPriority w:val="0"/>
    <w:rPr>
      <w:rFonts w:ascii="宋体" w:hAnsi="Courier New" w:cs="Courier New"/>
      <w:kern w:val="2"/>
      <w:sz w:val="21"/>
      <w:szCs w:val="21"/>
    </w:rPr>
  </w:style>
  <w:style w:type="table" w:customStyle="1" w:styleId="11">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_Style 14"/>
    <w:basedOn w:val="1"/>
    <w:qFormat/>
    <w:uiPriority w:val="34"/>
    <w:pPr>
      <w:ind w:firstLine="420" w:firstLineChars="200"/>
    </w:pPr>
    <w:rPr>
      <w:rFonts w:eastAsia="仿宋_GB2312"/>
      <w:sz w:val="30"/>
      <w:szCs w:val="24"/>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4">
    <w:name w:val="页眉 Char"/>
    <w:basedOn w:val="8"/>
    <w:link w:val="5"/>
    <w:qFormat/>
    <w:uiPriority w:val="0"/>
    <w:rPr>
      <w:rFonts w:eastAsia="仿宋_GB2312"/>
      <w:kern w:val="2"/>
      <w:sz w:val="18"/>
      <w:szCs w:val="18"/>
    </w:rPr>
  </w:style>
  <w:style w:type="character" w:customStyle="1" w:styleId="15">
    <w:name w:val="页脚 Char"/>
    <w:basedOn w:val="8"/>
    <w:link w:val="4"/>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219</Words>
  <Characters>1251</Characters>
  <Lines>10</Lines>
  <Paragraphs>2</Paragraphs>
  <TotalTime>2</TotalTime>
  <ScaleCrop>false</ScaleCrop>
  <LinksUpToDate>false</LinksUpToDate>
  <CharactersWithSpaces>1468</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2024-06-18T18:50:00Z</dcterms:created>
  <dc:creator>范士平</dc:creator>
  <cp:lastModifiedBy>admin1</cp:lastModifiedBy>
  <dcterms:modified xsi:type="dcterms:W3CDTF">2024-06-21T11:45:13Z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679692AF6AAE156514F674667679EDB7</vt:lpwstr>
  </property>
</Properties>
</file>