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40" w:lineRule="exact"/>
        <w:jc w:val="center"/>
        <w:rPr>
          <w:rFonts w:eastAsia="方正小标宋简体"/>
          <w:color w:val="000000"/>
        </w:rPr>
      </w:pPr>
      <w:bookmarkStart w:id="0" w:name="_GoBack"/>
      <w:r>
        <w:rPr>
          <w:rFonts w:hint="eastAsia" w:eastAsia="方正小标宋简体"/>
          <w:color w:val="000000"/>
        </w:rPr>
        <w:t>车用柴油产品质量监督抽查实施细则</w:t>
      </w:r>
    </w:p>
    <w:bookmarkEnd w:id="0"/>
    <w:p>
      <w:pPr>
        <w:spacing w:line="440" w:lineRule="exact"/>
        <w:rPr>
          <w:rFonts w:eastAsia="方正小标宋简体"/>
        </w:rPr>
      </w:pPr>
    </w:p>
    <w:p>
      <w:pPr>
        <w:snapToGrid w:val="0"/>
        <w:spacing w:line="440" w:lineRule="exact"/>
        <w:rPr>
          <w:rFonts w:eastAsia="黑体"/>
          <w:color w:val="000000"/>
          <w:sz w:val="21"/>
          <w:szCs w:val="21"/>
        </w:rPr>
      </w:pPr>
      <w:r>
        <w:rPr>
          <w:rFonts w:hint="eastAsia" w:eastAsia="黑体"/>
          <w:color w:val="000000"/>
          <w:sz w:val="21"/>
          <w:szCs w:val="21"/>
        </w:rPr>
        <w:t>1 抽样方法</w:t>
      </w:r>
    </w:p>
    <w:p>
      <w:pPr>
        <w:snapToGrid w:val="0"/>
        <w:spacing w:line="440" w:lineRule="exact"/>
        <w:ind w:firstLine="420" w:firstLineChars="200"/>
        <w:rPr>
          <w:rFonts w:hint="eastAsia" w:eastAsia="宋体"/>
          <w:color w:val="000000"/>
          <w:sz w:val="21"/>
          <w:szCs w:val="21"/>
        </w:rPr>
      </w:pPr>
      <w:r>
        <w:rPr>
          <w:rFonts w:eastAsia="宋体"/>
          <w:color w:val="000000"/>
          <w:sz w:val="21"/>
          <w:szCs w:val="21"/>
        </w:rPr>
        <w:t>以随机抽样的方式在被抽样生产者、销售者的待销产品中抽取。</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每批次抽取样品4L，其中2L作为检验样品，2L作为备用样品。</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在生产企业（油库）抽样时，按</w:t>
      </w:r>
      <w:r>
        <w:rPr>
          <w:rFonts w:eastAsia="宋体"/>
          <w:color w:val="000000"/>
          <w:sz w:val="21"/>
          <w:szCs w:val="21"/>
        </w:rPr>
        <w:t>GB/T 4756-2015</w:t>
      </w:r>
      <w:r>
        <w:rPr>
          <w:rFonts w:hint="eastAsia" w:eastAsia="宋体"/>
          <w:color w:val="000000"/>
          <w:sz w:val="21"/>
          <w:szCs w:val="21"/>
        </w:rPr>
        <w:t>《石油液体手工取样法》规定的方法抽取样本；在加油站或燃油供应船舶或燃油供应车辆抽样时，直接在加油机加油枪或加油管出口处（或取样处）随机抽取样本。抽取样本前，通过油枪或油管将至少</w:t>
      </w:r>
      <w:r>
        <w:rPr>
          <w:rFonts w:eastAsia="宋体"/>
          <w:color w:val="000000"/>
          <w:sz w:val="21"/>
          <w:szCs w:val="21"/>
        </w:rPr>
        <w:t>4L</w:t>
      </w:r>
      <w:r>
        <w:rPr>
          <w:rFonts w:hint="eastAsia" w:eastAsia="宋体"/>
          <w:color w:val="000000"/>
          <w:sz w:val="21"/>
          <w:szCs w:val="21"/>
        </w:rPr>
        <w:t>油品放出，清洗加油管，避免加油管污染样品；同时清洗取样罐至少</w:t>
      </w:r>
      <w:r>
        <w:rPr>
          <w:rFonts w:eastAsia="宋体"/>
          <w:color w:val="000000"/>
          <w:sz w:val="21"/>
          <w:szCs w:val="21"/>
        </w:rPr>
        <w:t>3</w:t>
      </w:r>
      <w:r>
        <w:rPr>
          <w:rFonts w:hint="eastAsia" w:eastAsia="宋体"/>
          <w:color w:val="000000"/>
          <w:sz w:val="21"/>
          <w:szCs w:val="21"/>
        </w:rPr>
        <w:t>次。</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确定被抽样对象应符合T/GDAQI 020-2022《产品质量监督抽查抽样检验技术服务规范》5.3.3.3和第6章抽样的相关要求。</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抽取样品应为同一型号规格、同一批次的产品，检验样品和备用样品必须取自同一油枪或储罐。</w:t>
      </w:r>
    </w:p>
    <w:p>
      <w:pPr>
        <w:snapToGrid w:val="0"/>
        <w:spacing w:line="440" w:lineRule="exact"/>
        <w:ind w:firstLine="420" w:firstLineChars="200"/>
        <w:rPr>
          <w:rFonts w:hint="eastAsia" w:eastAsia="宋体"/>
          <w:color w:val="000000"/>
          <w:sz w:val="21"/>
          <w:szCs w:val="21"/>
        </w:rPr>
      </w:pPr>
      <w:r>
        <w:rPr>
          <w:rFonts w:hint="eastAsia" w:eastAsia="宋体"/>
          <w:color w:val="000000"/>
          <w:sz w:val="21"/>
          <w:szCs w:val="21"/>
        </w:rPr>
        <w:t>检验样品和备用样品应分别签封，确保防止拆封、封条完整、清晰，并注明“检验样品”或“备用样品”，一起送至检验机构。封样单上应有被抽查企业和抽样人员双方的签名，注明抽样日期。封好样后，可采取拍照、封样单骑缝签名、漆封、特殊材料等其他附加的防拆封措施。在运送过程中应注意对样品进行适当防护，避免出现磕碰、雨淋、进水等情况</w:t>
      </w:r>
    </w:p>
    <w:p>
      <w:pPr>
        <w:snapToGrid w:val="0"/>
        <w:spacing w:line="440" w:lineRule="exact"/>
        <w:ind w:firstLine="420" w:firstLineChars="200"/>
        <w:rPr>
          <w:rFonts w:hint="eastAsia" w:eastAsia="宋体"/>
          <w:color w:val="000000"/>
          <w:sz w:val="21"/>
          <w:szCs w:val="21"/>
        </w:rPr>
      </w:pPr>
    </w:p>
    <w:p>
      <w:pPr>
        <w:snapToGrid w:val="0"/>
        <w:spacing w:line="440" w:lineRule="exact"/>
        <w:rPr>
          <w:rFonts w:eastAsia="黑体"/>
          <w:color w:val="000000"/>
          <w:sz w:val="21"/>
          <w:szCs w:val="21"/>
        </w:rPr>
      </w:pPr>
      <w:r>
        <w:rPr>
          <w:rFonts w:eastAsia="黑体"/>
          <w:color w:val="000000"/>
          <w:sz w:val="21"/>
          <w:szCs w:val="21"/>
        </w:rPr>
        <w:t>2 检验依据</w:t>
      </w:r>
    </w:p>
    <w:p>
      <w:pPr>
        <w:snapToGrid w:val="0"/>
        <w:spacing w:line="440" w:lineRule="exact"/>
        <w:jc w:val="center"/>
        <w:rPr>
          <w:color w:val="000000"/>
          <w:szCs w:val="21"/>
        </w:rPr>
      </w:pPr>
    </w:p>
    <w:tbl>
      <w:tblPr>
        <w:tblStyle w:val="6"/>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3"/>
        <w:gridCol w:w="3898"/>
        <w:gridCol w:w="4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183" w:type="dxa"/>
            <w:vAlign w:val="center"/>
          </w:tcPr>
          <w:p>
            <w:pPr>
              <w:snapToGrid w:val="0"/>
              <w:jc w:val="center"/>
              <w:rPr>
                <w:rFonts w:eastAsia="宋体"/>
                <w:color w:val="000000"/>
                <w:sz w:val="21"/>
                <w:szCs w:val="21"/>
              </w:rPr>
            </w:pPr>
            <w:r>
              <w:rPr>
                <w:rFonts w:eastAsia="宋体"/>
                <w:color w:val="000000"/>
                <w:sz w:val="21"/>
                <w:szCs w:val="21"/>
              </w:rPr>
              <w:t>序号</w:t>
            </w:r>
          </w:p>
        </w:tc>
        <w:tc>
          <w:tcPr>
            <w:tcW w:w="3898" w:type="dxa"/>
            <w:vAlign w:val="center"/>
          </w:tcPr>
          <w:p>
            <w:pPr>
              <w:snapToGrid w:val="0"/>
              <w:jc w:val="center"/>
              <w:rPr>
                <w:rFonts w:eastAsia="宋体"/>
                <w:color w:val="000000"/>
                <w:sz w:val="21"/>
                <w:szCs w:val="21"/>
              </w:rPr>
            </w:pPr>
            <w:r>
              <w:rPr>
                <w:rFonts w:eastAsia="宋体"/>
                <w:color w:val="000000"/>
                <w:sz w:val="21"/>
                <w:szCs w:val="21"/>
              </w:rPr>
              <w:t>检验项目</w:t>
            </w:r>
          </w:p>
        </w:tc>
        <w:tc>
          <w:tcPr>
            <w:tcW w:w="4093" w:type="dxa"/>
            <w:vAlign w:val="center"/>
          </w:tcPr>
          <w:p>
            <w:pPr>
              <w:snapToGrid w:val="0"/>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1</w:t>
            </w:r>
          </w:p>
        </w:tc>
        <w:tc>
          <w:tcPr>
            <w:tcW w:w="3898" w:type="dxa"/>
          </w:tcPr>
          <w:p>
            <w:pPr>
              <w:jc w:val="center"/>
              <w:rPr>
                <w:rFonts w:hint="eastAsia" w:eastAsia="宋体"/>
                <w:color w:val="000000"/>
                <w:sz w:val="21"/>
                <w:szCs w:val="21"/>
              </w:rPr>
            </w:pPr>
            <w:r>
              <w:rPr>
                <w:rFonts w:hint="eastAsia" w:eastAsia="宋体"/>
                <w:color w:val="000000"/>
                <w:sz w:val="21"/>
                <w:szCs w:val="21"/>
              </w:rPr>
              <w:t>硫含量</w:t>
            </w:r>
          </w:p>
        </w:tc>
        <w:tc>
          <w:tcPr>
            <w:tcW w:w="4093" w:type="dxa"/>
          </w:tcPr>
          <w:p>
            <w:pPr>
              <w:jc w:val="center"/>
              <w:rPr>
                <w:rFonts w:hint="eastAsia" w:eastAsia="宋体"/>
                <w:color w:val="000000"/>
                <w:sz w:val="21"/>
                <w:szCs w:val="21"/>
              </w:rPr>
            </w:pPr>
            <w:r>
              <w:rPr>
                <w:rFonts w:hint="eastAsia" w:eastAsia="宋体"/>
                <w:color w:val="000000"/>
                <w:sz w:val="21"/>
                <w:szCs w:val="21"/>
              </w:rPr>
              <w:t>SH/T 0689-2000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2</w:t>
            </w:r>
          </w:p>
        </w:tc>
        <w:tc>
          <w:tcPr>
            <w:tcW w:w="3898" w:type="dxa"/>
          </w:tcPr>
          <w:p>
            <w:pPr>
              <w:jc w:val="center"/>
              <w:rPr>
                <w:rFonts w:hint="eastAsia" w:eastAsia="宋体"/>
                <w:color w:val="000000"/>
                <w:sz w:val="21"/>
                <w:szCs w:val="21"/>
              </w:rPr>
            </w:pPr>
            <w:r>
              <w:rPr>
                <w:rFonts w:hint="eastAsia" w:eastAsia="宋体"/>
                <w:color w:val="000000"/>
                <w:sz w:val="21"/>
                <w:szCs w:val="21"/>
              </w:rPr>
              <w:t>酸度</w:t>
            </w:r>
          </w:p>
        </w:tc>
        <w:tc>
          <w:tcPr>
            <w:tcW w:w="4093" w:type="dxa"/>
          </w:tcPr>
          <w:p>
            <w:pPr>
              <w:jc w:val="center"/>
              <w:rPr>
                <w:rFonts w:hint="eastAsia" w:eastAsia="宋体"/>
                <w:color w:val="000000"/>
                <w:sz w:val="21"/>
                <w:szCs w:val="21"/>
              </w:rPr>
            </w:pPr>
            <w:r>
              <w:rPr>
                <w:rFonts w:hint="eastAsia" w:eastAsia="宋体"/>
                <w:color w:val="000000"/>
                <w:sz w:val="21"/>
                <w:szCs w:val="21"/>
              </w:rPr>
              <w:t>GB/T 258-2016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3</w:t>
            </w:r>
          </w:p>
        </w:tc>
        <w:tc>
          <w:tcPr>
            <w:tcW w:w="3898" w:type="dxa"/>
          </w:tcPr>
          <w:p>
            <w:pPr>
              <w:jc w:val="center"/>
              <w:rPr>
                <w:rFonts w:hint="eastAsia" w:eastAsia="宋体"/>
                <w:color w:val="000000"/>
                <w:sz w:val="21"/>
                <w:szCs w:val="21"/>
              </w:rPr>
            </w:pPr>
            <w:r>
              <w:rPr>
                <w:rFonts w:hint="eastAsia" w:eastAsia="宋体"/>
                <w:color w:val="000000"/>
                <w:sz w:val="21"/>
                <w:szCs w:val="21"/>
              </w:rPr>
              <w:t>10%蒸余物残炭</w:t>
            </w:r>
          </w:p>
        </w:tc>
        <w:tc>
          <w:tcPr>
            <w:tcW w:w="4093" w:type="dxa"/>
          </w:tcPr>
          <w:p>
            <w:pPr>
              <w:jc w:val="center"/>
              <w:rPr>
                <w:rFonts w:hint="eastAsia" w:eastAsia="宋体"/>
                <w:color w:val="000000"/>
                <w:sz w:val="21"/>
                <w:szCs w:val="21"/>
              </w:rPr>
            </w:pPr>
            <w:r>
              <w:rPr>
                <w:rFonts w:hint="eastAsia" w:eastAsia="宋体"/>
                <w:color w:val="000000"/>
                <w:sz w:val="21"/>
                <w:szCs w:val="21"/>
              </w:rPr>
              <w:t>GB/T 17144-2021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4</w:t>
            </w:r>
          </w:p>
        </w:tc>
        <w:tc>
          <w:tcPr>
            <w:tcW w:w="3898" w:type="dxa"/>
          </w:tcPr>
          <w:p>
            <w:pPr>
              <w:jc w:val="center"/>
              <w:rPr>
                <w:rFonts w:hint="eastAsia" w:eastAsia="宋体"/>
                <w:color w:val="000000"/>
                <w:sz w:val="21"/>
                <w:szCs w:val="21"/>
              </w:rPr>
            </w:pPr>
            <w:r>
              <w:rPr>
                <w:rFonts w:hint="eastAsia" w:eastAsia="宋体"/>
                <w:color w:val="000000"/>
                <w:sz w:val="21"/>
                <w:szCs w:val="21"/>
              </w:rPr>
              <w:t>灰分</w:t>
            </w:r>
          </w:p>
        </w:tc>
        <w:tc>
          <w:tcPr>
            <w:tcW w:w="4093" w:type="dxa"/>
          </w:tcPr>
          <w:p>
            <w:pPr>
              <w:jc w:val="center"/>
              <w:rPr>
                <w:rFonts w:hint="eastAsia" w:eastAsia="宋体"/>
                <w:color w:val="000000"/>
                <w:sz w:val="21"/>
                <w:szCs w:val="21"/>
              </w:rPr>
            </w:pPr>
            <w:r>
              <w:rPr>
                <w:rFonts w:hint="eastAsia" w:eastAsia="宋体"/>
                <w:color w:val="000000"/>
                <w:sz w:val="21"/>
                <w:szCs w:val="21"/>
              </w:rPr>
              <w:t>GB/T 508-1985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5</w:t>
            </w:r>
          </w:p>
        </w:tc>
        <w:tc>
          <w:tcPr>
            <w:tcW w:w="3898" w:type="dxa"/>
          </w:tcPr>
          <w:p>
            <w:pPr>
              <w:jc w:val="center"/>
              <w:rPr>
                <w:rFonts w:hint="eastAsia" w:eastAsia="宋体"/>
                <w:color w:val="000000"/>
                <w:sz w:val="21"/>
                <w:szCs w:val="21"/>
              </w:rPr>
            </w:pPr>
            <w:r>
              <w:rPr>
                <w:rFonts w:hint="eastAsia" w:eastAsia="宋体"/>
                <w:color w:val="000000"/>
                <w:sz w:val="21"/>
                <w:szCs w:val="21"/>
              </w:rPr>
              <w:t>铜片腐蚀</w:t>
            </w:r>
          </w:p>
        </w:tc>
        <w:tc>
          <w:tcPr>
            <w:tcW w:w="4093" w:type="dxa"/>
          </w:tcPr>
          <w:p>
            <w:pPr>
              <w:jc w:val="center"/>
              <w:rPr>
                <w:rFonts w:hint="eastAsia" w:eastAsia="宋体"/>
                <w:color w:val="000000"/>
                <w:sz w:val="21"/>
                <w:szCs w:val="21"/>
              </w:rPr>
            </w:pPr>
            <w:r>
              <w:rPr>
                <w:rFonts w:hint="eastAsia" w:eastAsia="宋体"/>
                <w:color w:val="000000"/>
                <w:sz w:val="21"/>
                <w:szCs w:val="21"/>
              </w:rPr>
              <w:t>GB/T 5096-2017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6</w:t>
            </w:r>
          </w:p>
        </w:tc>
        <w:tc>
          <w:tcPr>
            <w:tcW w:w="3898" w:type="dxa"/>
          </w:tcPr>
          <w:p>
            <w:pPr>
              <w:jc w:val="center"/>
              <w:rPr>
                <w:rFonts w:hint="eastAsia" w:eastAsia="宋体"/>
                <w:color w:val="000000"/>
                <w:sz w:val="21"/>
                <w:szCs w:val="21"/>
              </w:rPr>
            </w:pPr>
            <w:r>
              <w:rPr>
                <w:rFonts w:hint="eastAsia" w:eastAsia="宋体"/>
                <w:color w:val="000000"/>
                <w:sz w:val="21"/>
                <w:szCs w:val="21"/>
              </w:rPr>
              <w:t>水含量</w:t>
            </w:r>
          </w:p>
        </w:tc>
        <w:tc>
          <w:tcPr>
            <w:tcW w:w="4093" w:type="dxa"/>
          </w:tcPr>
          <w:p>
            <w:pPr>
              <w:jc w:val="center"/>
              <w:rPr>
                <w:rFonts w:hint="eastAsia" w:eastAsia="宋体"/>
                <w:color w:val="000000"/>
                <w:sz w:val="21"/>
                <w:szCs w:val="21"/>
              </w:rPr>
            </w:pPr>
            <w:r>
              <w:rPr>
                <w:rFonts w:hint="eastAsia" w:eastAsia="宋体"/>
                <w:color w:val="000000"/>
                <w:sz w:val="21"/>
                <w:szCs w:val="21"/>
              </w:rPr>
              <w:t>GB/T 260-2016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7</w:t>
            </w:r>
          </w:p>
        </w:tc>
        <w:tc>
          <w:tcPr>
            <w:tcW w:w="3898" w:type="dxa"/>
          </w:tcPr>
          <w:p>
            <w:pPr>
              <w:jc w:val="center"/>
              <w:rPr>
                <w:rFonts w:hint="eastAsia" w:eastAsia="宋体"/>
                <w:color w:val="000000"/>
                <w:sz w:val="21"/>
                <w:szCs w:val="21"/>
              </w:rPr>
            </w:pPr>
            <w:r>
              <w:rPr>
                <w:rFonts w:hint="eastAsia" w:eastAsia="宋体"/>
                <w:color w:val="000000"/>
                <w:sz w:val="21"/>
                <w:szCs w:val="21"/>
              </w:rPr>
              <w:t>润滑性</w:t>
            </w:r>
          </w:p>
        </w:tc>
        <w:tc>
          <w:tcPr>
            <w:tcW w:w="4093" w:type="dxa"/>
          </w:tcPr>
          <w:p>
            <w:pPr>
              <w:jc w:val="center"/>
              <w:rPr>
                <w:rFonts w:hint="eastAsia" w:eastAsia="宋体"/>
                <w:color w:val="000000"/>
                <w:sz w:val="21"/>
                <w:szCs w:val="21"/>
              </w:rPr>
            </w:pPr>
            <w:r>
              <w:rPr>
                <w:rFonts w:hint="eastAsia" w:eastAsia="宋体"/>
                <w:color w:val="000000"/>
                <w:sz w:val="21"/>
                <w:szCs w:val="21"/>
              </w:rPr>
              <w:t>NB/SH/T 0765-2022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8</w:t>
            </w:r>
          </w:p>
        </w:tc>
        <w:tc>
          <w:tcPr>
            <w:tcW w:w="3898" w:type="dxa"/>
          </w:tcPr>
          <w:p>
            <w:pPr>
              <w:jc w:val="center"/>
              <w:rPr>
                <w:rFonts w:hint="eastAsia" w:eastAsia="宋体"/>
                <w:color w:val="000000"/>
                <w:sz w:val="21"/>
                <w:szCs w:val="21"/>
              </w:rPr>
            </w:pPr>
            <w:r>
              <w:rPr>
                <w:rFonts w:hint="eastAsia" w:eastAsia="宋体"/>
                <w:color w:val="000000"/>
                <w:sz w:val="21"/>
                <w:szCs w:val="21"/>
              </w:rPr>
              <w:t>多环芳烃含量</w:t>
            </w:r>
          </w:p>
        </w:tc>
        <w:tc>
          <w:tcPr>
            <w:tcW w:w="4093" w:type="dxa"/>
          </w:tcPr>
          <w:p>
            <w:pPr>
              <w:jc w:val="center"/>
              <w:rPr>
                <w:rFonts w:hint="eastAsia" w:eastAsia="宋体"/>
                <w:color w:val="000000"/>
                <w:sz w:val="21"/>
                <w:szCs w:val="21"/>
              </w:rPr>
            </w:pPr>
            <w:r>
              <w:rPr>
                <w:rFonts w:hint="eastAsia" w:eastAsia="宋体"/>
                <w:color w:val="000000"/>
                <w:sz w:val="21"/>
                <w:szCs w:val="21"/>
              </w:rPr>
              <w:t>NB/SH/T 0606-2019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9</w:t>
            </w:r>
          </w:p>
        </w:tc>
        <w:tc>
          <w:tcPr>
            <w:tcW w:w="3898" w:type="dxa"/>
          </w:tcPr>
          <w:p>
            <w:pPr>
              <w:jc w:val="center"/>
              <w:rPr>
                <w:rFonts w:hint="eastAsia" w:eastAsia="宋体"/>
                <w:color w:val="000000"/>
                <w:sz w:val="21"/>
                <w:szCs w:val="21"/>
              </w:rPr>
            </w:pPr>
            <w:r>
              <w:rPr>
                <w:rFonts w:hint="eastAsia" w:eastAsia="宋体"/>
                <w:color w:val="000000"/>
                <w:sz w:val="21"/>
                <w:szCs w:val="21"/>
              </w:rPr>
              <w:t>运动黏度</w:t>
            </w:r>
          </w:p>
        </w:tc>
        <w:tc>
          <w:tcPr>
            <w:tcW w:w="4093" w:type="dxa"/>
          </w:tcPr>
          <w:p>
            <w:pPr>
              <w:jc w:val="center"/>
              <w:rPr>
                <w:rFonts w:hint="eastAsia" w:eastAsia="宋体"/>
                <w:color w:val="000000"/>
                <w:sz w:val="21"/>
                <w:szCs w:val="21"/>
              </w:rPr>
            </w:pPr>
            <w:r>
              <w:rPr>
                <w:rFonts w:hint="eastAsia" w:eastAsia="宋体"/>
                <w:color w:val="000000"/>
                <w:sz w:val="21"/>
                <w:szCs w:val="21"/>
              </w:rPr>
              <w:t>GB/T 265-1988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hint="eastAsia" w:eastAsia="宋体"/>
                <w:color w:val="000000"/>
                <w:sz w:val="21"/>
                <w:szCs w:val="21"/>
              </w:rPr>
              <w:t>10</w:t>
            </w:r>
          </w:p>
        </w:tc>
        <w:tc>
          <w:tcPr>
            <w:tcW w:w="3898" w:type="dxa"/>
          </w:tcPr>
          <w:p>
            <w:pPr>
              <w:jc w:val="center"/>
              <w:rPr>
                <w:rFonts w:hint="eastAsia" w:eastAsia="宋体"/>
                <w:color w:val="000000"/>
                <w:sz w:val="21"/>
                <w:szCs w:val="21"/>
              </w:rPr>
            </w:pPr>
            <w:r>
              <w:rPr>
                <w:rFonts w:hint="eastAsia" w:eastAsia="宋体"/>
                <w:color w:val="000000"/>
                <w:sz w:val="21"/>
                <w:szCs w:val="21"/>
              </w:rPr>
              <w:t>凝点</w:t>
            </w:r>
          </w:p>
        </w:tc>
        <w:tc>
          <w:tcPr>
            <w:tcW w:w="4093" w:type="dxa"/>
          </w:tcPr>
          <w:p>
            <w:pPr>
              <w:jc w:val="center"/>
              <w:rPr>
                <w:rFonts w:hint="eastAsia" w:eastAsia="宋体"/>
                <w:color w:val="000000"/>
                <w:sz w:val="21"/>
                <w:szCs w:val="21"/>
              </w:rPr>
            </w:pPr>
            <w:r>
              <w:rPr>
                <w:rFonts w:hint="eastAsia" w:eastAsia="宋体"/>
                <w:color w:val="000000"/>
                <w:sz w:val="21"/>
                <w:szCs w:val="21"/>
              </w:rPr>
              <w:t>GB/T 510-2018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hint="eastAsia" w:eastAsia="宋体"/>
                <w:color w:val="000000"/>
                <w:sz w:val="21"/>
                <w:szCs w:val="21"/>
              </w:rPr>
              <w:t>11</w:t>
            </w:r>
          </w:p>
        </w:tc>
        <w:tc>
          <w:tcPr>
            <w:tcW w:w="3898" w:type="dxa"/>
          </w:tcPr>
          <w:p>
            <w:pPr>
              <w:jc w:val="center"/>
              <w:rPr>
                <w:rFonts w:hint="eastAsia" w:eastAsia="宋体"/>
                <w:color w:val="000000"/>
                <w:sz w:val="21"/>
                <w:szCs w:val="21"/>
              </w:rPr>
            </w:pPr>
            <w:r>
              <w:rPr>
                <w:rFonts w:hint="eastAsia" w:eastAsia="宋体"/>
                <w:color w:val="000000"/>
                <w:sz w:val="21"/>
                <w:szCs w:val="21"/>
              </w:rPr>
              <w:t>冷滤点</w:t>
            </w:r>
          </w:p>
        </w:tc>
        <w:tc>
          <w:tcPr>
            <w:tcW w:w="4093" w:type="dxa"/>
          </w:tcPr>
          <w:p>
            <w:pPr>
              <w:jc w:val="center"/>
              <w:rPr>
                <w:rFonts w:hint="eastAsia" w:eastAsia="宋体"/>
                <w:color w:val="000000"/>
                <w:sz w:val="21"/>
                <w:szCs w:val="21"/>
              </w:rPr>
            </w:pPr>
            <w:r>
              <w:rPr>
                <w:rFonts w:hint="eastAsia" w:eastAsia="宋体"/>
                <w:color w:val="000000"/>
                <w:sz w:val="21"/>
                <w:szCs w:val="21"/>
              </w:rPr>
              <w:t>NB/SH/T 0248-2019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hint="eastAsia" w:eastAsia="宋体"/>
                <w:color w:val="000000"/>
                <w:sz w:val="21"/>
                <w:szCs w:val="21"/>
              </w:rPr>
              <w:t>12</w:t>
            </w:r>
          </w:p>
        </w:tc>
        <w:tc>
          <w:tcPr>
            <w:tcW w:w="3898" w:type="dxa"/>
          </w:tcPr>
          <w:p>
            <w:pPr>
              <w:jc w:val="center"/>
              <w:rPr>
                <w:rFonts w:hint="eastAsia" w:eastAsia="宋体"/>
                <w:color w:val="000000"/>
                <w:sz w:val="21"/>
                <w:szCs w:val="21"/>
              </w:rPr>
            </w:pPr>
            <w:r>
              <w:rPr>
                <w:rFonts w:hint="eastAsia" w:eastAsia="宋体"/>
                <w:color w:val="000000"/>
                <w:sz w:val="21"/>
                <w:szCs w:val="21"/>
              </w:rPr>
              <w:t>闪点（闭口）</w:t>
            </w:r>
          </w:p>
        </w:tc>
        <w:tc>
          <w:tcPr>
            <w:tcW w:w="4093" w:type="dxa"/>
          </w:tcPr>
          <w:p>
            <w:pPr>
              <w:jc w:val="center"/>
              <w:rPr>
                <w:rFonts w:hint="eastAsia" w:eastAsia="宋体"/>
                <w:color w:val="000000"/>
                <w:sz w:val="21"/>
                <w:szCs w:val="21"/>
              </w:rPr>
            </w:pPr>
            <w:r>
              <w:rPr>
                <w:rFonts w:hint="eastAsia" w:eastAsia="宋体"/>
                <w:color w:val="000000"/>
                <w:sz w:val="21"/>
                <w:szCs w:val="21"/>
              </w:rPr>
              <w:t>GB/T 261-2021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hint="eastAsia" w:eastAsia="宋体"/>
                <w:color w:val="000000"/>
                <w:sz w:val="21"/>
                <w:szCs w:val="21"/>
              </w:rPr>
              <w:t>13</w:t>
            </w:r>
          </w:p>
        </w:tc>
        <w:tc>
          <w:tcPr>
            <w:tcW w:w="3898" w:type="dxa"/>
          </w:tcPr>
          <w:p>
            <w:pPr>
              <w:jc w:val="center"/>
              <w:rPr>
                <w:rFonts w:hint="eastAsia" w:eastAsia="宋体"/>
                <w:color w:val="000000"/>
                <w:sz w:val="21"/>
                <w:szCs w:val="21"/>
              </w:rPr>
            </w:pPr>
            <w:r>
              <w:rPr>
                <w:rFonts w:hint="eastAsia" w:eastAsia="宋体"/>
                <w:color w:val="000000"/>
                <w:sz w:val="21"/>
                <w:szCs w:val="21"/>
              </w:rPr>
              <w:t>十六烷指数</w:t>
            </w:r>
          </w:p>
        </w:tc>
        <w:tc>
          <w:tcPr>
            <w:tcW w:w="4093" w:type="dxa"/>
          </w:tcPr>
          <w:p>
            <w:pPr>
              <w:jc w:val="center"/>
              <w:rPr>
                <w:rFonts w:hint="eastAsia" w:eastAsia="宋体"/>
                <w:color w:val="000000"/>
                <w:sz w:val="21"/>
                <w:szCs w:val="21"/>
              </w:rPr>
            </w:pPr>
            <w:r>
              <w:rPr>
                <w:rFonts w:hint="eastAsia" w:eastAsia="宋体"/>
                <w:color w:val="000000"/>
                <w:sz w:val="21"/>
                <w:szCs w:val="21"/>
              </w:rPr>
              <w:t>SH/T 0694-2000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hint="eastAsia" w:eastAsia="宋体"/>
                <w:color w:val="000000"/>
                <w:sz w:val="21"/>
                <w:szCs w:val="21"/>
              </w:rPr>
              <w:t>14</w:t>
            </w:r>
          </w:p>
        </w:tc>
        <w:tc>
          <w:tcPr>
            <w:tcW w:w="3898" w:type="dxa"/>
          </w:tcPr>
          <w:p>
            <w:pPr>
              <w:jc w:val="center"/>
              <w:rPr>
                <w:rFonts w:hint="eastAsia" w:eastAsia="宋体"/>
                <w:color w:val="000000"/>
                <w:sz w:val="21"/>
                <w:szCs w:val="21"/>
              </w:rPr>
            </w:pPr>
            <w:r>
              <w:rPr>
                <w:rFonts w:hint="eastAsia" w:eastAsia="宋体"/>
                <w:color w:val="000000"/>
                <w:sz w:val="21"/>
                <w:szCs w:val="21"/>
              </w:rPr>
              <w:t>馏程</w:t>
            </w:r>
          </w:p>
        </w:tc>
        <w:tc>
          <w:tcPr>
            <w:tcW w:w="4093" w:type="dxa"/>
          </w:tcPr>
          <w:p>
            <w:pPr>
              <w:jc w:val="center"/>
              <w:rPr>
                <w:rFonts w:hint="eastAsia" w:eastAsia="宋体"/>
                <w:color w:val="000000"/>
                <w:sz w:val="21"/>
                <w:szCs w:val="21"/>
              </w:rPr>
            </w:pPr>
            <w:r>
              <w:rPr>
                <w:rFonts w:hint="eastAsia" w:eastAsia="宋体"/>
                <w:color w:val="000000"/>
                <w:sz w:val="21"/>
                <w:szCs w:val="21"/>
              </w:rPr>
              <w:t>GB/T 6536-2010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hint="eastAsia" w:eastAsia="宋体"/>
                <w:color w:val="000000"/>
                <w:sz w:val="21"/>
                <w:szCs w:val="21"/>
              </w:rPr>
              <w:t>15</w:t>
            </w:r>
          </w:p>
        </w:tc>
        <w:tc>
          <w:tcPr>
            <w:tcW w:w="3898" w:type="dxa"/>
          </w:tcPr>
          <w:p>
            <w:pPr>
              <w:jc w:val="center"/>
              <w:rPr>
                <w:rFonts w:hint="eastAsia" w:eastAsia="宋体"/>
                <w:color w:val="000000"/>
                <w:sz w:val="21"/>
                <w:szCs w:val="21"/>
              </w:rPr>
            </w:pPr>
            <w:r>
              <w:rPr>
                <w:rFonts w:hint="eastAsia" w:eastAsia="宋体"/>
                <w:color w:val="000000"/>
                <w:sz w:val="21"/>
                <w:szCs w:val="21"/>
              </w:rPr>
              <w:t>密度</w:t>
            </w:r>
          </w:p>
        </w:tc>
        <w:tc>
          <w:tcPr>
            <w:tcW w:w="4093" w:type="dxa"/>
          </w:tcPr>
          <w:p>
            <w:pPr>
              <w:jc w:val="center"/>
              <w:rPr>
                <w:rFonts w:hint="eastAsia" w:eastAsia="宋体"/>
                <w:color w:val="000000"/>
                <w:sz w:val="21"/>
                <w:szCs w:val="21"/>
              </w:rPr>
            </w:pPr>
            <w:r>
              <w:rPr>
                <w:rFonts w:hint="eastAsia" w:eastAsia="宋体"/>
                <w:color w:val="000000"/>
                <w:sz w:val="21"/>
                <w:szCs w:val="21"/>
              </w:rPr>
              <w:t>GB/T 1884-2000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hint="eastAsia" w:eastAsia="宋体"/>
                <w:color w:val="000000"/>
                <w:sz w:val="21"/>
                <w:szCs w:val="21"/>
              </w:rPr>
              <w:t>16</w:t>
            </w:r>
          </w:p>
        </w:tc>
        <w:tc>
          <w:tcPr>
            <w:tcW w:w="3898" w:type="dxa"/>
          </w:tcPr>
          <w:p>
            <w:pPr>
              <w:jc w:val="center"/>
              <w:rPr>
                <w:rFonts w:hint="eastAsia" w:eastAsia="宋体"/>
                <w:color w:val="000000"/>
                <w:sz w:val="21"/>
                <w:szCs w:val="21"/>
              </w:rPr>
            </w:pPr>
            <w:r>
              <w:rPr>
                <w:rFonts w:hint="eastAsia" w:eastAsia="宋体"/>
                <w:color w:val="000000"/>
                <w:sz w:val="21"/>
                <w:szCs w:val="21"/>
              </w:rPr>
              <w:t>脂肪酸甲酯含量</w:t>
            </w:r>
          </w:p>
        </w:tc>
        <w:tc>
          <w:tcPr>
            <w:tcW w:w="4093" w:type="dxa"/>
          </w:tcPr>
          <w:p>
            <w:pPr>
              <w:jc w:val="center"/>
              <w:rPr>
                <w:rFonts w:hint="eastAsia" w:eastAsia="宋体"/>
                <w:color w:val="000000"/>
                <w:sz w:val="21"/>
                <w:szCs w:val="21"/>
              </w:rPr>
            </w:pPr>
            <w:r>
              <w:rPr>
                <w:rFonts w:hint="eastAsia" w:eastAsia="宋体"/>
                <w:color w:val="000000"/>
                <w:sz w:val="21"/>
                <w:szCs w:val="21"/>
              </w:rPr>
              <w:t>GB/T 23801-2021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hint="eastAsia" w:eastAsia="宋体"/>
                <w:color w:val="000000"/>
                <w:sz w:val="21"/>
                <w:szCs w:val="21"/>
              </w:rPr>
              <w:t>17</w:t>
            </w:r>
          </w:p>
        </w:tc>
        <w:tc>
          <w:tcPr>
            <w:tcW w:w="3898" w:type="dxa"/>
          </w:tcPr>
          <w:p>
            <w:pPr>
              <w:jc w:val="center"/>
              <w:rPr>
                <w:rFonts w:hint="eastAsia" w:eastAsia="宋体"/>
                <w:color w:val="000000"/>
                <w:sz w:val="21"/>
                <w:szCs w:val="21"/>
              </w:rPr>
            </w:pPr>
            <w:r>
              <w:rPr>
                <w:rFonts w:hint="eastAsia" w:eastAsia="宋体"/>
                <w:color w:val="000000"/>
                <w:sz w:val="21"/>
                <w:szCs w:val="21"/>
              </w:rPr>
              <w:t>总污染物含量</w:t>
            </w:r>
          </w:p>
        </w:tc>
        <w:tc>
          <w:tcPr>
            <w:tcW w:w="4093" w:type="dxa"/>
          </w:tcPr>
          <w:p>
            <w:pPr>
              <w:jc w:val="center"/>
              <w:rPr>
                <w:rFonts w:eastAsia="宋体"/>
                <w:color w:val="000000"/>
                <w:sz w:val="21"/>
                <w:szCs w:val="21"/>
              </w:rPr>
            </w:pPr>
            <w:r>
              <w:rPr>
                <w:rFonts w:hint="eastAsia" w:eastAsia="宋体"/>
                <w:color w:val="000000"/>
                <w:sz w:val="21"/>
                <w:szCs w:val="21"/>
              </w:rPr>
              <w:t>GB/T 33400-2016</w:t>
            </w:r>
          </w:p>
        </w:tc>
      </w:tr>
    </w:tbl>
    <w:p>
      <w:pPr>
        <w:snapToGrid w:val="0"/>
        <w:spacing w:line="440" w:lineRule="exact"/>
        <w:ind w:firstLine="420" w:firstLineChars="200"/>
        <w:rPr>
          <w:rFonts w:eastAsia="宋体"/>
          <w:sz w:val="21"/>
          <w:szCs w:val="21"/>
        </w:rPr>
      </w:pPr>
      <w:r>
        <w:rPr>
          <w:rFonts w:eastAsia="宋体"/>
          <w:sz w:val="21"/>
          <w:szCs w:val="21"/>
        </w:rPr>
        <w:t>执行企业标准、团体标准、地方标准的产品，检验项目参照上述内容执行。</w:t>
      </w:r>
    </w:p>
    <w:p>
      <w:pPr>
        <w:snapToGrid w:val="0"/>
        <w:spacing w:line="440" w:lineRule="exact"/>
        <w:ind w:firstLine="420" w:firstLineChars="200"/>
        <w:rPr>
          <w:rFonts w:hint="eastAsia" w:eastAsia="宋体"/>
          <w:sz w:val="21"/>
          <w:szCs w:val="21"/>
        </w:rPr>
      </w:pPr>
      <w:r>
        <w:rPr>
          <w:rFonts w:eastAsia="宋体"/>
          <w:sz w:val="21"/>
          <w:szCs w:val="21"/>
        </w:rPr>
        <w:t>凡是注日期的文件，其随后所有的修改单（不包括勘误的内容）或修订版不适用于本细则。凡是不注日期的文件，其最新版本适用于本细则。</w:t>
      </w:r>
    </w:p>
    <w:p>
      <w:pPr>
        <w:snapToGrid w:val="0"/>
        <w:spacing w:line="440" w:lineRule="exact"/>
        <w:ind w:firstLine="420" w:firstLineChars="200"/>
        <w:rPr>
          <w:rFonts w:hint="eastAsia" w:eastAsia="宋体"/>
          <w:sz w:val="21"/>
          <w:szCs w:val="21"/>
        </w:rPr>
      </w:pPr>
    </w:p>
    <w:p>
      <w:pPr>
        <w:spacing w:line="440" w:lineRule="exact"/>
        <w:rPr>
          <w:rFonts w:eastAsia="黑体"/>
          <w:color w:val="000000"/>
          <w:sz w:val="21"/>
          <w:szCs w:val="21"/>
        </w:rPr>
      </w:pPr>
      <w:r>
        <w:rPr>
          <w:rFonts w:hint="eastAsia" w:eastAsia="黑体"/>
          <w:color w:val="000000"/>
          <w:sz w:val="21"/>
          <w:szCs w:val="21"/>
        </w:rPr>
        <w:t>3 判定规则</w:t>
      </w:r>
    </w:p>
    <w:p>
      <w:pPr>
        <w:snapToGrid w:val="0"/>
        <w:spacing w:line="440" w:lineRule="exact"/>
        <w:rPr>
          <w:rFonts w:eastAsia="宋体"/>
          <w:color w:val="000000"/>
          <w:sz w:val="21"/>
          <w:szCs w:val="21"/>
        </w:rPr>
      </w:pPr>
      <w:r>
        <w:rPr>
          <w:rFonts w:hint="eastAsia" w:eastAsia="宋体"/>
          <w:color w:val="000000"/>
          <w:sz w:val="21"/>
          <w:szCs w:val="21"/>
        </w:rPr>
        <w:t>3.1 依据标准</w:t>
      </w:r>
    </w:p>
    <w:p>
      <w:pPr>
        <w:snapToGrid w:val="0"/>
        <w:spacing w:line="440" w:lineRule="exact"/>
        <w:ind w:firstLine="359" w:firstLineChars="171"/>
        <w:rPr>
          <w:rFonts w:hint="eastAsia" w:eastAsia="宋体"/>
          <w:color w:val="000000"/>
          <w:sz w:val="21"/>
          <w:szCs w:val="21"/>
        </w:rPr>
      </w:pPr>
      <w:r>
        <w:rPr>
          <w:rFonts w:hint="eastAsia" w:eastAsia="宋体"/>
          <w:color w:val="000000"/>
          <w:sz w:val="21"/>
          <w:szCs w:val="21"/>
        </w:rPr>
        <w:t>GB 19147-2016《车用柴油》</w:t>
      </w:r>
    </w:p>
    <w:p>
      <w:pPr>
        <w:snapToGrid w:val="0"/>
        <w:spacing w:line="440" w:lineRule="exact"/>
        <w:ind w:firstLine="359" w:firstLineChars="171"/>
        <w:rPr>
          <w:rFonts w:eastAsia="宋体"/>
          <w:color w:val="000000"/>
          <w:sz w:val="21"/>
          <w:szCs w:val="21"/>
        </w:rPr>
      </w:pPr>
      <w:r>
        <w:rPr>
          <w:rFonts w:eastAsia="宋体"/>
          <w:color w:val="000000"/>
          <w:sz w:val="21"/>
          <w:szCs w:val="21"/>
        </w:rPr>
        <w:t>现行有效的企业标准、团体标准、地方标准及产品明示质量要求</w:t>
      </w:r>
    </w:p>
    <w:p>
      <w:pPr>
        <w:snapToGrid w:val="0"/>
        <w:spacing w:line="440" w:lineRule="exact"/>
        <w:rPr>
          <w:rFonts w:eastAsia="宋体"/>
          <w:color w:val="000000"/>
          <w:sz w:val="21"/>
          <w:szCs w:val="21"/>
        </w:rPr>
      </w:pPr>
      <w:r>
        <w:rPr>
          <w:rFonts w:hint="eastAsia" w:eastAsia="宋体"/>
          <w:color w:val="000000"/>
          <w:sz w:val="21"/>
          <w:szCs w:val="21"/>
        </w:rPr>
        <w:t>3.2 判定原则</w:t>
      </w:r>
    </w:p>
    <w:p>
      <w:pPr>
        <w:autoSpaceDE w:val="0"/>
        <w:autoSpaceDN w:val="0"/>
        <w:spacing w:line="600" w:lineRule="exact"/>
        <w:ind w:firstLine="420" w:firstLineChars="200"/>
        <w:rPr>
          <w:rFonts w:eastAsia="宋体"/>
          <w:color w:val="000000"/>
          <w:sz w:val="21"/>
          <w:szCs w:val="21"/>
        </w:rPr>
      </w:pPr>
      <w:r>
        <w:rPr>
          <w:rFonts w:hint="eastAsia" w:eastAsia="宋体"/>
          <w:color w:val="000000"/>
          <w:sz w:val="21"/>
          <w:szCs w:val="21"/>
        </w:rPr>
        <w:t>经检验，检验项目全部合格，判定为被抽查产品合格；检验项目中任一项或一项以上不合格，判定为被抽查产品不合格。</w:t>
      </w:r>
    </w:p>
    <w:p>
      <w:pPr>
        <w:autoSpaceDE w:val="0"/>
        <w:autoSpaceDN w:val="0"/>
        <w:spacing w:line="600" w:lineRule="exact"/>
        <w:ind w:firstLine="420" w:firstLineChars="200"/>
        <w:rPr>
          <w:rFonts w:eastAsia="宋体"/>
          <w:color w:val="000000"/>
          <w:sz w:val="21"/>
          <w:szCs w:val="21"/>
        </w:rPr>
      </w:pPr>
      <w:r>
        <w:rPr>
          <w:rFonts w:hint="eastAsia" w:eastAsia="宋体"/>
          <w:color w:val="000000"/>
          <w:sz w:val="21"/>
          <w:szCs w:val="21"/>
        </w:rPr>
        <w:t>当</w:t>
      </w:r>
      <w:r>
        <w:rPr>
          <w:rFonts w:eastAsia="宋体"/>
          <w:color w:val="000000"/>
          <w:sz w:val="21"/>
          <w:szCs w:val="21"/>
        </w:rPr>
        <w:t>被检产品明示的质量要求高于本细则中检验项目依据的标准要求时，应按被检产品明示的质量要求判定。</w:t>
      </w:r>
    </w:p>
    <w:p>
      <w:pPr>
        <w:autoSpaceDE w:val="0"/>
        <w:autoSpaceDN w:val="0"/>
        <w:spacing w:line="600" w:lineRule="exact"/>
        <w:ind w:firstLine="420" w:firstLineChars="200"/>
        <w:rPr>
          <w:rFonts w:eastAsia="宋体"/>
          <w:color w:val="000000"/>
          <w:sz w:val="21"/>
          <w:szCs w:val="21"/>
        </w:rPr>
      </w:pPr>
      <w:r>
        <w:rPr>
          <w:rFonts w:hint="eastAsia" w:eastAsia="宋体"/>
          <w:color w:val="000000"/>
          <w:sz w:val="21"/>
          <w:szCs w:val="21"/>
        </w:rPr>
        <w:t>当</w:t>
      </w:r>
      <w:r>
        <w:rPr>
          <w:rFonts w:eastAsia="宋体"/>
          <w:color w:val="000000"/>
          <w:sz w:val="21"/>
          <w:szCs w:val="21"/>
        </w:rPr>
        <w:t>被检产品明示的质量要求低于本细则中检验项目依据的强制性标准要求时，应按照强制性标准要求判定。</w:t>
      </w:r>
    </w:p>
    <w:p>
      <w:pPr>
        <w:autoSpaceDE w:val="0"/>
        <w:autoSpaceDN w:val="0"/>
        <w:spacing w:line="600" w:lineRule="exact"/>
        <w:ind w:firstLine="420" w:firstLineChars="200"/>
        <w:rPr>
          <w:rFonts w:eastAsia="宋体"/>
          <w:color w:val="000000"/>
          <w:sz w:val="21"/>
          <w:szCs w:val="21"/>
        </w:rPr>
      </w:pPr>
      <w:r>
        <w:rPr>
          <w:rFonts w:hint="eastAsia" w:eastAsia="宋体"/>
          <w:color w:val="000000"/>
          <w:sz w:val="21"/>
          <w:szCs w:val="21"/>
        </w:rPr>
        <w:t>当</w:t>
      </w:r>
      <w:r>
        <w:rPr>
          <w:rFonts w:eastAsia="宋体"/>
          <w:color w:val="000000"/>
          <w:sz w:val="21"/>
          <w:szCs w:val="21"/>
        </w:rPr>
        <w:t>被检产品明示的质量要求缺少本细则中检验项目依据的强制性标准要求时，应按照强制性标准要求判定。</w:t>
      </w:r>
    </w:p>
    <w:p>
      <w:pPr>
        <w:autoSpaceDE w:val="0"/>
        <w:autoSpaceDN w:val="0"/>
        <w:spacing w:line="600" w:lineRule="exact"/>
        <w:ind w:firstLine="420" w:firstLineChars="200"/>
        <w:rPr>
          <w:rFonts w:eastAsia="宋体"/>
          <w:color w:val="000000"/>
          <w:sz w:val="21"/>
          <w:szCs w:val="21"/>
        </w:rPr>
      </w:pPr>
      <w:r>
        <w:rPr>
          <w:rFonts w:hint="eastAsia" w:eastAsia="宋体"/>
          <w:color w:val="000000"/>
          <w:sz w:val="21"/>
          <w:szCs w:val="21"/>
        </w:rPr>
        <w:t>当被检样品未能提供有效的企业标准时，按相关国家或行业标准进行判定。</w:t>
      </w:r>
    </w:p>
    <w:p>
      <w:pPr>
        <w:autoSpaceDE w:val="0"/>
        <w:autoSpaceDN w:val="0"/>
        <w:spacing w:line="600" w:lineRule="exact"/>
        <w:ind w:firstLine="420" w:firstLineChars="200"/>
        <w:rPr>
          <w:rFonts w:eastAsia="宋体"/>
          <w:color w:val="000000"/>
          <w:sz w:val="21"/>
          <w:szCs w:val="21"/>
        </w:rPr>
      </w:pPr>
      <w:r>
        <w:rPr>
          <w:rFonts w:hint="eastAsia" w:eastAsia="宋体"/>
          <w:color w:val="000000"/>
          <w:sz w:val="21"/>
          <w:szCs w:val="21"/>
        </w:rPr>
        <w:t>当被检样品标签标识中执行标准信息和产品类别信息不明或有误，影响检测和判定时，可根据产品特点等信息判断和选择相关标准进行检验，并应在检验报告中作出相关说明。</w:t>
      </w:r>
    </w:p>
    <w:p>
      <w:pPr>
        <w:autoSpaceDE w:val="0"/>
        <w:autoSpaceDN w:val="0"/>
        <w:spacing w:line="600" w:lineRule="exact"/>
        <w:ind w:firstLine="420" w:firstLineChars="200"/>
        <w:rPr>
          <w:rFonts w:eastAsia="宋体"/>
          <w:color w:val="000000"/>
          <w:sz w:val="21"/>
          <w:szCs w:val="21"/>
        </w:rPr>
      </w:pPr>
      <w:r>
        <w:rPr>
          <w:rFonts w:hint="eastAsia" w:eastAsia="宋体"/>
          <w:color w:val="000000"/>
          <w:sz w:val="21"/>
          <w:szCs w:val="21"/>
        </w:rPr>
        <w:t>按照产品质量相关法律法规的规定判定。</w:t>
      </w:r>
    </w:p>
    <w:p>
      <w:pPr>
        <w:autoSpaceDE w:val="0"/>
        <w:autoSpaceDN w:val="0"/>
        <w:spacing w:line="600" w:lineRule="exact"/>
        <w:ind w:firstLine="420" w:firstLineChars="200"/>
        <w:rPr>
          <w:rFonts w:eastAsia="宋体"/>
          <w:color w:val="000000"/>
          <w:sz w:val="21"/>
          <w:szCs w:val="21"/>
        </w:rPr>
      </w:pPr>
      <w:r>
        <w:rPr>
          <w:rFonts w:hint="eastAsia" w:eastAsia="宋体"/>
          <w:color w:val="000000"/>
          <w:sz w:val="21"/>
          <w:szCs w:val="21"/>
        </w:rPr>
        <w:t>检验中发现因样品失效或者其他原因致使检验无法进行的，检验人员应如实记录，并提供相关证明材料，报送组织监督抽查的市场监管部门</w:t>
      </w:r>
      <w:r>
        <w:rPr>
          <w:rFonts w:eastAsia="宋体"/>
          <w:color w:val="000000"/>
          <w:sz w:val="21"/>
          <w:szCs w:val="21"/>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Courier New">
    <w:altName w:val="DejaVu Sans"/>
    <w:panose1 w:val="02070309020205020404"/>
    <w:charset w:val="00"/>
    <w:family w:val="modern"/>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094"/>
    <w:rsid w:val="00036BC7"/>
    <w:rsid w:val="00045C20"/>
    <w:rsid w:val="0005045D"/>
    <w:rsid w:val="00063BD5"/>
    <w:rsid w:val="00092ABD"/>
    <w:rsid w:val="0009567A"/>
    <w:rsid w:val="00116270"/>
    <w:rsid w:val="00120EFB"/>
    <w:rsid w:val="001221DB"/>
    <w:rsid w:val="00192BBD"/>
    <w:rsid w:val="001D0EAC"/>
    <w:rsid w:val="001F5DD4"/>
    <w:rsid w:val="00201CDD"/>
    <w:rsid w:val="00223348"/>
    <w:rsid w:val="00250DFA"/>
    <w:rsid w:val="00283F57"/>
    <w:rsid w:val="002923B9"/>
    <w:rsid w:val="00294579"/>
    <w:rsid w:val="003042B1"/>
    <w:rsid w:val="00310C73"/>
    <w:rsid w:val="00333B62"/>
    <w:rsid w:val="0039338B"/>
    <w:rsid w:val="004015F5"/>
    <w:rsid w:val="00441D0E"/>
    <w:rsid w:val="004556A2"/>
    <w:rsid w:val="00467558"/>
    <w:rsid w:val="004757C1"/>
    <w:rsid w:val="004A5090"/>
    <w:rsid w:val="004B2573"/>
    <w:rsid w:val="004D7439"/>
    <w:rsid w:val="00544BE4"/>
    <w:rsid w:val="005923AA"/>
    <w:rsid w:val="005924E9"/>
    <w:rsid w:val="00592C01"/>
    <w:rsid w:val="005A0994"/>
    <w:rsid w:val="005F3C4A"/>
    <w:rsid w:val="006238A1"/>
    <w:rsid w:val="00624315"/>
    <w:rsid w:val="00652531"/>
    <w:rsid w:val="00695250"/>
    <w:rsid w:val="006B1D22"/>
    <w:rsid w:val="006D07E0"/>
    <w:rsid w:val="006D4F7A"/>
    <w:rsid w:val="006D505E"/>
    <w:rsid w:val="006E20D4"/>
    <w:rsid w:val="006F4E7D"/>
    <w:rsid w:val="00732793"/>
    <w:rsid w:val="00735F9B"/>
    <w:rsid w:val="0074286E"/>
    <w:rsid w:val="00752F93"/>
    <w:rsid w:val="0075545D"/>
    <w:rsid w:val="007914F7"/>
    <w:rsid w:val="007A0EE2"/>
    <w:rsid w:val="007A10C3"/>
    <w:rsid w:val="007B0EC6"/>
    <w:rsid w:val="007F204B"/>
    <w:rsid w:val="008265CD"/>
    <w:rsid w:val="00832A68"/>
    <w:rsid w:val="00835C60"/>
    <w:rsid w:val="00841ED0"/>
    <w:rsid w:val="00895950"/>
    <w:rsid w:val="008C102E"/>
    <w:rsid w:val="008C280B"/>
    <w:rsid w:val="008F74C7"/>
    <w:rsid w:val="00926BC7"/>
    <w:rsid w:val="009F07C3"/>
    <w:rsid w:val="00A02A33"/>
    <w:rsid w:val="00A40122"/>
    <w:rsid w:val="00A66D10"/>
    <w:rsid w:val="00A97411"/>
    <w:rsid w:val="00AA0E83"/>
    <w:rsid w:val="00AC1C38"/>
    <w:rsid w:val="00B25DB1"/>
    <w:rsid w:val="00B7736F"/>
    <w:rsid w:val="00BA2151"/>
    <w:rsid w:val="00BA664E"/>
    <w:rsid w:val="00BB0486"/>
    <w:rsid w:val="00BB0B4C"/>
    <w:rsid w:val="00BC667E"/>
    <w:rsid w:val="00BD50D2"/>
    <w:rsid w:val="00C070D8"/>
    <w:rsid w:val="00C17D35"/>
    <w:rsid w:val="00C4082C"/>
    <w:rsid w:val="00C450FD"/>
    <w:rsid w:val="00C512B6"/>
    <w:rsid w:val="00C67868"/>
    <w:rsid w:val="00C94D75"/>
    <w:rsid w:val="00CC19A7"/>
    <w:rsid w:val="00D1464E"/>
    <w:rsid w:val="00D224DD"/>
    <w:rsid w:val="00D357A6"/>
    <w:rsid w:val="00D554F8"/>
    <w:rsid w:val="00D629E1"/>
    <w:rsid w:val="00DC058E"/>
    <w:rsid w:val="00DE1180"/>
    <w:rsid w:val="00E54840"/>
    <w:rsid w:val="00E56737"/>
    <w:rsid w:val="00E61CE3"/>
    <w:rsid w:val="00E72969"/>
    <w:rsid w:val="00E86D1B"/>
    <w:rsid w:val="00E94DFB"/>
    <w:rsid w:val="00E9624B"/>
    <w:rsid w:val="00E977EC"/>
    <w:rsid w:val="00EC3EBE"/>
    <w:rsid w:val="00EE24A1"/>
    <w:rsid w:val="00EE31D6"/>
    <w:rsid w:val="00F1323C"/>
    <w:rsid w:val="00F36D74"/>
    <w:rsid w:val="00F5376E"/>
    <w:rsid w:val="00F60942"/>
    <w:rsid w:val="00F8007C"/>
    <w:rsid w:val="00FA7094"/>
    <w:rsid w:val="00FA791E"/>
    <w:rsid w:val="00FB22F7"/>
    <w:rsid w:val="00FC173D"/>
    <w:rsid w:val="00FC3578"/>
    <w:rsid w:val="00FE6536"/>
    <w:rsid w:val="5BEB6052"/>
    <w:rsid w:val="ACDF2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imes New Roman"/>
      <w:kern w:val="2"/>
      <w:sz w:val="32"/>
      <w:szCs w:val="32"/>
      <w:lang w:val="en-US" w:eastAsia="zh-CN" w:bidi="ar-SA"/>
    </w:rPr>
  </w:style>
  <w:style w:type="paragraph" w:styleId="2">
    <w:name w:val="heading 1"/>
    <w:basedOn w:val="1"/>
    <w:next w:val="1"/>
    <w:link w:val="9"/>
    <w:qFormat/>
    <w:uiPriority w:val="0"/>
    <w:pPr>
      <w:jc w:val="center"/>
      <w:outlineLvl w:val="0"/>
    </w:pPr>
    <w:rPr>
      <w:rFonts w:ascii="方正小标宋简体" w:eastAsia="方正小标宋简体"/>
      <w:kern w:val="44"/>
      <w:sz w:val="38"/>
      <w:szCs w:val="2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0"/>
    <w:unhideWhenUsed/>
    <w:qFormat/>
    <w:uiPriority w:val="0"/>
    <w:rPr>
      <w:rFonts w:ascii="宋体" w:hAnsi="Courier New" w:eastAsia="宋体" w:cs="Courier New"/>
      <w:sz w:val="21"/>
      <w:szCs w:val="21"/>
    </w:rPr>
  </w:style>
  <w:style w:type="paragraph" w:styleId="4">
    <w:name w:val="footer"/>
    <w:basedOn w:val="1"/>
    <w:link w:val="15"/>
    <w:qFormat/>
    <w:uiPriority w:val="0"/>
    <w:pPr>
      <w:tabs>
        <w:tab w:val="center" w:pos="4153"/>
        <w:tab w:val="right" w:pos="8306"/>
      </w:tabs>
      <w:snapToGrid w:val="0"/>
      <w:jc w:val="left"/>
    </w:pPr>
    <w:rPr>
      <w:rFonts w:eastAsia="仿宋_GB2312"/>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rFonts w:eastAsia="仿宋_GB2312"/>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标题 1 Char"/>
    <w:basedOn w:val="8"/>
    <w:link w:val="2"/>
    <w:qFormat/>
    <w:uiPriority w:val="0"/>
    <w:rPr>
      <w:rFonts w:ascii="方正小标宋简体" w:eastAsia="方正小标宋简体"/>
      <w:kern w:val="44"/>
      <w:sz w:val="38"/>
      <w:szCs w:val="24"/>
    </w:rPr>
  </w:style>
  <w:style w:type="character" w:customStyle="1" w:styleId="10">
    <w:name w:val="纯文本 Char"/>
    <w:basedOn w:val="8"/>
    <w:link w:val="3"/>
    <w:qFormat/>
    <w:uiPriority w:val="0"/>
    <w:rPr>
      <w:rFonts w:ascii="宋体" w:hAnsi="Courier New" w:cs="Courier New"/>
      <w:kern w:val="2"/>
      <w:sz w:val="21"/>
      <w:szCs w:val="21"/>
    </w:rPr>
  </w:style>
  <w:style w:type="table" w:customStyle="1" w:styleId="11">
    <w:name w:val="网格型1"/>
    <w:basedOn w:val="6"/>
    <w:unhideWhenUsed/>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_Style 14"/>
    <w:basedOn w:val="1"/>
    <w:qFormat/>
    <w:uiPriority w:val="34"/>
    <w:pPr>
      <w:ind w:firstLine="420" w:firstLineChars="200"/>
    </w:pPr>
    <w:rPr>
      <w:rFonts w:eastAsia="仿宋_GB2312"/>
      <w:sz w:val="30"/>
      <w:szCs w:val="24"/>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4">
    <w:name w:val="页眉 Char"/>
    <w:basedOn w:val="8"/>
    <w:link w:val="5"/>
    <w:qFormat/>
    <w:uiPriority w:val="0"/>
    <w:rPr>
      <w:rFonts w:eastAsia="仿宋_GB2312"/>
      <w:kern w:val="2"/>
      <w:sz w:val="18"/>
      <w:szCs w:val="18"/>
    </w:rPr>
  </w:style>
  <w:style w:type="character" w:customStyle="1" w:styleId="15">
    <w:name w:val="页脚 Char"/>
    <w:basedOn w:val="8"/>
    <w:link w:val="4"/>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225</Words>
  <Characters>1283</Characters>
  <Lines>10</Lines>
  <Paragraphs>3</Paragraphs>
  <TotalTime>0</TotalTime>
  <ScaleCrop>false</ScaleCrop>
  <LinksUpToDate>false</LinksUpToDate>
  <CharactersWithSpaces>1505</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2024-06-18T10:50:00Z</dcterms:created>
  <dc:creator>范士平</dc:creator>
  <cp:lastModifiedBy>admin1</cp:lastModifiedBy>
  <dcterms:modified xsi:type="dcterms:W3CDTF">2024-06-21T11:29:00Z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D26AE9E6AD774F8C7CF37466FEFD9C27</vt:lpwstr>
  </property>
</Properties>
</file>