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Cs w:val="32"/>
        </w:rPr>
      </w:pPr>
      <w:r>
        <w:rPr>
          <w:rFonts w:hint="eastAsia" w:eastAsia="方正小标宋简体"/>
          <w:color w:val="000000"/>
          <w:szCs w:val="32"/>
        </w:rPr>
        <w:t>移动通信手持机用电池充电器产品</w:t>
      </w:r>
      <w:bookmarkStart w:id="0" w:name="_GoBack"/>
      <w:bookmarkEnd w:id="0"/>
      <w:r>
        <w:rPr>
          <w:rFonts w:hint="eastAsia" w:eastAsia="方正小标宋简体"/>
          <w:color w:val="000000"/>
          <w:szCs w:val="32"/>
        </w:rPr>
        <w:t>质量监督抽查实施细则</w:t>
      </w:r>
    </w:p>
    <w:p>
      <w:pPr>
        <w:spacing w:line="520" w:lineRule="exact"/>
        <w:ind w:firstLine="880" w:firstLineChars="200"/>
        <w:jc w:val="left"/>
        <w:rPr>
          <w:rFonts w:eastAsia="方正小标宋简体" w:cs="方正小标宋简体"/>
          <w:color w:val="000000"/>
          <w:sz w:val="44"/>
          <w:szCs w:val="44"/>
        </w:rPr>
      </w:pPr>
    </w:p>
    <w:p>
      <w:pPr>
        <w:snapToGrid w:val="0"/>
        <w:spacing w:line="440" w:lineRule="exact"/>
        <w:rPr>
          <w:rFonts w:eastAsia="黑体"/>
          <w:color w:val="000000"/>
          <w:sz w:val="21"/>
          <w:szCs w:val="21"/>
        </w:rPr>
      </w:pPr>
      <w:r>
        <w:rPr>
          <w:rFonts w:hint="eastAsia" w:eastAsia="黑体"/>
          <w:color w:val="000000"/>
          <w:sz w:val="21"/>
          <w:szCs w:val="21"/>
        </w:rPr>
        <w:t>一、抽样方法</w:t>
      </w:r>
    </w:p>
    <w:p>
      <w:pPr>
        <w:snapToGrid w:val="0"/>
        <w:spacing w:line="440" w:lineRule="exact"/>
        <w:ind w:firstLine="420" w:firstLineChars="200"/>
        <w:rPr>
          <w:rFonts w:eastAsia="宋体"/>
          <w:color w:val="000000"/>
          <w:sz w:val="21"/>
          <w:szCs w:val="21"/>
        </w:rPr>
      </w:pPr>
      <w:r>
        <w:rPr>
          <w:rFonts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6台</w:t>
      </w:r>
      <w:r>
        <w:rPr>
          <w:rFonts w:eastAsia="宋体"/>
          <w:color w:val="000000"/>
          <w:sz w:val="21"/>
          <w:szCs w:val="21"/>
        </w:rPr>
        <w:t>，其中</w:t>
      </w:r>
      <w:r>
        <w:rPr>
          <w:rFonts w:hint="eastAsia" w:eastAsia="宋体"/>
          <w:color w:val="000000"/>
          <w:sz w:val="21"/>
          <w:szCs w:val="21"/>
        </w:rPr>
        <w:t>3台</w:t>
      </w:r>
      <w:r>
        <w:rPr>
          <w:rFonts w:eastAsia="宋体"/>
          <w:color w:val="000000"/>
          <w:sz w:val="21"/>
          <w:szCs w:val="21"/>
        </w:rPr>
        <w:t>作为检验样品，</w:t>
      </w:r>
      <w:r>
        <w:rPr>
          <w:rFonts w:hint="eastAsia" w:eastAsia="宋体"/>
          <w:color w:val="000000"/>
          <w:sz w:val="21"/>
          <w:szCs w:val="21"/>
        </w:rPr>
        <w:t>3台</w:t>
      </w:r>
      <w:r>
        <w:rPr>
          <w:rFonts w:eastAsia="宋体"/>
          <w:color w:val="000000"/>
          <w:sz w:val="21"/>
          <w:szCs w:val="21"/>
        </w:rPr>
        <w:t>作为备用样品。</w:t>
      </w:r>
    </w:p>
    <w:p>
      <w:pPr>
        <w:widowControl/>
        <w:spacing w:line="600" w:lineRule="exact"/>
        <w:jc w:val="left"/>
        <w:rPr>
          <w:rFonts w:ascii="仿宋" w:hAnsi="仿宋" w:eastAsia="仿宋" w:cs="仿宋"/>
          <w:kern w:val="0"/>
          <w:szCs w:val="32"/>
        </w:rPr>
      </w:pPr>
    </w:p>
    <w:p>
      <w:pPr>
        <w:snapToGrid w:val="0"/>
        <w:spacing w:line="440" w:lineRule="exact"/>
        <w:rPr>
          <w:rFonts w:eastAsia="黑体"/>
          <w:color w:val="000000"/>
          <w:sz w:val="21"/>
          <w:szCs w:val="21"/>
        </w:rPr>
      </w:pPr>
      <w:r>
        <w:rPr>
          <w:rFonts w:eastAsia="黑体"/>
          <w:color w:val="000000"/>
          <w:sz w:val="21"/>
          <w:szCs w:val="21"/>
        </w:rPr>
        <w:t>2 检验依据</w:t>
      </w:r>
    </w:p>
    <w:p>
      <w:pPr>
        <w:snapToGrid w:val="0"/>
        <w:spacing w:line="440" w:lineRule="exact"/>
        <w:jc w:val="center"/>
        <w:rPr>
          <w:color w:val="000000"/>
          <w:szCs w:val="21"/>
        </w:rPr>
      </w:pP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3855"/>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1</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安全防护的强度</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2</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导体的固定</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3</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直接插入电网电源输出插座的设备</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4</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电能量源的防护</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5</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直接安装导电金属零部件的热塑性零部件</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6</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电气间隙</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7</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爬电距离</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8</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抗电强度试验</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9</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断开连接器后电容器的放电</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10</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保护导体</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11</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预期的接触电压、接触电流和保护导体电流</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12</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热灼伤(接触温度限值)</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13</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输入试验</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14</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模拟的异常工作条件</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15</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模拟的单一故障条件</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 4943.1-2022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16</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电源端子骚扰电压</w:t>
            </w:r>
          </w:p>
          <w:p>
            <w:pPr>
              <w:widowControl/>
              <w:spacing w:line="340" w:lineRule="exact"/>
              <w:jc w:val="center"/>
              <w:rPr>
                <w:rFonts w:eastAsia="宋体"/>
                <w:kern w:val="0"/>
                <w:sz w:val="21"/>
                <w:szCs w:val="21"/>
              </w:rPr>
            </w:pPr>
            <w:r>
              <w:rPr>
                <w:rFonts w:eastAsia="宋体"/>
                <w:kern w:val="0"/>
                <w:sz w:val="21"/>
                <w:szCs w:val="21"/>
              </w:rPr>
              <w:t>或交流电源端口的传导发射</w:t>
            </w:r>
          </w:p>
          <w:p>
            <w:pPr>
              <w:widowControl/>
              <w:spacing w:line="300" w:lineRule="exact"/>
              <w:jc w:val="center"/>
              <w:rPr>
                <w:rFonts w:ascii="仿宋_GB2312" w:hAnsi="宋体"/>
                <w:color w:val="000000"/>
                <w:sz w:val="24"/>
              </w:rPr>
            </w:pPr>
            <w:r>
              <w:rPr>
                <w:rFonts w:eastAsia="宋体"/>
                <w:kern w:val="0"/>
                <w:sz w:val="21"/>
                <w:szCs w:val="21"/>
              </w:rPr>
              <w:t>或电源端骚扰电压</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GB/T 9254-2008（含第1号修改单）</w:t>
            </w:r>
          </w:p>
          <w:p>
            <w:pPr>
              <w:widowControl/>
              <w:spacing w:line="340" w:lineRule="exact"/>
              <w:jc w:val="center"/>
              <w:rPr>
                <w:rFonts w:eastAsia="宋体"/>
                <w:kern w:val="0"/>
                <w:sz w:val="21"/>
                <w:szCs w:val="21"/>
              </w:rPr>
            </w:pPr>
            <w:r>
              <w:rPr>
                <w:rFonts w:eastAsia="宋体"/>
                <w:kern w:val="0"/>
                <w:sz w:val="21"/>
                <w:szCs w:val="21"/>
              </w:rPr>
              <w:t>GB/T 13837—2012</w:t>
            </w:r>
          </w:p>
          <w:p>
            <w:pPr>
              <w:widowControl/>
              <w:spacing w:line="300" w:lineRule="exact"/>
              <w:jc w:val="center"/>
              <w:rPr>
                <w:rFonts w:hint="eastAsia" w:ascii="仿宋_GB2312" w:hAnsi="宋体"/>
                <w:color w:val="000000"/>
                <w:sz w:val="24"/>
              </w:rPr>
            </w:pPr>
            <w:r>
              <w:rPr>
                <w:rFonts w:eastAsia="宋体"/>
                <w:kern w:val="0"/>
                <w:sz w:val="21"/>
                <w:szCs w:val="21"/>
              </w:rPr>
              <w:t>GB/T 9254.1-2021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17</w:t>
            </w:r>
          </w:p>
        </w:tc>
        <w:tc>
          <w:tcPr>
            <w:tcW w:w="2159" w:type="pct"/>
            <w:vAlign w:val="center"/>
          </w:tcPr>
          <w:p>
            <w:pPr>
              <w:widowControl/>
              <w:spacing w:line="340" w:lineRule="exact"/>
              <w:jc w:val="center"/>
              <w:rPr>
                <w:rFonts w:eastAsia="宋体"/>
                <w:kern w:val="0"/>
                <w:sz w:val="21"/>
                <w:szCs w:val="21"/>
              </w:rPr>
            </w:pPr>
            <w:r>
              <w:rPr>
                <w:rFonts w:eastAsia="宋体"/>
                <w:kern w:val="0"/>
                <w:sz w:val="21"/>
                <w:szCs w:val="21"/>
              </w:rPr>
              <w:t>辐射骚扰（1GHz以下）</w:t>
            </w:r>
          </w:p>
          <w:p>
            <w:pPr>
              <w:widowControl/>
              <w:spacing w:line="340" w:lineRule="exact"/>
              <w:jc w:val="center"/>
              <w:rPr>
                <w:rFonts w:eastAsia="宋体"/>
                <w:kern w:val="0"/>
                <w:sz w:val="21"/>
                <w:szCs w:val="21"/>
              </w:rPr>
            </w:pPr>
            <w:r>
              <w:rPr>
                <w:rFonts w:eastAsia="宋体"/>
                <w:kern w:val="0"/>
                <w:sz w:val="21"/>
                <w:szCs w:val="21"/>
              </w:rPr>
              <w:t>或1GHz以下辐射发射</w:t>
            </w:r>
          </w:p>
          <w:p>
            <w:pPr>
              <w:widowControl/>
              <w:spacing w:line="300" w:lineRule="exact"/>
              <w:jc w:val="center"/>
              <w:rPr>
                <w:rFonts w:ascii="仿宋_GB2312" w:hAnsi="宋体"/>
                <w:color w:val="000000"/>
                <w:sz w:val="24"/>
              </w:rPr>
            </w:pPr>
            <w:r>
              <w:rPr>
                <w:rFonts w:eastAsia="宋体"/>
                <w:kern w:val="0"/>
                <w:sz w:val="21"/>
                <w:szCs w:val="21"/>
              </w:rPr>
              <w:t>或骚扰功率</w:t>
            </w:r>
          </w:p>
        </w:tc>
        <w:tc>
          <w:tcPr>
            <w:tcW w:w="2389" w:type="pct"/>
            <w:vAlign w:val="center"/>
          </w:tcPr>
          <w:p>
            <w:pPr>
              <w:widowControl/>
              <w:spacing w:line="340" w:lineRule="exact"/>
              <w:jc w:val="center"/>
              <w:rPr>
                <w:rFonts w:eastAsia="宋体"/>
                <w:kern w:val="0"/>
                <w:sz w:val="21"/>
                <w:szCs w:val="21"/>
              </w:rPr>
            </w:pPr>
            <w:r>
              <w:rPr>
                <w:rFonts w:eastAsia="宋体"/>
                <w:kern w:val="0"/>
                <w:sz w:val="21"/>
                <w:szCs w:val="21"/>
              </w:rPr>
              <w:t>GB/T 9254-2008（含第1号修改单）</w:t>
            </w:r>
          </w:p>
          <w:p>
            <w:pPr>
              <w:widowControl/>
              <w:spacing w:line="340" w:lineRule="exact"/>
              <w:jc w:val="center"/>
              <w:rPr>
                <w:rFonts w:eastAsia="宋体"/>
                <w:kern w:val="0"/>
                <w:sz w:val="21"/>
                <w:szCs w:val="21"/>
              </w:rPr>
            </w:pPr>
            <w:r>
              <w:rPr>
                <w:rFonts w:eastAsia="宋体"/>
                <w:kern w:val="0"/>
                <w:sz w:val="21"/>
                <w:szCs w:val="21"/>
              </w:rPr>
              <w:t>GB/T 13837—2012</w:t>
            </w:r>
          </w:p>
          <w:p>
            <w:pPr>
              <w:widowControl/>
              <w:spacing w:line="300" w:lineRule="exact"/>
              <w:jc w:val="center"/>
              <w:rPr>
                <w:rFonts w:hint="eastAsia" w:ascii="仿宋_GB2312" w:hAnsi="宋体"/>
                <w:color w:val="000000"/>
                <w:sz w:val="24"/>
              </w:rPr>
            </w:pPr>
            <w:r>
              <w:rPr>
                <w:rFonts w:eastAsia="宋体"/>
                <w:kern w:val="0"/>
                <w:sz w:val="21"/>
                <w:szCs w:val="21"/>
              </w:rPr>
              <w:t>GB/T 9254.1-2021</w:t>
            </w:r>
          </w:p>
        </w:tc>
      </w:tr>
    </w:tbl>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adjustRightInd w:val="0"/>
        <w:snapToGrid w:val="0"/>
        <w:spacing w:line="580" w:lineRule="exact"/>
        <w:ind w:firstLine="420" w:firstLineChars="200"/>
        <w:jc w:val="left"/>
        <w:rPr>
          <w:rFonts w:eastAsia="宋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pacing w:line="440" w:lineRule="exact"/>
        <w:rPr>
          <w:rFonts w:eastAsia="黑体"/>
          <w:color w:val="000000"/>
          <w:sz w:val="21"/>
          <w:szCs w:val="21"/>
        </w:rPr>
      </w:pPr>
      <w:r>
        <w:rPr>
          <w:rFonts w:hint="eastAsia" w:eastAsia="黑体"/>
          <w:color w:val="000000"/>
          <w:sz w:val="21"/>
          <w:szCs w:val="21"/>
        </w:rPr>
        <w:t>3.1依据标准</w:t>
      </w:r>
    </w:p>
    <w:p>
      <w:pPr>
        <w:widowControl/>
        <w:spacing w:line="580" w:lineRule="exact"/>
        <w:ind w:firstLine="420" w:firstLineChars="200"/>
        <w:jc w:val="left"/>
        <w:rPr>
          <w:rFonts w:hint="eastAsia" w:eastAsia="宋体"/>
          <w:color w:val="000000"/>
          <w:sz w:val="21"/>
          <w:szCs w:val="21"/>
        </w:rPr>
      </w:pPr>
      <w:r>
        <w:rPr>
          <w:rFonts w:hint="eastAsia" w:eastAsia="宋体"/>
          <w:color w:val="000000"/>
          <w:sz w:val="21"/>
          <w:szCs w:val="21"/>
        </w:rPr>
        <w:t>GB 4943.1-2022《音视频、信息技术和通信技术设备第1部分:安全要求》</w:t>
      </w:r>
    </w:p>
    <w:p>
      <w:pPr>
        <w:widowControl/>
        <w:spacing w:line="580" w:lineRule="exact"/>
        <w:ind w:firstLine="420" w:firstLineChars="200"/>
        <w:jc w:val="left"/>
        <w:rPr>
          <w:rFonts w:hint="eastAsia" w:eastAsia="宋体"/>
          <w:color w:val="000000"/>
          <w:sz w:val="21"/>
          <w:szCs w:val="21"/>
        </w:rPr>
      </w:pPr>
      <w:r>
        <w:rPr>
          <w:rFonts w:hint="eastAsia" w:eastAsia="宋体"/>
          <w:color w:val="000000"/>
          <w:sz w:val="21"/>
          <w:szCs w:val="21"/>
        </w:rPr>
        <w:t>GB/T 9254-2008《信息技术设备的无线电骚扰限值和测量方法》</w:t>
      </w:r>
    </w:p>
    <w:p>
      <w:pPr>
        <w:widowControl/>
        <w:spacing w:line="580" w:lineRule="exact"/>
        <w:ind w:firstLine="420" w:firstLineChars="200"/>
        <w:jc w:val="left"/>
        <w:rPr>
          <w:rFonts w:hint="eastAsia" w:eastAsia="宋体"/>
          <w:color w:val="000000"/>
          <w:sz w:val="21"/>
          <w:szCs w:val="21"/>
        </w:rPr>
      </w:pPr>
      <w:r>
        <w:rPr>
          <w:rFonts w:hint="eastAsia" w:eastAsia="宋体"/>
          <w:color w:val="000000"/>
          <w:sz w:val="21"/>
          <w:szCs w:val="21"/>
        </w:rPr>
        <w:t>GB/T 9254.1-2021《信息技术设备、多媒体设备和接收机电磁兼容第1部分发射要求》</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GB/T 13837-2012《声音和电视广播接收机及有关设备无线电骚扰特性限值和测量方法》</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现行有效的企业标准、团体标准、地方标准及产品明示质量要求。</w:t>
      </w:r>
    </w:p>
    <w:p>
      <w:pPr>
        <w:spacing w:line="440" w:lineRule="exact"/>
        <w:rPr>
          <w:rFonts w:eastAsia="黑体"/>
          <w:color w:val="000000"/>
          <w:sz w:val="21"/>
          <w:szCs w:val="21"/>
        </w:rPr>
      </w:pPr>
      <w:r>
        <w:rPr>
          <w:rFonts w:eastAsia="黑体"/>
          <w:color w:val="000000"/>
          <w:sz w:val="21"/>
          <w:szCs w:val="21"/>
        </w:rPr>
        <w:t>3.2判定原则</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经检验，检验项目全部合格，判定为抽取的样本所检项目未检出不合格；检验项目中任一项或一项以上不合格，判定为被抽查产品不合格。</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当被检样品明示的质量要求优于监督抽查实施细则中依据的标准要求时，应按被检样品明示的质量要求判定；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当被检样品明示的质量要求劣于或不包含监督抽查实施细则中依据的强制性标准要求时，应按照强制性标准要求判定；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当被检样品明示的质量要求不包含监督抽查实施细则中依据的推荐性标准要求时，该指标不参与判定，但应在检验报告中作出说明；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按照产品质量相关法律法规的规定判定。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15D5"/>
    <w:rsid w:val="00103144"/>
    <w:rsid w:val="00104BE7"/>
    <w:rsid w:val="001109E2"/>
    <w:rsid w:val="00113A36"/>
    <w:rsid w:val="001162B5"/>
    <w:rsid w:val="00132F01"/>
    <w:rsid w:val="0013531B"/>
    <w:rsid w:val="00140E48"/>
    <w:rsid w:val="00142CE7"/>
    <w:rsid w:val="00150DB5"/>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46E6C"/>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23A6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4C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1F6C"/>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3E6C"/>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02F"/>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7DA4E309"/>
    <w:rsid w:val="B3BB070E"/>
    <w:rsid w:val="BCD77056"/>
    <w:rsid w:val="FF9F1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238</Words>
  <Characters>1361</Characters>
  <Lines>11</Lines>
  <Paragraphs>3</Paragraphs>
  <TotalTime>12</TotalTime>
  <ScaleCrop>false</ScaleCrop>
  <LinksUpToDate>false</LinksUpToDate>
  <CharactersWithSpaces>1596</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2024-06-18T11:13:00Z</dcterms:created>
  <dc:creator>微软用户</dc:creator>
  <cp:lastModifiedBy>admin1</cp:lastModifiedBy>
  <dcterms:modified xsi:type="dcterms:W3CDTF">2024-06-21T11:31:35Z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411EDB1CD22A499FBB00D4F312E379A8</vt:lpwstr>
  </property>
</Properties>
</file>