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eastAsia="方正小标宋简体"/>
          <w:color w:val="000000"/>
          <w:szCs w:val="32"/>
        </w:rPr>
      </w:pPr>
      <w:r>
        <w:rPr>
          <w:rFonts w:hint="eastAsia" w:eastAsia="方正小标宋简体"/>
          <w:color w:val="000000"/>
          <w:szCs w:val="32"/>
        </w:rPr>
        <w:t>电磁灶产品质量监督抽查实施细则</w:t>
      </w:r>
    </w:p>
    <w:p>
      <w:pPr>
        <w:spacing w:line="520" w:lineRule="exact"/>
        <w:ind w:firstLine="880" w:firstLineChars="200"/>
        <w:jc w:val="left"/>
        <w:rPr>
          <w:rFonts w:eastAsia="方正小标宋简体" w:cs="方正小标宋简体"/>
          <w:color w:val="000000"/>
          <w:sz w:val="44"/>
          <w:szCs w:val="44"/>
        </w:rPr>
      </w:pPr>
    </w:p>
    <w:p>
      <w:pPr>
        <w:snapToGrid w:val="0"/>
        <w:spacing w:line="440" w:lineRule="exact"/>
        <w:rPr>
          <w:rFonts w:eastAsia="黑体"/>
          <w:color w:val="000000"/>
          <w:sz w:val="21"/>
          <w:szCs w:val="21"/>
        </w:rPr>
      </w:pPr>
      <w:r>
        <w:rPr>
          <w:rFonts w:hint="eastAsia" w:eastAsia="黑体"/>
          <w:color w:val="000000"/>
          <w:sz w:val="21"/>
          <w:szCs w:val="21"/>
        </w:rPr>
        <w:t>一、抽样方法</w:t>
      </w:r>
    </w:p>
    <w:p>
      <w:pPr>
        <w:snapToGrid w:val="0"/>
        <w:spacing w:line="440" w:lineRule="exact"/>
        <w:ind w:firstLine="420" w:firstLineChars="200"/>
        <w:rPr>
          <w:rFonts w:eastAsia="宋体"/>
          <w:color w:val="000000"/>
          <w:sz w:val="21"/>
          <w:szCs w:val="21"/>
        </w:rPr>
      </w:pPr>
      <w:r>
        <w:rPr>
          <w:rFonts w:eastAsia="宋体"/>
          <w:color w:val="000000"/>
          <w:sz w:val="21"/>
          <w:szCs w:val="21"/>
        </w:rPr>
        <w:t>以随机抽样的方式在被抽样生产者、销售者的待销产品中抽取。</w:t>
      </w:r>
    </w:p>
    <w:p>
      <w:pPr>
        <w:snapToGrid w:val="0"/>
        <w:spacing w:line="440" w:lineRule="exact"/>
        <w:ind w:firstLine="420" w:firstLineChars="200"/>
        <w:rPr>
          <w:rFonts w:eastAsia="宋体"/>
          <w:color w:val="000000"/>
          <w:sz w:val="21"/>
          <w:szCs w:val="21"/>
        </w:rPr>
      </w:pPr>
      <w:r>
        <w:rPr>
          <w:rFonts w:eastAsia="宋体"/>
          <w:color w:val="000000"/>
          <w:sz w:val="21"/>
          <w:szCs w:val="21"/>
        </w:rPr>
        <w:t>随机数一般可使用随机数表等方法产生。</w:t>
      </w:r>
    </w:p>
    <w:p>
      <w:pPr>
        <w:snapToGrid w:val="0"/>
        <w:spacing w:line="440" w:lineRule="exact"/>
        <w:ind w:firstLine="420" w:firstLineChars="200"/>
        <w:rPr>
          <w:rFonts w:eastAsia="宋体"/>
          <w:color w:val="000000"/>
          <w:sz w:val="21"/>
          <w:szCs w:val="21"/>
        </w:rPr>
      </w:pPr>
      <w:r>
        <w:rPr>
          <w:rFonts w:eastAsia="宋体"/>
          <w:color w:val="000000"/>
          <w:sz w:val="21"/>
          <w:szCs w:val="21"/>
        </w:rPr>
        <w:t>每批次抽取样品</w:t>
      </w:r>
      <w:r>
        <w:rPr>
          <w:rFonts w:hint="eastAsia" w:eastAsia="宋体"/>
          <w:color w:val="000000"/>
          <w:sz w:val="21"/>
          <w:szCs w:val="21"/>
        </w:rPr>
        <w:t>4台</w:t>
      </w:r>
      <w:r>
        <w:rPr>
          <w:rFonts w:eastAsia="宋体"/>
          <w:color w:val="000000"/>
          <w:sz w:val="21"/>
          <w:szCs w:val="21"/>
        </w:rPr>
        <w:t>，其中</w:t>
      </w:r>
      <w:r>
        <w:rPr>
          <w:rFonts w:hint="eastAsia" w:eastAsia="宋体"/>
          <w:color w:val="000000"/>
          <w:sz w:val="21"/>
          <w:szCs w:val="21"/>
        </w:rPr>
        <w:t>2台</w:t>
      </w:r>
      <w:r>
        <w:rPr>
          <w:rFonts w:eastAsia="宋体"/>
          <w:color w:val="000000"/>
          <w:sz w:val="21"/>
          <w:szCs w:val="21"/>
        </w:rPr>
        <w:t>作为检验样品，2</w:t>
      </w:r>
      <w:r>
        <w:rPr>
          <w:rFonts w:hint="eastAsia" w:eastAsia="宋体"/>
          <w:color w:val="000000"/>
          <w:sz w:val="21"/>
          <w:szCs w:val="21"/>
        </w:rPr>
        <w:t>台</w:t>
      </w:r>
      <w:r>
        <w:rPr>
          <w:rFonts w:eastAsia="宋体"/>
          <w:color w:val="000000"/>
          <w:sz w:val="21"/>
          <w:szCs w:val="21"/>
        </w:rPr>
        <w:t>作为备用样品。</w:t>
      </w:r>
    </w:p>
    <w:p>
      <w:pPr>
        <w:widowControl/>
        <w:spacing w:line="600" w:lineRule="exact"/>
        <w:jc w:val="left"/>
        <w:rPr>
          <w:rFonts w:ascii="仿宋" w:hAnsi="仿宋" w:eastAsia="仿宋" w:cs="仿宋"/>
          <w:kern w:val="0"/>
          <w:szCs w:val="32"/>
        </w:rPr>
      </w:pPr>
    </w:p>
    <w:p>
      <w:pPr>
        <w:snapToGrid w:val="0"/>
        <w:spacing w:line="440" w:lineRule="exact"/>
        <w:rPr>
          <w:rFonts w:eastAsia="黑体"/>
          <w:color w:val="000000"/>
          <w:sz w:val="21"/>
          <w:szCs w:val="21"/>
        </w:rPr>
      </w:pPr>
      <w:r>
        <w:rPr>
          <w:rFonts w:eastAsia="黑体"/>
          <w:color w:val="000000"/>
          <w:sz w:val="21"/>
          <w:szCs w:val="21"/>
        </w:rPr>
        <w:t>2 检验依据</w:t>
      </w:r>
    </w:p>
    <w:p>
      <w:pPr>
        <w:snapToGrid w:val="0"/>
        <w:spacing w:line="440" w:lineRule="exact"/>
        <w:jc w:val="center"/>
        <w:rPr>
          <w:color w:val="000000"/>
          <w:szCs w:val="21"/>
        </w:rPr>
      </w:pPr>
    </w:p>
    <w:tbl>
      <w:tblPr>
        <w:tblStyle w:val="4"/>
        <w:tblW w:w="49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3855"/>
        <w:gridCol w:w="4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2159" w:type="pct"/>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2389" w:type="pct"/>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bookmarkStart w:id="0" w:name="_GoBack" w:colFirst="0" w:colLast="2"/>
            <w:r>
              <w:rPr>
                <w:rFonts w:eastAsia="宋体"/>
                <w:color w:val="000000"/>
                <w:sz w:val="21"/>
                <w:szCs w:val="21"/>
              </w:rPr>
              <w:t>1</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标志和说明</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4706.1-2005条款7</w:t>
            </w:r>
          </w:p>
          <w:p>
            <w:pPr>
              <w:snapToGrid w:val="0"/>
              <w:spacing w:line="440" w:lineRule="exact"/>
              <w:jc w:val="center"/>
              <w:rPr>
                <w:rFonts w:eastAsia="宋体"/>
                <w:color w:val="000000"/>
                <w:sz w:val="21"/>
                <w:szCs w:val="21"/>
              </w:rPr>
            </w:pPr>
            <w:r>
              <w:rPr>
                <w:rFonts w:hint="eastAsia" w:eastAsia="宋体"/>
                <w:color w:val="000000"/>
                <w:sz w:val="21"/>
                <w:szCs w:val="21"/>
              </w:rPr>
              <w:t>GB 4706.29-2008条款7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对触及带电部件的防护</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4706.1-2005条款8</w:t>
            </w:r>
          </w:p>
          <w:p>
            <w:pPr>
              <w:snapToGrid w:val="0"/>
              <w:spacing w:line="440" w:lineRule="exact"/>
              <w:jc w:val="center"/>
              <w:rPr>
                <w:rFonts w:eastAsia="宋体"/>
                <w:color w:val="000000"/>
                <w:sz w:val="21"/>
                <w:szCs w:val="21"/>
              </w:rPr>
            </w:pPr>
            <w:r>
              <w:rPr>
                <w:rFonts w:hint="eastAsia" w:eastAsia="宋体"/>
                <w:color w:val="000000"/>
                <w:sz w:val="21"/>
                <w:szCs w:val="21"/>
              </w:rPr>
              <w:t>GB 4706.29-2008条款8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输入功率和电流</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4706.1-2005条款10</w:t>
            </w:r>
          </w:p>
          <w:p>
            <w:pPr>
              <w:snapToGrid w:val="0"/>
              <w:spacing w:line="440" w:lineRule="exact"/>
              <w:jc w:val="center"/>
              <w:rPr>
                <w:rFonts w:eastAsia="宋体"/>
                <w:color w:val="000000"/>
                <w:sz w:val="21"/>
                <w:szCs w:val="21"/>
              </w:rPr>
            </w:pPr>
            <w:r>
              <w:rPr>
                <w:rFonts w:hint="eastAsia" w:eastAsia="宋体"/>
                <w:color w:val="000000"/>
                <w:sz w:val="21"/>
                <w:szCs w:val="21"/>
              </w:rPr>
              <w:t>GB 4706.29-2008条款10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发热</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4706.1-2005条款11</w:t>
            </w:r>
          </w:p>
          <w:p>
            <w:pPr>
              <w:snapToGrid w:val="0"/>
              <w:spacing w:line="440" w:lineRule="exact"/>
              <w:jc w:val="center"/>
              <w:rPr>
                <w:rFonts w:eastAsia="宋体"/>
                <w:color w:val="000000"/>
                <w:sz w:val="21"/>
                <w:szCs w:val="21"/>
              </w:rPr>
            </w:pPr>
            <w:r>
              <w:rPr>
                <w:rFonts w:hint="eastAsia" w:eastAsia="宋体"/>
                <w:color w:val="000000"/>
                <w:sz w:val="21"/>
                <w:szCs w:val="21"/>
              </w:rPr>
              <w:t>GB 4706.29-2008条款11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5</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工作温度下的泄漏电流和电气强度</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4706.1-2005条款13</w:t>
            </w:r>
          </w:p>
          <w:p>
            <w:pPr>
              <w:snapToGrid w:val="0"/>
              <w:spacing w:line="440" w:lineRule="exact"/>
              <w:jc w:val="center"/>
              <w:rPr>
                <w:rFonts w:eastAsia="宋体"/>
                <w:color w:val="000000"/>
                <w:sz w:val="21"/>
                <w:szCs w:val="21"/>
              </w:rPr>
            </w:pPr>
            <w:r>
              <w:rPr>
                <w:rFonts w:hint="eastAsia" w:eastAsia="宋体"/>
                <w:color w:val="000000"/>
                <w:sz w:val="21"/>
                <w:szCs w:val="21"/>
              </w:rPr>
              <w:t>GB 4706.29-2008条款13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6</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耐潮湿</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4706.1-2005条款15</w:t>
            </w:r>
          </w:p>
          <w:p>
            <w:pPr>
              <w:snapToGrid w:val="0"/>
              <w:spacing w:line="440" w:lineRule="exact"/>
              <w:jc w:val="center"/>
              <w:rPr>
                <w:rFonts w:eastAsia="宋体"/>
                <w:color w:val="000000"/>
                <w:sz w:val="21"/>
                <w:szCs w:val="21"/>
              </w:rPr>
            </w:pPr>
            <w:r>
              <w:rPr>
                <w:rFonts w:hint="eastAsia" w:eastAsia="宋体"/>
                <w:color w:val="000000"/>
                <w:sz w:val="21"/>
                <w:szCs w:val="21"/>
              </w:rPr>
              <w:t>GB 4706.29-2008条款15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7</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泄漏电流和电气强度</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4706.1-2005条款16</w:t>
            </w:r>
          </w:p>
          <w:p>
            <w:pPr>
              <w:snapToGrid w:val="0"/>
              <w:spacing w:line="440" w:lineRule="exact"/>
              <w:jc w:val="center"/>
              <w:rPr>
                <w:rFonts w:eastAsia="宋体"/>
                <w:color w:val="000000"/>
                <w:sz w:val="21"/>
                <w:szCs w:val="21"/>
              </w:rPr>
            </w:pPr>
            <w:r>
              <w:rPr>
                <w:rFonts w:hint="eastAsia" w:eastAsia="宋体"/>
                <w:color w:val="000000"/>
                <w:sz w:val="21"/>
                <w:szCs w:val="21"/>
              </w:rPr>
              <w:t>GB 4706.29-2008条款16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8</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非正常工作（不包括19.11.4）</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4706.1-2005条款19</w:t>
            </w:r>
          </w:p>
          <w:p>
            <w:pPr>
              <w:snapToGrid w:val="0"/>
              <w:spacing w:line="440" w:lineRule="exact"/>
              <w:jc w:val="center"/>
              <w:rPr>
                <w:rFonts w:eastAsia="宋体"/>
                <w:color w:val="000000"/>
                <w:sz w:val="21"/>
                <w:szCs w:val="21"/>
              </w:rPr>
            </w:pPr>
            <w:r>
              <w:rPr>
                <w:rFonts w:hint="eastAsia" w:eastAsia="宋体"/>
                <w:color w:val="000000"/>
                <w:sz w:val="21"/>
                <w:szCs w:val="21"/>
              </w:rPr>
              <w:t>GB 4706.29-2008条款19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稳定性和机械危险</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4706.1-2005条款20</w:t>
            </w:r>
          </w:p>
          <w:p>
            <w:pPr>
              <w:snapToGrid w:val="0"/>
              <w:spacing w:line="440" w:lineRule="exact"/>
              <w:jc w:val="center"/>
              <w:rPr>
                <w:rFonts w:eastAsia="宋体"/>
                <w:color w:val="000000"/>
                <w:sz w:val="21"/>
                <w:szCs w:val="21"/>
              </w:rPr>
            </w:pPr>
            <w:r>
              <w:rPr>
                <w:rFonts w:hint="eastAsia" w:eastAsia="宋体"/>
                <w:color w:val="000000"/>
                <w:sz w:val="21"/>
                <w:szCs w:val="21"/>
              </w:rPr>
              <w:t>GB 4706.29-2008条款20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10</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机械强度</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4706.1-2005条款21</w:t>
            </w:r>
          </w:p>
          <w:p>
            <w:pPr>
              <w:snapToGrid w:val="0"/>
              <w:spacing w:line="440" w:lineRule="exact"/>
              <w:jc w:val="center"/>
              <w:rPr>
                <w:rFonts w:eastAsia="宋体"/>
                <w:color w:val="000000"/>
                <w:sz w:val="21"/>
                <w:szCs w:val="21"/>
              </w:rPr>
            </w:pPr>
            <w:r>
              <w:rPr>
                <w:rFonts w:hint="eastAsia" w:eastAsia="宋体"/>
                <w:color w:val="000000"/>
                <w:sz w:val="21"/>
                <w:szCs w:val="21"/>
              </w:rPr>
              <w:t>GB 4706.29-2008条款21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11</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结构（不包括22.46（含附录R））</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4706.1-2005条款22</w:t>
            </w:r>
          </w:p>
          <w:p>
            <w:pPr>
              <w:snapToGrid w:val="0"/>
              <w:spacing w:line="440" w:lineRule="exact"/>
              <w:jc w:val="center"/>
              <w:rPr>
                <w:rFonts w:eastAsia="宋体"/>
                <w:color w:val="000000"/>
                <w:sz w:val="21"/>
                <w:szCs w:val="21"/>
              </w:rPr>
            </w:pPr>
            <w:r>
              <w:rPr>
                <w:rFonts w:hint="eastAsia" w:eastAsia="宋体"/>
                <w:color w:val="000000"/>
                <w:sz w:val="21"/>
                <w:szCs w:val="21"/>
              </w:rPr>
              <w:t>GB 4706.29-2008条款22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12</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内部布线</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4706.1-2005条款23</w:t>
            </w:r>
          </w:p>
          <w:p>
            <w:pPr>
              <w:snapToGrid w:val="0"/>
              <w:spacing w:line="440" w:lineRule="exact"/>
              <w:jc w:val="center"/>
              <w:rPr>
                <w:rFonts w:eastAsia="宋体"/>
                <w:color w:val="000000"/>
                <w:sz w:val="21"/>
                <w:szCs w:val="21"/>
              </w:rPr>
            </w:pPr>
            <w:r>
              <w:rPr>
                <w:rFonts w:hint="eastAsia" w:eastAsia="宋体"/>
                <w:color w:val="000000"/>
                <w:sz w:val="21"/>
                <w:szCs w:val="21"/>
              </w:rPr>
              <w:t>GB 4706.29-2008条款23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13</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电源连接及外部软线</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4706.1-2005条款25</w:t>
            </w:r>
          </w:p>
          <w:p>
            <w:pPr>
              <w:snapToGrid w:val="0"/>
              <w:spacing w:line="440" w:lineRule="exact"/>
              <w:jc w:val="center"/>
              <w:rPr>
                <w:rFonts w:eastAsia="宋体"/>
                <w:color w:val="000000"/>
                <w:sz w:val="21"/>
                <w:szCs w:val="21"/>
              </w:rPr>
            </w:pPr>
            <w:r>
              <w:rPr>
                <w:rFonts w:hint="eastAsia" w:eastAsia="宋体"/>
                <w:color w:val="000000"/>
                <w:sz w:val="21"/>
                <w:szCs w:val="21"/>
              </w:rPr>
              <w:t>GB 4706.29-2008条款25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14</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外部导线用接线端子</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4706.1-2005条款26</w:t>
            </w:r>
          </w:p>
          <w:p>
            <w:pPr>
              <w:snapToGrid w:val="0"/>
              <w:spacing w:line="440" w:lineRule="exact"/>
              <w:jc w:val="center"/>
              <w:rPr>
                <w:rFonts w:eastAsia="宋体"/>
                <w:color w:val="000000"/>
                <w:sz w:val="21"/>
                <w:szCs w:val="21"/>
              </w:rPr>
            </w:pPr>
            <w:r>
              <w:rPr>
                <w:rFonts w:hint="eastAsia" w:eastAsia="宋体"/>
                <w:color w:val="000000"/>
                <w:sz w:val="21"/>
                <w:szCs w:val="21"/>
              </w:rPr>
              <w:t>GB 4706.29-2008条款26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15</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接地措施</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4706.1-2005条款27</w:t>
            </w:r>
          </w:p>
          <w:p>
            <w:pPr>
              <w:snapToGrid w:val="0"/>
              <w:spacing w:line="440" w:lineRule="exact"/>
              <w:jc w:val="center"/>
              <w:rPr>
                <w:rFonts w:eastAsia="宋体"/>
                <w:color w:val="000000"/>
                <w:sz w:val="21"/>
                <w:szCs w:val="21"/>
              </w:rPr>
            </w:pPr>
            <w:r>
              <w:rPr>
                <w:rFonts w:hint="eastAsia" w:eastAsia="宋体"/>
                <w:color w:val="000000"/>
                <w:sz w:val="21"/>
                <w:szCs w:val="21"/>
              </w:rPr>
              <w:t>GB 4706.29-2008条款27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16</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螺钉和连接</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4706.1-2005条款28</w:t>
            </w:r>
          </w:p>
          <w:p>
            <w:pPr>
              <w:snapToGrid w:val="0"/>
              <w:spacing w:line="440" w:lineRule="exact"/>
              <w:jc w:val="center"/>
              <w:rPr>
                <w:rFonts w:eastAsia="宋体"/>
                <w:color w:val="000000"/>
                <w:sz w:val="21"/>
                <w:szCs w:val="21"/>
              </w:rPr>
            </w:pPr>
            <w:r>
              <w:rPr>
                <w:rFonts w:hint="eastAsia" w:eastAsia="宋体"/>
                <w:color w:val="000000"/>
                <w:sz w:val="21"/>
                <w:szCs w:val="21"/>
              </w:rPr>
              <w:t>GB 4706.29-2008条款28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17</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电气间隙、爬电距离和固体绝缘</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4706.1-2005条款29</w:t>
            </w:r>
          </w:p>
          <w:p>
            <w:pPr>
              <w:snapToGrid w:val="0"/>
              <w:spacing w:line="440" w:lineRule="exact"/>
              <w:jc w:val="center"/>
              <w:rPr>
                <w:rFonts w:eastAsia="宋体"/>
                <w:color w:val="000000"/>
                <w:sz w:val="21"/>
                <w:szCs w:val="21"/>
              </w:rPr>
            </w:pPr>
            <w:r>
              <w:rPr>
                <w:rFonts w:hint="eastAsia" w:eastAsia="宋体"/>
                <w:color w:val="000000"/>
                <w:sz w:val="21"/>
                <w:szCs w:val="21"/>
              </w:rPr>
              <w:t>GB 4706.29-2008条款29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18</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端子骚扰电压（连续骚扰）</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4343.1-2018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19</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骚扰功率、辐射骚扰</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4343.1-2018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20</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谐波电流</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17625.1-2012</w:t>
            </w:r>
          </w:p>
        </w:tc>
      </w:tr>
      <w:bookmarkEnd w:id="0"/>
    </w:tbl>
    <w:p>
      <w:pPr>
        <w:adjustRightInd w:val="0"/>
        <w:snapToGrid w:val="0"/>
        <w:spacing w:line="580" w:lineRule="exact"/>
        <w:ind w:firstLine="420" w:firstLineChars="200"/>
        <w:jc w:val="left"/>
        <w:rPr>
          <w:rFonts w:eastAsia="宋体"/>
          <w:color w:val="000000"/>
          <w:sz w:val="21"/>
          <w:szCs w:val="21"/>
        </w:rPr>
      </w:pPr>
      <w:r>
        <w:rPr>
          <w:rFonts w:hint="eastAsia" w:eastAsia="宋体"/>
          <w:color w:val="000000"/>
          <w:sz w:val="21"/>
          <w:szCs w:val="21"/>
        </w:rPr>
        <w:t>执行企业标准、团体标准、地方标准的产品，检验项目参照上述内容执行。</w:t>
      </w:r>
    </w:p>
    <w:p>
      <w:pPr>
        <w:adjustRightInd w:val="0"/>
        <w:snapToGrid w:val="0"/>
        <w:spacing w:line="580" w:lineRule="exact"/>
        <w:ind w:firstLine="420" w:firstLineChars="200"/>
        <w:jc w:val="left"/>
        <w:rPr>
          <w:rFonts w:eastAsia="宋体"/>
          <w:color w:val="000000"/>
          <w:sz w:val="21"/>
          <w:szCs w:val="21"/>
        </w:rPr>
      </w:pPr>
      <w:r>
        <w:rPr>
          <w:rFonts w:hint="eastAsia" w:eastAsia="宋体"/>
          <w:color w:val="000000"/>
          <w:sz w:val="21"/>
          <w:szCs w:val="21"/>
        </w:rPr>
        <w:t>凡是注日期的文件，其随后所有的修改单（不包括勘误的内容）或修订版不适用于本细则。凡是不注日期的文件，其最新版本适用于本细则。</w:t>
      </w:r>
    </w:p>
    <w:p>
      <w:pPr>
        <w:adjustRightInd w:val="0"/>
        <w:snapToGrid w:val="0"/>
        <w:spacing w:line="580" w:lineRule="exact"/>
        <w:ind w:firstLine="420" w:firstLineChars="200"/>
        <w:jc w:val="left"/>
        <w:rPr>
          <w:rFonts w:eastAsia="宋体"/>
          <w:color w:val="000000"/>
          <w:sz w:val="21"/>
          <w:szCs w:val="21"/>
        </w:rPr>
      </w:pPr>
    </w:p>
    <w:p>
      <w:pPr>
        <w:spacing w:line="440" w:lineRule="exact"/>
        <w:rPr>
          <w:rFonts w:eastAsia="黑体"/>
          <w:color w:val="000000"/>
          <w:sz w:val="21"/>
          <w:szCs w:val="21"/>
        </w:rPr>
      </w:pPr>
      <w:r>
        <w:rPr>
          <w:rFonts w:hint="eastAsia" w:eastAsia="黑体"/>
          <w:color w:val="000000"/>
          <w:sz w:val="21"/>
          <w:szCs w:val="21"/>
        </w:rPr>
        <w:t>3 判定规则</w:t>
      </w:r>
    </w:p>
    <w:p>
      <w:pPr>
        <w:spacing w:line="440" w:lineRule="exact"/>
        <w:rPr>
          <w:rFonts w:eastAsia="黑体"/>
          <w:color w:val="000000"/>
          <w:sz w:val="21"/>
          <w:szCs w:val="21"/>
        </w:rPr>
      </w:pPr>
      <w:r>
        <w:rPr>
          <w:rFonts w:hint="eastAsia" w:eastAsia="黑体"/>
          <w:color w:val="000000"/>
          <w:sz w:val="21"/>
          <w:szCs w:val="21"/>
        </w:rPr>
        <w:t>3.1依据标准</w:t>
      </w:r>
    </w:p>
    <w:p>
      <w:pPr>
        <w:widowControl/>
        <w:spacing w:line="580" w:lineRule="exact"/>
        <w:ind w:firstLine="420" w:firstLineChars="200"/>
        <w:jc w:val="left"/>
        <w:rPr>
          <w:rFonts w:eastAsia="宋体"/>
          <w:color w:val="000000"/>
          <w:sz w:val="21"/>
          <w:szCs w:val="21"/>
        </w:rPr>
      </w:pPr>
      <w:r>
        <w:rPr>
          <w:rFonts w:hint="eastAsia" w:eastAsia="宋体"/>
          <w:color w:val="000000"/>
          <w:sz w:val="21"/>
          <w:szCs w:val="21"/>
        </w:rPr>
        <w:t>GB 4706.1-2005《家用和类似用途电器的安全 第1部分：通用要求》</w:t>
      </w:r>
    </w:p>
    <w:p>
      <w:pPr>
        <w:widowControl/>
        <w:spacing w:line="580" w:lineRule="exact"/>
        <w:ind w:firstLine="420" w:firstLineChars="200"/>
        <w:jc w:val="left"/>
        <w:rPr>
          <w:rFonts w:eastAsia="宋体"/>
          <w:color w:val="000000"/>
          <w:sz w:val="21"/>
          <w:szCs w:val="21"/>
        </w:rPr>
      </w:pPr>
      <w:r>
        <w:rPr>
          <w:rFonts w:hint="eastAsia" w:eastAsia="宋体"/>
          <w:color w:val="000000"/>
          <w:sz w:val="21"/>
          <w:szCs w:val="21"/>
        </w:rPr>
        <w:t>GB 4706.29-2008《家用和类似用途电器的安全 便携式电磁灶的特殊要求》</w:t>
      </w:r>
    </w:p>
    <w:p>
      <w:pPr>
        <w:widowControl/>
        <w:spacing w:line="580" w:lineRule="exact"/>
        <w:ind w:firstLine="420" w:firstLineChars="200"/>
        <w:jc w:val="left"/>
        <w:rPr>
          <w:rFonts w:eastAsia="宋体"/>
          <w:color w:val="000000"/>
          <w:sz w:val="21"/>
          <w:szCs w:val="21"/>
        </w:rPr>
      </w:pPr>
      <w:r>
        <w:rPr>
          <w:rFonts w:hint="eastAsia" w:eastAsia="宋体"/>
          <w:color w:val="000000"/>
          <w:sz w:val="21"/>
          <w:szCs w:val="21"/>
        </w:rPr>
        <w:t>GB 4343.1-2018《家用电器、电动工具和类似器具的电磁兼容要求 第1部分：发射》</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GB 17625.1-2012《电磁兼容 限值 谐波电流发射限值(设备每相输入电流≤16A)》</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现行有效的企业标准、团体标准、地方标准及产品明示质量要求。</w:t>
      </w:r>
    </w:p>
    <w:p>
      <w:pPr>
        <w:spacing w:line="440" w:lineRule="exact"/>
        <w:rPr>
          <w:rFonts w:eastAsia="黑体"/>
          <w:color w:val="000000"/>
          <w:sz w:val="21"/>
          <w:szCs w:val="21"/>
        </w:rPr>
      </w:pPr>
      <w:r>
        <w:rPr>
          <w:rFonts w:eastAsia="黑体"/>
          <w:color w:val="000000"/>
          <w:sz w:val="21"/>
          <w:szCs w:val="21"/>
        </w:rPr>
        <w:t>3.2判定原则</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经检验，检验项目全部合格，判定为抽取的样本所检项目未检出不合格；检验项目中任一项或一项以上不合格，判定为被抽查产品不合格。</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当被检样品明示的质量要求优于监督抽查实施细则中依据的标准要求时，应按被检样品明示的质量要求判定；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当被检样品明示的质量要求劣于或不包含监督抽查实施细则中依据的强制性标准要求时，应按照强制性标准要求判定；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当被检样品明示的质量要求劣于或包含监督抽查实施细则中依据的推荐性标准要求时，应以被检样品明示的质量要求判定，如相应检验结果不符合相关推荐性标准要求时，应在检验报告中予以说明；</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当被检样品明示的质量要求不包含监督抽查实施细则中依据的推荐性标准要求时，该指标不参与判定，但应在检验报告中作出说明；</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当被检样品未能提供有效的企业标准时，按相关国家或行业标准进行判定；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按照产品质量相关法律法规的规定判定。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文泉驿微米黑">
    <w:panose1 w:val="020B0606030804020204"/>
    <w:charset w:val="86"/>
    <w:family w:val="auto"/>
    <w:pitch w:val="default"/>
    <w:sig w:usb0="E10002EF" w:usb1="6BDFFCFB" w:usb2="00800036" w:usb3="00000000" w:csb0="603E01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2F57"/>
    <w:rsid w:val="00044431"/>
    <w:rsid w:val="00046227"/>
    <w:rsid w:val="000512B6"/>
    <w:rsid w:val="00064623"/>
    <w:rsid w:val="00065C58"/>
    <w:rsid w:val="0006663D"/>
    <w:rsid w:val="00067B88"/>
    <w:rsid w:val="000713FD"/>
    <w:rsid w:val="00074B58"/>
    <w:rsid w:val="00076BE3"/>
    <w:rsid w:val="00077169"/>
    <w:rsid w:val="0008148B"/>
    <w:rsid w:val="000829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3144"/>
    <w:rsid w:val="00104BE7"/>
    <w:rsid w:val="001109E2"/>
    <w:rsid w:val="00113A36"/>
    <w:rsid w:val="001162B5"/>
    <w:rsid w:val="00132F01"/>
    <w:rsid w:val="0013531B"/>
    <w:rsid w:val="00140E48"/>
    <w:rsid w:val="00142CE7"/>
    <w:rsid w:val="00154109"/>
    <w:rsid w:val="001625EA"/>
    <w:rsid w:val="00165386"/>
    <w:rsid w:val="00165F2E"/>
    <w:rsid w:val="001702BA"/>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DF9"/>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56E4"/>
    <w:rsid w:val="00296A48"/>
    <w:rsid w:val="002A1FE1"/>
    <w:rsid w:val="002A3B02"/>
    <w:rsid w:val="002A4BD1"/>
    <w:rsid w:val="002A5256"/>
    <w:rsid w:val="002A6E37"/>
    <w:rsid w:val="002B00B2"/>
    <w:rsid w:val="002B05A1"/>
    <w:rsid w:val="002B1A6E"/>
    <w:rsid w:val="002B471F"/>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1A0"/>
    <w:rsid w:val="00324DC2"/>
    <w:rsid w:val="003257CC"/>
    <w:rsid w:val="00331E2F"/>
    <w:rsid w:val="00342025"/>
    <w:rsid w:val="00342B64"/>
    <w:rsid w:val="00347461"/>
    <w:rsid w:val="00352CEF"/>
    <w:rsid w:val="00357BCA"/>
    <w:rsid w:val="00360DB7"/>
    <w:rsid w:val="003622FD"/>
    <w:rsid w:val="003644FC"/>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23F5A"/>
    <w:rsid w:val="00431EDB"/>
    <w:rsid w:val="0044553D"/>
    <w:rsid w:val="004464C0"/>
    <w:rsid w:val="00463941"/>
    <w:rsid w:val="004649FC"/>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2A88"/>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61C9"/>
    <w:rsid w:val="00770D38"/>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4791"/>
    <w:rsid w:val="00885A76"/>
    <w:rsid w:val="00886933"/>
    <w:rsid w:val="00887753"/>
    <w:rsid w:val="00892B4D"/>
    <w:rsid w:val="00896CD5"/>
    <w:rsid w:val="008A09FC"/>
    <w:rsid w:val="008A6916"/>
    <w:rsid w:val="008A6E54"/>
    <w:rsid w:val="008A7590"/>
    <w:rsid w:val="008B502C"/>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59DC"/>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0456"/>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966D3"/>
    <w:rsid w:val="00AA3349"/>
    <w:rsid w:val="00AA3658"/>
    <w:rsid w:val="00AB100C"/>
    <w:rsid w:val="00AB3B0B"/>
    <w:rsid w:val="00AB5E64"/>
    <w:rsid w:val="00AB7747"/>
    <w:rsid w:val="00AC5A64"/>
    <w:rsid w:val="00AC68FE"/>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1D85"/>
    <w:rsid w:val="00BB4BF5"/>
    <w:rsid w:val="00BC333C"/>
    <w:rsid w:val="00BC351D"/>
    <w:rsid w:val="00BD0C33"/>
    <w:rsid w:val="00BD12B3"/>
    <w:rsid w:val="00BE37F9"/>
    <w:rsid w:val="00BE3BFF"/>
    <w:rsid w:val="00BF1659"/>
    <w:rsid w:val="00BF5AFA"/>
    <w:rsid w:val="00BF6F63"/>
    <w:rsid w:val="00C00D3B"/>
    <w:rsid w:val="00C151F9"/>
    <w:rsid w:val="00C15E43"/>
    <w:rsid w:val="00C177D8"/>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3ACF"/>
    <w:rsid w:val="00C950EE"/>
    <w:rsid w:val="00CA1718"/>
    <w:rsid w:val="00CA425B"/>
    <w:rsid w:val="00CA61B5"/>
    <w:rsid w:val="00CB1C07"/>
    <w:rsid w:val="00CC5C02"/>
    <w:rsid w:val="00CC78CE"/>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1580"/>
    <w:rsid w:val="00D73832"/>
    <w:rsid w:val="00D73C5A"/>
    <w:rsid w:val="00D74CBB"/>
    <w:rsid w:val="00D816C0"/>
    <w:rsid w:val="00D81F12"/>
    <w:rsid w:val="00D82536"/>
    <w:rsid w:val="00D83757"/>
    <w:rsid w:val="00D84E74"/>
    <w:rsid w:val="00D90990"/>
    <w:rsid w:val="00DA01D3"/>
    <w:rsid w:val="00DA5D53"/>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1499"/>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00B7"/>
    <w:rsid w:val="00ED44D6"/>
    <w:rsid w:val="00ED57DB"/>
    <w:rsid w:val="00ED62FC"/>
    <w:rsid w:val="00ED63FA"/>
    <w:rsid w:val="00ED6E95"/>
    <w:rsid w:val="00EF1589"/>
    <w:rsid w:val="00EF2163"/>
    <w:rsid w:val="00EF2603"/>
    <w:rsid w:val="00EF3226"/>
    <w:rsid w:val="00F00FE3"/>
    <w:rsid w:val="00F12796"/>
    <w:rsid w:val="00F12AC2"/>
    <w:rsid w:val="00F15589"/>
    <w:rsid w:val="00F16768"/>
    <w:rsid w:val="00F24F8E"/>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178"/>
    <w:rsid w:val="00F87A27"/>
    <w:rsid w:val="00FA18C7"/>
    <w:rsid w:val="00FA3326"/>
    <w:rsid w:val="00FA4329"/>
    <w:rsid w:val="00FA5D05"/>
    <w:rsid w:val="00FB2698"/>
    <w:rsid w:val="00FB466B"/>
    <w:rsid w:val="00FC0BE1"/>
    <w:rsid w:val="00FC4942"/>
    <w:rsid w:val="00FD6C34"/>
    <w:rsid w:val="00FE3526"/>
    <w:rsid w:val="00FE4741"/>
    <w:rsid w:val="00FF317F"/>
    <w:rsid w:val="00FF59F8"/>
    <w:rsid w:val="2FEE09C5"/>
    <w:rsid w:val="3FEFF1F2"/>
    <w:rsid w:val="451E01B6"/>
    <w:rsid w:val="7DA4E309"/>
    <w:rsid w:val="B3BB070E"/>
    <w:rsid w:val="BCD77056"/>
    <w:rsid w:val="FFBF5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qFormat/>
    <w:uiPriority w:val="0"/>
    <w:pPr>
      <w:adjustRightInd w:val="0"/>
    </w:pPr>
    <w:rPr>
      <w:rFonts w:hint="eastAsia" w:ascii="宋体" w:eastAsia="宋体"/>
      <w:kern w:val="0"/>
      <w:sz w:val="21"/>
      <w:szCs w:val="20"/>
    </w:rPr>
  </w:style>
  <w:style w:type="paragraph" w:customStyle="1" w:styleId="10">
    <w:name w:val="(文字) (文字)1 Char (文字) (文字) Char"/>
    <w:basedOn w:val="1"/>
    <w:qFormat/>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Pages>
  <Words>290</Words>
  <Characters>1657</Characters>
  <Lines>13</Lines>
  <Paragraphs>3</Paragraphs>
  <TotalTime>7</TotalTime>
  <ScaleCrop>false</ScaleCrop>
  <LinksUpToDate>false</LinksUpToDate>
  <CharactersWithSpaces>1944</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2024-06-18T19:13:00Z</dcterms:created>
  <dc:creator>微软用户</dc:creator>
  <cp:lastModifiedBy>admin1</cp:lastModifiedBy>
  <dcterms:modified xsi:type="dcterms:W3CDTF">2024-06-21T11:45:48Z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411EDB1CD22A499FBB00D4F312E379A8</vt:lpwstr>
  </property>
</Properties>
</file>