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Cs w:val="32"/>
        </w:rPr>
      </w:pPr>
      <w:r>
        <w:rPr>
          <w:rFonts w:hint="eastAsia" w:eastAsia="方正小标宋简体"/>
          <w:color w:val="000000"/>
          <w:szCs w:val="32"/>
        </w:rPr>
        <w:t>玩具产品质量监督抽查实施细则</w:t>
      </w:r>
    </w:p>
    <w:p>
      <w:pPr>
        <w:spacing w:line="520" w:lineRule="exact"/>
        <w:ind w:firstLine="880" w:firstLineChars="200"/>
        <w:jc w:val="left"/>
        <w:rPr>
          <w:rFonts w:eastAsia="方正小标宋简体" w:cs="方正小标宋简体"/>
          <w:color w:val="000000"/>
          <w:sz w:val="44"/>
          <w:szCs w:val="44"/>
        </w:rPr>
      </w:pPr>
    </w:p>
    <w:p>
      <w:pPr>
        <w:snapToGrid w:val="0"/>
        <w:spacing w:line="440" w:lineRule="exact"/>
        <w:rPr>
          <w:rFonts w:eastAsia="黑体"/>
          <w:color w:val="000000"/>
          <w:sz w:val="21"/>
          <w:szCs w:val="21"/>
        </w:rPr>
      </w:pPr>
      <w:r>
        <w:rPr>
          <w:rFonts w:hint="eastAsia" w:eastAsia="黑体"/>
          <w:color w:val="000000"/>
          <w:sz w:val="21"/>
          <w:szCs w:val="21"/>
        </w:rPr>
        <w:t>一、抽样方法</w:t>
      </w:r>
    </w:p>
    <w:p>
      <w:pPr>
        <w:snapToGrid w:val="0"/>
        <w:spacing w:line="440" w:lineRule="exact"/>
        <w:ind w:firstLine="420" w:firstLineChars="200"/>
        <w:rPr>
          <w:rFonts w:eastAsia="宋体"/>
          <w:color w:val="000000"/>
          <w:sz w:val="21"/>
          <w:szCs w:val="21"/>
        </w:rPr>
      </w:pPr>
      <w:r>
        <w:rPr>
          <w:rFonts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eastAsia="宋体"/>
          <w:color w:val="000000"/>
          <w:sz w:val="21"/>
          <w:szCs w:val="21"/>
        </w:rPr>
        <w:t>随机数一般可使用随机数表等方法产生。</w:t>
      </w:r>
    </w:p>
    <w:p>
      <w:pPr>
        <w:snapToGrid w:val="0"/>
        <w:spacing w:line="440" w:lineRule="exact"/>
        <w:ind w:firstLine="420" w:firstLineChars="200"/>
        <w:rPr>
          <w:rFonts w:hint="eastAsia" w:eastAsia="宋体"/>
          <w:color w:val="000000"/>
          <w:sz w:val="21"/>
          <w:szCs w:val="21"/>
        </w:rPr>
      </w:pPr>
      <w:r>
        <w:rPr>
          <w:rFonts w:eastAsia="宋体"/>
          <w:color w:val="000000"/>
          <w:sz w:val="21"/>
          <w:szCs w:val="21"/>
        </w:rPr>
        <w:t>每批次抽取样品</w:t>
      </w:r>
      <w:r>
        <w:rPr>
          <w:rFonts w:hint="eastAsia" w:eastAsia="宋体"/>
          <w:color w:val="000000"/>
          <w:sz w:val="21"/>
          <w:szCs w:val="21"/>
        </w:rPr>
        <w:t>3个/套</w:t>
      </w:r>
      <w:r>
        <w:rPr>
          <w:rFonts w:eastAsia="宋体"/>
          <w:color w:val="000000"/>
          <w:sz w:val="21"/>
          <w:szCs w:val="21"/>
        </w:rPr>
        <w:t>，其中</w:t>
      </w:r>
      <w:r>
        <w:rPr>
          <w:rFonts w:hint="eastAsia" w:eastAsia="宋体"/>
          <w:color w:val="000000"/>
          <w:sz w:val="21"/>
          <w:szCs w:val="21"/>
        </w:rPr>
        <w:t>2个/套</w:t>
      </w:r>
      <w:r>
        <w:rPr>
          <w:rFonts w:eastAsia="宋体"/>
          <w:color w:val="000000"/>
          <w:sz w:val="21"/>
          <w:szCs w:val="21"/>
        </w:rPr>
        <w:t>作为检验样品，</w:t>
      </w:r>
      <w:r>
        <w:rPr>
          <w:rFonts w:hint="eastAsia" w:eastAsia="宋体"/>
          <w:color w:val="000000"/>
          <w:sz w:val="21"/>
          <w:szCs w:val="21"/>
        </w:rPr>
        <w:t>1个/套</w:t>
      </w:r>
      <w:r>
        <w:rPr>
          <w:rFonts w:eastAsia="宋体"/>
          <w:color w:val="000000"/>
          <w:sz w:val="21"/>
          <w:szCs w:val="21"/>
        </w:rPr>
        <w:t>作为备用样品。</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注：请抽样时同时抽取有标签标识的外包装盒/袋（如有）。</w:t>
      </w:r>
    </w:p>
    <w:p>
      <w:pPr>
        <w:widowControl/>
        <w:spacing w:line="600" w:lineRule="exact"/>
        <w:jc w:val="left"/>
        <w:rPr>
          <w:rFonts w:ascii="仿宋" w:hAnsi="仿宋" w:eastAsia="仿宋" w:cs="仿宋"/>
          <w:kern w:val="0"/>
          <w:szCs w:val="32"/>
        </w:rPr>
      </w:pPr>
    </w:p>
    <w:p>
      <w:pPr>
        <w:snapToGrid w:val="0"/>
        <w:spacing w:line="440" w:lineRule="exact"/>
        <w:rPr>
          <w:rFonts w:eastAsia="黑体"/>
          <w:color w:val="000000"/>
          <w:sz w:val="21"/>
          <w:szCs w:val="21"/>
        </w:rPr>
      </w:pPr>
      <w:r>
        <w:rPr>
          <w:rFonts w:eastAsia="黑体"/>
          <w:color w:val="000000"/>
          <w:sz w:val="21"/>
          <w:szCs w:val="21"/>
        </w:rPr>
        <w:t>2 检验依据</w:t>
      </w:r>
    </w:p>
    <w:p>
      <w:pPr>
        <w:snapToGrid w:val="0"/>
        <w:spacing w:line="440" w:lineRule="exact"/>
        <w:jc w:val="center"/>
        <w:rPr>
          <w:color w:val="000000"/>
          <w:szCs w:val="21"/>
        </w:rPr>
      </w:pP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488"/>
        <w:gridCol w:w="770"/>
        <w:gridCol w:w="1963"/>
        <w:gridCol w:w="3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1373" w:type="pct"/>
          </w:tcPr>
          <w:p>
            <w:pPr>
              <w:snapToGrid w:val="0"/>
              <w:spacing w:line="440" w:lineRule="exact"/>
              <w:jc w:val="center"/>
              <w:rPr>
                <w:rFonts w:eastAsia="宋体"/>
                <w:color w:val="000000"/>
                <w:sz w:val="21"/>
                <w:szCs w:val="21"/>
              </w:rPr>
            </w:pPr>
            <w:r>
              <w:rPr>
                <w:rFonts w:hint="eastAsia" w:eastAsia="宋体"/>
                <w:color w:val="000000"/>
                <w:sz w:val="21"/>
                <w:szCs w:val="21"/>
              </w:rPr>
              <w:t>检测部位</w:t>
            </w:r>
          </w:p>
        </w:tc>
        <w:tc>
          <w:tcPr>
            <w:tcW w:w="1508" w:type="pct"/>
            <w:gridSpan w:val="2"/>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1668"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bookmarkStart w:id="0" w:name="_GoBack" w:colFirst="0" w:colLast="4"/>
            <w:r>
              <w:rPr>
                <w:rFonts w:hint="eastAsia" w:eastAsia="宋体"/>
                <w:color w:val="000000"/>
                <w:sz w:val="21"/>
                <w:szCs w:val="21"/>
              </w:rPr>
              <w:t>1</w:t>
            </w:r>
          </w:p>
        </w:tc>
        <w:tc>
          <w:tcPr>
            <w:tcW w:w="1373" w:type="pct"/>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可触及部件</w:t>
            </w:r>
          </w:p>
        </w:tc>
        <w:tc>
          <w:tcPr>
            <w:tcW w:w="425" w:type="pct"/>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重金属8项</w:t>
            </w:r>
          </w:p>
        </w:tc>
        <w:tc>
          <w:tcPr>
            <w:tcW w:w="1083"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w:t>
            </w:r>
          </w:p>
        </w:tc>
        <w:tc>
          <w:tcPr>
            <w:tcW w:w="1668" w:type="pct"/>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 6675.4-2014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1373" w:type="pct"/>
            <w:vMerge w:val="continue"/>
            <w:vAlign w:val="center"/>
          </w:tcPr>
          <w:p>
            <w:pPr>
              <w:snapToGrid w:val="0"/>
              <w:spacing w:line="440" w:lineRule="exact"/>
              <w:jc w:val="center"/>
              <w:rPr>
                <w:rFonts w:hint="eastAsia" w:eastAsia="宋体"/>
                <w:color w:val="000000"/>
                <w:sz w:val="21"/>
                <w:szCs w:val="21"/>
              </w:rPr>
            </w:pPr>
          </w:p>
        </w:tc>
        <w:tc>
          <w:tcPr>
            <w:tcW w:w="425" w:type="pct"/>
            <w:vMerge w:val="continue"/>
            <w:vAlign w:val="center"/>
          </w:tcPr>
          <w:p>
            <w:pPr>
              <w:snapToGrid w:val="0"/>
              <w:spacing w:line="440" w:lineRule="exact"/>
              <w:jc w:val="center"/>
              <w:rPr>
                <w:rFonts w:hint="eastAsia" w:eastAsia="宋体"/>
                <w:color w:val="000000"/>
                <w:sz w:val="21"/>
                <w:szCs w:val="21"/>
              </w:rPr>
            </w:pPr>
          </w:p>
        </w:tc>
        <w:tc>
          <w:tcPr>
            <w:tcW w:w="1083"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铬</w:t>
            </w:r>
          </w:p>
        </w:tc>
        <w:tc>
          <w:tcPr>
            <w:tcW w:w="1668" w:type="pct"/>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1373" w:type="pct"/>
            <w:vMerge w:val="continue"/>
            <w:vAlign w:val="center"/>
          </w:tcPr>
          <w:p>
            <w:pPr>
              <w:snapToGrid w:val="0"/>
              <w:spacing w:line="440" w:lineRule="exact"/>
              <w:jc w:val="center"/>
              <w:rPr>
                <w:rFonts w:hint="eastAsia" w:eastAsia="宋体"/>
                <w:color w:val="000000"/>
                <w:sz w:val="21"/>
                <w:szCs w:val="21"/>
              </w:rPr>
            </w:pPr>
          </w:p>
        </w:tc>
        <w:tc>
          <w:tcPr>
            <w:tcW w:w="425" w:type="pct"/>
            <w:vMerge w:val="continue"/>
            <w:vAlign w:val="center"/>
          </w:tcPr>
          <w:p>
            <w:pPr>
              <w:snapToGrid w:val="0"/>
              <w:spacing w:line="440" w:lineRule="exact"/>
              <w:jc w:val="center"/>
              <w:rPr>
                <w:rFonts w:hint="eastAsia" w:eastAsia="宋体"/>
                <w:color w:val="000000"/>
                <w:sz w:val="21"/>
                <w:szCs w:val="21"/>
              </w:rPr>
            </w:pPr>
          </w:p>
        </w:tc>
        <w:tc>
          <w:tcPr>
            <w:tcW w:w="1083"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镉</w:t>
            </w:r>
          </w:p>
        </w:tc>
        <w:tc>
          <w:tcPr>
            <w:tcW w:w="1668" w:type="pct"/>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1373" w:type="pct"/>
            <w:vMerge w:val="continue"/>
            <w:vAlign w:val="center"/>
          </w:tcPr>
          <w:p>
            <w:pPr>
              <w:snapToGrid w:val="0"/>
              <w:spacing w:line="440" w:lineRule="exact"/>
              <w:jc w:val="center"/>
              <w:rPr>
                <w:rFonts w:hint="eastAsia" w:eastAsia="宋体"/>
                <w:color w:val="000000"/>
                <w:sz w:val="21"/>
                <w:szCs w:val="21"/>
              </w:rPr>
            </w:pPr>
          </w:p>
        </w:tc>
        <w:tc>
          <w:tcPr>
            <w:tcW w:w="425" w:type="pct"/>
            <w:vMerge w:val="continue"/>
            <w:vAlign w:val="center"/>
          </w:tcPr>
          <w:p>
            <w:pPr>
              <w:snapToGrid w:val="0"/>
              <w:spacing w:line="440" w:lineRule="exact"/>
              <w:jc w:val="center"/>
              <w:rPr>
                <w:rFonts w:hint="eastAsia" w:eastAsia="宋体"/>
                <w:color w:val="000000"/>
                <w:sz w:val="21"/>
                <w:szCs w:val="21"/>
              </w:rPr>
            </w:pPr>
          </w:p>
        </w:tc>
        <w:tc>
          <w:tcPr>
            <w:tcW w:w="1083"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汞</w:t>
            </w:r>
          </w:p>
        </w:tc>
        <w:tc>
          <w:tcPr>
            <w:tcW w:w="1668" w:type="pct"/>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1373" w:type="pct"/>
            <w:vMerge w:val="continue"/>
            <w:vAlign w:val="center"/>
          </w:tcPr>
          <w:p>
            <w:pPr>
              <w:snapToGrid w:val="0"/>
              <w:spacing w:line="440" w:lineRule="exact"/>
              <w:jc w:val="center"/>
              <w:rPr>
                <w:rFonts w:hint="eastAsia" w:eastAsia="宋体"/>
                <w:color w:val="000000"/>
                <w:sz w:val="21"/>
                <w:szCs w:val="21"/>
              </w:rPr>
            </w:pPr>
          </w:p>
        </w:tc>
        <w:tc>
          <w:tcPr>
            <w:tcW w:w="425" w:type="pct"/>
            <w:vMerge w:val="continue"/>
            <w:vAlign w:val="center"/>
          </w:tcPr>
          <w:p>
            <w:pPr>
              <w:snapToGrid w:val="0"/>
              <w:spacing w:line="440" w:lineRule="exact"/>
              <w:jc w:val="center"/>
              <w:rPr>
                <w:rFonts w:hint="eastAsia" w:eastAsia="宋体"/>
                <w:color w:val="000000"/>
                <w:sz w:val="21"/>
                <w:szCs w:val="21"/>
              </w:rPr>
            </w:pPr>
          </w:p>
        </w:tc>
        <w:tc>
          <w:tcPr>
            <w:tcW w:w="1083"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锑</w:t>
            </w:r>
          </w:p>
        </w:tc>
        <w:tc>
          <w:tcPr>
            <w:tcW w:w="1668" w:type="pct"/>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1373" w:type="pct"/>
            <w:vMerge w:val="continue"/>
            <w:vAlign w:val="center"/>
          </w:tcPr>
          <w:p>
            <w:pPr>
              <w:snapToGrid w:val="0"/>
              <w:spacing w:line="440" w:lineRule="exact"/>
              <w:jc w:val="center"/>
              <w:rPr>
                <w:rFonts w:hint="eastAsia" w:eastAsia="宋体"/>
                <w:color w:val="000000"/>
                <w:sz w:val="21"/>
                <w:szCs w:val="21"/>
              </w:rPr>
            </w:pPr>
          </w:p>
        </w:tc>
        <w:tc>
          <w:tcPr>
            <w:tcW w:w="425" w:type="pct"/>
            <w:vMerge w:val="continue"/>
            <w:vAlign w:val="center"/>
          </w:tcPr>
          <w:p>
            <w:pPr>
              <w:snapToGrid w:val="0"/>
              <w:spacing w:line="440" w:lineRule="exact"/>
              <w:jc w:val="center"/>
              <w:rPr>
                <w:rFonts w:hint="eastAsia" w:eastAsia="宋体"/>
                <w:color w:val="000000"/>
                <w:sz w:val="21"/>
                <w:szCs w:val="21"/>
              </w:rPr>
            </w:pPr>
          </w:p>
        </w:tc>
        <w:tc>
          <w:tcPr>
            <w:tcW w:w="1083"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硒</w:t>
            </w:r>
          </w:p>
        </w:tc>
        <w:tc>
          <w:tcPr>
            <w:tcW w:w="1668" w:type="pct"/>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1373" w:type="pct"/>
            <w:vMerge w:val="continue"/>
            <w:vAlign w:val="center"/>
          </w:tcPr>
          <w:p>
            <w:pPr>
              <w:snapToGrid w:val="0"/>
              <w:spacing w:line="440" w:lineRule="exact"/>
              <w:jc w:val="center"/>
              <w:rPr>
                <w:rFonts w:hint="eastAsia" w:eastAsia="宋体"/>
                <w:color w:val="000000"/>
                <w:sz w:val="21"/>
                <w:szCs w:val="21"/>
              </w:rPr>
            </w:pPr>
          </w:p>
        </w:tc>
        <w:tc>
          <w:tcPr>
            <w:tcW w:w="425" w:type="pct"/>
            <w:vMerge w:val="continue"/>
            <w:vAlign w:val="center"/>
          </w:tcPr>
          <w:p>
            <w:pPr>
              <w:snapToGrid w:val="0"/>
              <w:spacing w:line="440" w:lineRule="exact"/>
              <w:jc w:val="center"/>
              <w:rPr>
                <w:rFonts w:hint="eastAsia" w:eastAsia="宋体"/>
                <w:color w:val="000000"/>
                <w:sz w:val="21"/>
                <w:szCs w:val="21"/>
              </w:rPr>
            </w:pPr>
          </w:p>
        </w:tc>
        <w:tc>
          <w:tcPr>
            <w:tcW w:w="1083"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钡</w:t>
            </w:r>
          </w:p>
        </w:tc>
        <w:tc>
          <w:tcPr>
            <w:tcW w:w="1668" w:type="pct"/>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1373" w:type="pct"/>
            <w:vMerge w:val="continue"/>
            <w:vAlign w:val="center"/>
          </w:tcPr>
          <w:p>
            <w:pPr>
              <w:snapToGrid w:val="0"/>
              <w:spacing w:line="440" w:lineRule="exact"/>
              <w:jc w:val="center"/>
              <w:rPr>
                <w:rFonts w:hint="eastAsia" w:eastAsia="宋体"/>
                <w:color w:val="000000"/>
                <w:sz w:val="21"/>
                <w:szCs w:val="21"/>
              </w:rPr>
            </w:pPr>
          </w:p>
        </w:tc>
        <w:tc>
          <w:tcPr>
            <w:tcW w:w="425" w:type="pct"/>
            <w:vMerge w:val="continue"/>
            <w:vAlign w:val="center"/>
          </w:tcPr>
          <w:p>
            <w:pPr>
              <w:snapToGrid w:val="0"/>
              <w:spacing w:line="440" w:lineRule="exact"/>
              <w:jc w:val="center"/>
              <w:rPr>
                <w:rFonts w:hint="eastAsia" w:eastAsia="宋体"/>
                <w:color w:val="000000"/>
                <w:sz w:val="21"/>
                <w:szCs w:val="21"/>
              </w:rPr>
            </w:pPr>
          </w:p>
        </w:tc>
        <w:tc>
          <w:tcPr>
            <w:tcW w:w="1083"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砷</w:t>
            </w:r>
          </w:p>
        </w:tc>
        <w:tc>
          <w:tcPr>
            <w:tcW w:w="1668" w:type="pct"/>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1373"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可触及塑料部件</w:t>
            </w:r>
          </w:p>
        </w:tc>
        <w:tc>
          <w:tcPr>
            <w:tcW w:w="1508" w:type="pct"/>
            <w:gridSpan w:val="2"/>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DBP+BBP+DEHP</w:t>
            </w:r>
          </w:p>
        </w:tc>
        <w:tc>
          <w:tcPr>
            <w:tcW w:w="1668"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22048-2022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1373"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可放入口中的可触及塑料部件</w:t>
            </w:r>
          </w:p>
        </w:tc>
        <w:tc>
          <w:tcPr>
            <w:tcW w:w="1508" w:type="pct"/>
            <w:gridSpan w:val="2"/>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DNOP+</w:t>
            </w:r>
          </w:p>
        </w:tc>
        <w:tc>
          <w:tcPr>
            <w:tcW w:w="1668"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可放入口中的可触及塑料部件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2881" w:type="pct"/>
            <w:gridSpan w:val="3"/>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标识</w:t>
            </w:r>
          </w:p>
        </w:tc>
        <w:tc>
          <w:tcPr>
            <w:tcW w:w="1668" w:type="pc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 6675.1-2014/5.7、GB 5296.6-2006</w:t>
            </w:r>
          </w:p>
        </w:tc>
      </w:tr>
      <w:bookmarkEnd w:id="0"/>
    </w:tbl>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adjustRightInd w:val="0"/>
        <w:snapToGrid w:val="0"/>
        <w:spacing w:line="580" w:lineRule="exact"/>
        <w:ind w:firstLine="420" w:firstLineChars="200"/>
        <w:jc w:val="left"/>
        <w:rPr>
          <w:rFonts w:eastAsia="宋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pacing w:line="440" w:lineRule="exact"/>
        <w:rPr>
          <w:rFonts w:eastAsia="黑体"/>
          <w:color w:val="000000"/>
          <w:sz w:val="21"/>
          <w:szCs w:val="21"/>
        </w:rPr>
      </w:pPr>
      <w:r>
        <w:rPr>
          <w:rFonts w:hint="eastAsia" w:eastAsia="黑体"/>
          <w:color w:val="000000"/>
          <w:sz w:val="21"/>
          <w:szCs w:val="21"/>
        </w:rPr>
        <w:t>3.1依据标准</w:t>
      </w:r>
    </w:p>
    <w:p>
      <w:pPr>
        <w:widowControl/>
        <w:spacing w:line="580" w:lineRule="exact"/>
        <w:ind w:firstLine="420" w:firstLineChars="200"/>
        <w:jc w:val="left"/>
        <w:rPr>
          <w:rFonts w:hint="eastAsia" w:eastAsia="宋体"/>
          <w:color w:val="000000"/>
          <w:sz w:val="21"/>
          <w:szCs w:val="21"/>
        </w:rPr>
      </w:pPr>
      <w:r>
        <w:rPr>
          <w:rFonts w:hint="eastAsia" w:eastAsia="宋体"/>
          <w:color w:val="000000"/>
          <w:sz w:val="21"/>
          <w:szCs w:val="21"/>
        </w:rPr>
        <w:t xml:space="preserve">GB 6675.4-2014 《玩具安全 第4部分：特定元素的迁移》 </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6675.14-2014 《玩具安全 第14部分：指画颜料技术要求及测试方法》</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现行有效的企业标准、团体标准、地方标准及产品明示质量要求。</w:t>
      </w:r>
    </w:p>
    <w:p>
      <w:pPr>
        <w:spacing w:line="440" w:lineRule="exact"/>
        <w:rPr>
          <w:rFonts w:eastAsia="黑体"/>
          <w:color w:val="000000"/>
          <w:sz w:val="21"/>
          <w:szCs w:val="21"/>
        </w:rPr>
      </w:pPr>
      <w:r>
        <w:rPr>
          <w:rFonts w:eastAsia="黑体"/>
          <w:color w:val="000000"/>
          <w:sz w:val="21"/>
          <w:szCs w:val="21"/>
        </w:rPr>
        <w:t>3.2判定原则</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经检验，检验项目全部合格，判定为抽取的样本所检项目未检出不合格；检验项目中任一项或一项以上不合格，判定为被抽查产品不合格。</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当被检样品明示的质量要求优于监督抽查实施细则中依据的标准要求时，应按被检样品明示的质量要求判定；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当被检样品明示的质量要求劣于或不包含监督抽查实施细则中依据的强制性标准要求时，应按照强制性标准要求判定；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当被检样品明示的质量要求不包含监督抽查实施细则中依据的推荐性标准要求时，该指标不参与判定，但应在检验报告中作出说明；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按照产品质量相关法律法规的规定判定。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0DB5"/>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E72"/>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46E6C"/>
    <w:rsid w:val="005534EA"/>
    <w:rsid w:val="00556D74"/>
    <w:rsid w:val="00557E74"/>
    <w:rsid w:val="00563B3E"/>
    <w:rsid w:val="005738E3"/>
    <w:rsid w:val="0057416D"/>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23A6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4C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1F6C"/>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02F"/>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7DA4E309"/>
    <w:rsid w:val="B3BB070E"/>
    <w:rsid w:val="BCD77056"/>
    <w:rsid w:val="E7EEABFC"/>
    <w:rsid w:val="F7AFF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168</Words>
  <Characters>964</Characters>
  <Lines>8</Lines>
  <Paragraphs>2</Paragraphs>
  <TotalTime>11</TotalTime>
  <ScaleCrop>false</ScaleCrop>
  <LinksUpToDate>false</LinksUpToDate>
  <CharactersWithSpaces>1130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2024-06-18T19:13:00Z</dcterms:created>
  <dc:creator>微软用户</dc:creator>
  <cp:lastModifiedBy>admin1</cp:lastModifiedBy>
  <dcterms:modified xsi:type="dcterms:W3CDTF">2024-06-21T14:19:45Z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411EDB1CD22A499FBB00D4F312E379A8</vt:lpwstr>
  </property>
</Properties>
</file>