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Times New Roman" w:hAnsi="Times New Roman" w:eastAsia="方正小标宋简体" w:cs="Times New Roman"/>
          <w:color w:val="000000"/>
          <w:sz w:val="32"/>
          <w:szCs w:val="32"/>
        </w:rPr>
      </w:pPr>
      <w:r>
        <w:rPr>
          <w:rFonts w:hint="eastAsia" w:ascii="Times New Roman" w:hAnsi="Times New Roman" w:eastAsia="方正小标宋简体" w:cs="Times New Roman"/>
          <w:color w:val="000000"/>
          <w:sz w:val="32"/>
          <w:szCs w:val="32"/>
        </w:rPr>
        <w:t>消防器材产品质量监督抽查实施细则</w:t>
      </w:r>
    </w:p>
    <w:p>
      <w:pPr>
        <w:widowControl/>
        <w:adjustRightInd w:val="0"/>
        <w:snapToGrid w:val="0"/>
        <w:spacing w:line="620" w:lineRule="exact"/>
        <w:jc w:val="center"/>
        <w:rPr>
          <w:rFonts w:hint="eastAsia" w:ascii="方正小标宋简体" w:hAnsi="方正小标宋简体" w:eastAsia="方正小标宋简体" w:cs="方正小标宋简体"/>
          <w:b w:val="0"/>
          <w:bCs/>
          <w:color w:val="auto"/>
          <w:sz w:val="44"/>
          <w:szCs w:val="44"/>
        </w:rPr>
      </w:pPr>
      <w:bookmarkStart w:id="0" w:name="_GoBack"/>
    </w:p>
    <w:p>
      <w:pPr>
        <w:adjustRightInd w:val="0"/>
        <w:snapToGrid w:val="0"/>
        <w:spacing w:line="440" w:lineRule="exact"/>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 抽样方法</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以随机抽样的方式在被抽查市场主体的待销产品中抽取。</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随机数一般可使用随机数表等方法产生。</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抽查数量：每款产品抽取2组样本，第1组用于检验，第2组用于备样。</w:t>
      </w:r>
    </w:p>
    <w:p>
      <w:pPr>
        <w:pStyle w:val="13"/>
        <w:tabs>
          <w:tab w:val="clear" w:pos="840"/>
        </w:tabs>
        <w:spacing w:line="440" w:lineRule="exact"/>
        <w:ind w:firstLine="200"/>
        <w:jc w:val="center"/>
        <w:rPr>
          <w:rFonts w:hint="eastAsia" w:ascii="Times New Roman" w:hAnsi="Times New Roman" w:eastAsia="宋体" w:cs="Times New Roman"/>
          <w:color w:val="auto"/>
          <w:sz w:val="21"/>
          <w:szCs w:val="21"/>
        </w:rPr>
      </w:pPr>
      <w:r>
        <w:rPr>
          <w:rFonts w:ascii="Times New Roman" w:hAnsi="Times New Roman" w:cs="Times New Roman"/>
          <w:bCs/>
          <w:color w:val="auto"/>
          <w:sz w:val="21"/>
          <w:szCs w:val="21"/>
        </w:rPr>
        <w:t>表1 抽取样品数量</w:t>
      </w:r>
    </w:p>
    <w:tbl>
      <w:tblPr>
        <w:tblStyle w:val="8"/>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875"/>
        <w:gridCol w:w="2862"/>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820" w:type="dxa"/>
            <w:shd w:val="clear" w:color="auto" w:fill="auto"/>
            <w:vAlign w:val="center"/>
          </w:tcPr>
          <w:p>
            <w:pPr>
              <w:adjustRightInd w:val="0"/>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序号</w:t>
            </w:r>
          </w:p>
        </w:tc>
        <w:tc>
          <w:tcPr>
            <w:tcW w:w="2875" w:type="dxa"/>
            <w:shd w:val="clear" w:color="auto" w:fill="auto"/>
            <w:vAlign w:val="center"/>
          </w:tcPr>
          <w:p>
            <w:pPr>
              <w:adjustRightInd w:val="0"/>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产品名称</w:t>
            </w:r>
          </w:p>
        </w:tc>
        <w:tc>
          <w:tcPr>
            <w:tcW w:w="2862" w:type="dxa"/>
            <w:shd w:val="clear" w:color="auto" w:fill="auto"/>
            <w:vAlign w:val="center"/>
          </w:tcPr>
          <w:p>
            <w:pPr>
              <w:adjustRightInd w:val="0"/>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第1组数量</w:t>
            </w:r>
          </w:p>
        </w:tc>
        <w:tc>
          <w:tcPr>
            <w:tcW w:w="2500" w:type="dxa"/>
            <w:shd w:val="clear" w:color="auto" w:fill="auto"/>
            <w:vAlign w:val="center"/>
          </w:tcPr>
          <w:p>
            <w:pPr>
              <w:adjustRightInd w:val="0"/>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0" w:type="dxa"/>
            <w:vAlign w:val="center"/>
          </w:tcPr>
          <w:p>
            <w:pPr>
              <w:adjustRightInd w:val="0"/>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1</w:t>
            </w:r>
          </w:p>
        </w:tc>
        <w:tc>
          <w:tcPr>
            <w:tcW w:w="2875" w:type="dxa"/>
            <w:vAlign w:val="center"/>
          </w:tcPr>
          <w:p>
            <w:pPr>
              <w:adjustRightInd w:val="0"/>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手提式干粉灭火器</w:t>
            </w:r>
          </w:p>
        </w:tc>
        <w:tc>
          <w:tcPr>
            <w:tcW w:w="2862" w:type="dxa"/>
            <w:vAlign w:val="center"/>
          </w:tcPr>
          <w:p>
            <w:pPr>
              <w:adjustRightInd w:val="0"/>
              <w:jc w:val="center"/>
              <w:rPr>
                <w:rFonts w:hint="eastAsia" w:ascii="Times New Roman" w:hAnsi="Times New Roman" w:eastAsia="宋体" w:cs="Times New Roman"/>
                <w:color w:val="auto"/>
                <w:sz w:val="21"/>
              </w:rPr>
            </w:pPr>
            <w:r>
              <w:rPr>
                <w:rFonts w:hint="eastAsia" w:eastAsia="宋体" w:cs="Times New Roman"/>
                <w:color w:val="auto"/>
                <w:sz w:val="21"/>
                <w:lang w:val="en-US" w:eastAsia="zh-CN"/>
              </w:rPr>
              <w:t>2</w:t>
            </w:r>
            <w:r>
              <w:rPr>
                <w:rFonts w:hint="eastAsia" w:ascii="Times New Roman" w:hAnsi="Times New Roman" w:eastAsia="宋体" w:cs="Times New Roman"/>
                <w:color w:val="auto"/>
                <w:sz w:val="21"/>
              </w:rPr>
              <w:t>具</w:t>
            </w:r>
          </w:p>
        </w:tc>
        <w:tc>
          <w:tcPr>
            <w:tcW w:w="2500" w:type="dxa"/>
            <w:vAlign w:val="center"/>
          </w:tcPr>
          <w:p>
            <w:pPr>
              <w:adjustRightInd w:val="0"/>
              <w:jc w:val="center"/>
              <w:rPr>
                <w:rFonts w:hint="eastAsia" w:ascii="Times New Roman" w:hAnsi="Times New Roman" w:eastAsia="宋体" w:cs="Times New Roman"/>
                <w:color w:val="auto"/>
                <w:sz w:val="21"/>
              </w:rPr>
            </w:pPr>
            <w:r>
              <w:rPr>
                <w:rFonts w:hint="eastAsia" w:eastAsia="宋体" w:cs="Times New Roman"/>
                <w:color w:val="auto"/>
                <w:sz w:val="21"/>
                <w:lang w:val="en-US" w:eastAsia="zh-CN"/>
              </w:rPr>
              <w:t>2</w:t>
            </w:r>
            <w:r>
              <w:rPr>
                <w:rFonts w:hint="eastAsia" w:ascii="Times New Roman" w:hAnsi="Times New Roman" w:eastAsia="宋体" w:cs="Times New Roman"/>
                <w:color w:val="auto"/>
                <w:sz w:val="21"/>
              </w:rPr>
              <w:t>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0" w:type="dxa"/>
            <w:vAlign w:val="center"/>
          </w:tcPr>
          <w:p>
            <w:pPr>
              <w:adjustRightInd w:val="0"/>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2</w:t>
            </w:r>
          </w:p>
        </w:tc>
        <w:tc>
          <w:tcPr>
            <w:tcW w:w="2875" w:type="dxa"/>
            <w:vAlign w:val="center"/>
          </w:tcPr>
          <w:p>
            <w:pPr>
              <w:adjustRightInd w:val="0"/>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有衬里消防水带</w:t>
            </w:r>
          </w:p>
        </w:tc>
        <w:tc>
          <w:tcPr>
            <w:tcW w:w="2862" w:type="dxa"/>
            <w:vAlign w:val="center"/>
          </w:tcPr>
          <w:p>
            <w:pPr>
              <w:adjustRightInd w:val="0"/>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1卷</w:t>
            </w:r>
          </w:p>
        </w:tc>
        <w:tc>
          <w:tcPr>
            <w:tcW w:w="2500" w:type="dxa"/>
            <w:vAlign w:val="center"/>
          </w:tcPr>
          <w:p>
            <w:pPr>
              <w:adjustRightInd w:val="0"/>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1卷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57" w:type="dxa"/>
            <w:gridSpan w:val="4"/>
            <w:vAlign w:val="center"/>
          </w:tcPr>
          <w:p>
            <w:pPr>
              <w:adjustRightInd w:val="0"/>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lang w:val="en-US" w:eastAsia="zh-CN"/>
              </w:rPr>
              <w:t>注：样品需为标称同一商标（或标称同一生产者）同一型号规格的产品。抽取的样品必须为整套产品（包括其包装），且不能被使用过。</w:t>
            </w:r>
          </w:p>
        </w:tc>
      </w:tr>
    </w:tbl>
    <w:p>
      <w:pPr>
        <w:adjustRightInd w:val="0"/>
        <w:snapToGrid w:val="0"/>
        <w:spacing w:line="440" w:lineRule="exact"/>
        <w:rPr>
          <w:rFonts w:hint="eastAsia" w:ascii="Times New Roman" w:hAnsi="Times New Roman" w:eastAsia="宋体" w:cs="Times New Roman"/>
          <w:color w:val="auto"/>
          <w:sz w:val="21"/>
          <w:szCs w:val="21"/>
        </w:rPr>
      </w:pPr>
    </w:p>
    <w:p>
      <w:pPr>
        <w:adjustRightInd w:val="0"/>
        <w:snapToGrid w:val="0"/>
        <w:spacing w:line="440" w:lineRule="exact"/>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2 检验依据</w:t>
      </w:r>
    </w:p>
    <w:p>
      <w:pPr>
        <w:pStyle w:val="7"/>
        <w:widowControl w:val="0"/>
        <w:adjustRightInd w:val="0"/>
        <w:snapToGrid w:val="0"/>
        <w:spacing w:before="0" w:beforeAutospacing="0" w:after="0" w:afterAutospacing="0" w:line="440" w:lineRule="exact"/>
        <w:ind w:firstLine="3150" w:firstLineChars="1500"/>
        <w:contextualSpacing/>
        <w:jc w:val="both"/>
        <w:rPr>
          <w:rFonts w:ascii="Times New Roman" w:hAnsi="Times New Roman" w:cs="Times New Roman"/>
          <w:color w:val="auto"/>
          <w:kern w:val="2"/>
          <w:sz w:val="21"/>
          <w:szCs w:val="21"/>
        </w:rPr>
      </w:pPr>
      <w:r>
        <w:rPr>
          <w:rFonts w:hint="eastAsia" w:ascii="Times New Roman" w:hAnsi="Times New Roman" w:eastAsia="宋体" w:cs="Times New Roman"/>
          <w:color w:val="auto"/>
          <w:kern w:val="2"/>
          <w:sz w:val="21"/>
          <w:szCs w:val="21"/>
          <w:lang w:eastAsia="zh-CN"/>
        </w:rPr>
        <w:t>表</w:t>
      </w:r>
      <w:r>
        <w:rPr>
          <w:rFonts w:hint="eastAsia" w:ascii="Times New Roman" w:hAnsi="Times New Roman" w:eastAsia="宋体" w:cs="Times New Roman"/>
          <w:color w:val="auto"/>
          <w:kern w:val="2"/>
          <w:sz w:val="21"/>
          <w:szCs w:val="21"/>
          <w:lang w:val="en-US" w:eastAsia="zh-CN"/>
        </w:rPr>
        <w:t>2</w:t>
      </w:r>
      <w:r>
        <w:rPr>
          <w:rFonts w:hint="eastAsia" w:ascii="Times New Roman" w:hAnsi="Times New Roman" w:eastAsia="宋体" w:cs="Times New Roman"/>
          <w:color w:val="auto"/>
          <w:kern w:val="2"/>
          <w:sz w:val="21"/>
          <w:szCs w:val="21"/>
        </w:rPr>
        <w:t>手提式干粉灭火器</w:t>
      </w:r>
    </w:p>
    <w:tbl>
      <w:tblPr>
        <w:tblStyle w:val="8"/>
        <w:tblW w:w="52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72"/>
        <w:gridCol w:w="3757"/>
        <w:gridCol w:w="2188"/>
        <w:gridCol w:w="2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noWrap w:val="0"/>
            <w:vAlign w:val="center"/>
          </w:tcPr>
          <w:p>
            <w:pPr>
              <w:pStyle w:val="3"/>
              <w:adjustRightInd w:val="0"/>
              <w:snapToGrid w:val="0"/>
              <w:jc w:val="center"/>
              <w:rPr>
                <w:rFonts w:ascii="Times New Roman" w:hAnsi="Times New Roman" w:eastAsia="宋体" w:cs="Times New Roman"/>
                <w:color w:val="auto"/>
                <w:kern w:val="2"/>
                <w:sz w:val="21"/>
                <w:szCs w:val="24"/>
                <w:lang w:val="en-US" w:eastAsia="zh-CN" w:bidi="ar-SA"/>
              </w:rPr>
            </w:pPr>
            <w:r>
              <w:rPr>
                <w:rFonts w:ascii="Times New Roman" w:hAnsi="Times New Roman" w:eastAsia="宋体" w:cs="Times New Roman"/>
                <w:color w:val="auto"/>
                <w:kern w:val="2"/>
                <w:sz w:val="21"/>
                <w:szCs w:val="24"/>
                <w:lang w:val="en-US" w:eastAsia="zh-CN" w:bidi="ar-SA"/>
              </w:rPr>
              <w:t>序号</w:t>
            </w:r>
          </w:p>
        </w:tc>
        <w:tc>
          <w:tcPr>
            <w:tcW w:w="2002" w:type="pct"/>
            <w:noWrap w:val="0"/>
            <w:vAlign w:val="center"/>
          </w:tcPr>
          <w:p>
            <w:pPr>
              <w:pStyle w:val="3"/>
              <w:adjustRightInd w:val="0"/>
              <w:snapToGrid w:val="0"/>
              <w:jc w:val="center"/>
              <w:rPr>
                <w:rFonts w:ascii="Times New Roman" w:hAnsi="Times New Roman" w:eastAsia="宋体" w:cs="Times New Roman"/>
                <w:color w:val="auto"/>
                <w:kern w:val="2"/>
                <w:sz w:val="21"/>
                <w:szCs w:val="24"/>
                <w:lang w:val="en-US" w:eastAsia="zh-CN" w:bidi="ar-SA"/>
              </w:rPr>
            </w:pPr>
            <w:r>
              <w:rPr>
                <w:rFonts w:ascii="Times New Roman" w:hAnsi="Times New Roman" w:eastAsia="宋体" w:cs="Times New Roman"/>
                <w:color w:val="auto"/>
                <w:kern w:val="2"/>
                <w:sz w:val="21"/>
                <w:szCs w:val="24"/>
                <w:lang w:val="en-US" w:eastAsia="zh-CN" w:bidi="ar-SA"/>
              </w:rPr>
              <w:t>检验项目</w:t>
            </w:r>
          </w:p>
        </w:tc>
        <w:tc>
          <w:tcPr>
            <w:tcW w:w="1166" w:type="pct"/>
            <w:noWrap w:val="0"/>
            <w:vAlign w:val="top"/>
          </w:tcPr>
          <w:p>
            <w:pPr>
              <w:adjustRightInd w:val="0"/>
              <w:snapToGrid w:val="0"/>
              <w:jc w:val="center"/>
              <w:rPr>
                <w:rFonts w:ascii="Times New Roman" w:hAnsi="Times New Roman" w:eastAsia="宋体" w:cs="Times New Roman"/>
                <w:color w:val="auto"/>
                <w:kern w:val="2"/>
                <w:sz w:val="21"/>
                <w:szCs w:val="24"/>
                <w:lang w:val="en-US" w:eastAsia="zh-CN" w:bidi="ar-SA"/>
              </w:rPr>
            </w:pPr>
            <w:r>
              <w:rPr>
                <w:rFonts w:ascii="Times New Roman" w:hAnsi="Times New Roman" w:eastAsia="宋体" w:cs="Times New Roman"/>
                <w:color w:val="auto"/>
                <w:kern w:val="2"/>
                <w:sz w:val="21"/>
                <w:szCs w:val="24"/>
                <w:lang w:val="en-US" w:eastAsia="zh-CN" w:bidi="ar-SA"/>
              </w:rPr>
              <w:t>检验依据</w:t>
            </w:r>
          </w:p>
        </w:tc>
        <w:tc>
          <w:tcPr>
            <w:tcW w:w="1365" w:type="pct"/>
            <w:noWrap w:val="0"/>
            <w:vAlign w:val="center"/>
          </w:tcPr>
          <w:p>
            <w:pPr>
              <w:adjustRightInd w:val="0"/>
              <w:snapToGrid w:val="0"/>
              <w:jc w:val="center"/>
              <w:rPr>
                <w:rFonts w:ascii="Times New Roman" w:hAnsi="Times New Roman" w:eastAsia="宋体" w:cs="Times New Roman"/>
                <w:color w:val="auto"/>
                <w:kern w:val="2"/>
                <w:sz w:val="21"/>
                <w:szCs w:val="24"/>
                <w:lang w:val="en-US" w:eastAsia="zh-CN" w:bidi="ar-SA"/>
              </w:rPr>
            </w:pPr>
            <w:r>
              <w:rPr>
                <w:rFonts w:ascii="Times New Roman" w:hAnsi="Times New Roman" w:eastAsia="宋体" w:cs="Times New Roman"/>
                <w:color w:val="auto"/>
                <w:kern w:val="2"/>
                <w:sz w:val="21"/>
                <w:szCs w:val="24"/>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noWrap w:val="0"/>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1</w:t>
            </w:r>
          </w:p>
        </w:tc>
        <w:tc>
          <w:tcPr>
            <w:tcW w:w="2002" w:type="pct"/>
            <w:noWrap w:val="0"/>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总质量</w:t>
            </w:r>
          </w:p>
        </w:tc>
        <w:tc>
          <w:tcPr>
            <w:tcW w:w="1166" w:type="pct"/>
            <w:noWrap w:val="0"/>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4351.1-2005</w:t>
            </w:r>
          </w:p>
        </w:tc>
        <w:tc>
          <w:tcPr>
            <w:tcW w:w="1365" w:type="pct"/>
            <w:noWrap w:val="0"/>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noWrap w:val="0"/>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2</w:t>
            </w:r>
          </w:p>
        </w:tc>
        <w:tc>
          <w:tcPr>
            <w:tcW w:w="2002" w:type="pct"/>
            <w:noWrap w:val="0"/>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灭火剂充装量误差</w:t>
            </w:r>
          </w:p>
        </w:tc>
        <w:tc>
          <w:tcPr>
            <w:tcW w:w="1166" w:type="pct"/>
            <w:noWrap w:val="0"/>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4351.1-2005</w:t>
            </w:r>
          </w:p>
        </w:tc>
        <w:tc>
          <w:tcPr>
            <w:tcW w:w="1365" w:type="pct"/>
            <w:noWrap w:val="0"/>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3</w:t>
            </w:r>
          </w:p>
        </w:tc>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20℃喷射性能试验</w:t>
            </w:r>
          </w:p>
        </w:tc>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4351.1-2005</w:t>
            </w:r>
          </w:p>
        </w:tc>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4</w:t>
            </w:r>
          </w:p>
        </w:tc>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筒(瓶)体水压试验</w:t>
            </w:r>
          </w:p>
        </w:tc>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4351.1-2005</w:t>
            </w:r>
          </w:p>
        </w:tc>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5</w:t>
            </w:r>
          </w:p>
        </w:tc>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筒体(瓶体)爆破试验</w:t>
            </w:r>
          </w:p>
        </w:tc>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4351.1-2005</w:t>
            </w:r>
          </w:p>
        </w:tc>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6</w:t>
            </w:r>
          </w:p>
        </w:tc>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灭火剂第一主要组分含量</w:t>
            </w:r>
          </w:p>
        </w:tc>
        <w:tc>
          <w:tcPr>
            <w:tcW w:w="0" w:type="auto"/>
            <w:vAlign w:val="center"/>
          </w:tcPr>
          <w:p>
            <w:pPr>
              <w:adjustRightInd w:val="0"/>
              <w:snapToGrid w:val="0"/>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4351.1-2005</w:t>
            </w:r>
          </w:p>
          <w:p>
            <w:pPr>
              <w:adjustRightInd w:val="0"/>
              <w:snapToGrid w:val="0"/>
              <w:jc w:val="center"/>
              <w:rPr>
                <w:rFonts w:hint="eastAsia" w:ascii="Times New Roman" w:hAnsi="Times New Roman" w:eastAsia="宋体" w:cs="Times New Roman"/>
                <w:color w:val="auto"/>
                <w:kern w:val="2"/>
                <w:sz w:val="21"/>
                <w:szCs w:val="24"/>
                <w:lang w:val="en-US" w:eastAsia="zh-CN" w:bidi="ar-SA"/>
              </w:rPr>
            </w:pPr>
          </w:p>
        </w:tc>
        <w:tc>
          <w:tcPr>
            <w:tcW w:w="0" w:type="auto"/>
          </w:tcPr>
          <w:p>
            <w:pPr>
              <w:adjustRightInd w:val="0"/>
              <w:snapToGrid w:val="0"/>
              <w:jc w:val="center"/>
              <w:rPr>
                <w:rFonts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kern w:val="2"/>
                <w:sz w:val="21"/>
                <w:szCs w:val="24"/>
                <w:lang w:val="en-US" w:eastAsia="zh-CN" w:bidi="ar-SA"/>
              </w:rPr>
              <w:t>GB 4066—2017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5000" w:type="pct"/>
            <w:gridSpan w:val="4"/>
            <w:vAlign w:val="center"/>
          </w:tcPr>
          <w:p>
            <w:pPr>
              <w:adjustRightInd w:val="0"/>
              <w:snapToGrid w:val="0"/>
              <w:jc w:val="center"/>
              <w:rPr>
                <w:rFonts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备注：灭火剂第一主要组分含量项目只适用于手提式干粉灭火器</w:t>
            </w:r>
            <w:r>
              <w:rPr>
                <w:rFonts w:hint="eastAsia" w:ascii="Times New Roman" w:hAnsi="Times New Roman" w:eastAsia="宋体" w:cs="Times New Roman"/>
                <w:color w:val="auto"/>
                <w:kern w:val="2"/>
                <w:sz w:val="21"/>
                <w:szCs w:val="24"/>
                <w:lang w:val="en-US" w:eastAsia="zh-CN" w:bidi="ar-SA"/>
              </w:rPr>
              <w:t>，检验依据为GB 4066—2017</w:t>
            </w:r>
            <w:r>
              <w:rPr>
                <w:rFonts w:hint="default" w:ascii="Times New Roman" w:hAnsi="Times New Roman" w:eastAsia="宋体" w:cs="Times New Roman"/>
                <w:color w:val="auto"/>
                <w:kern w:val="2"/>
                <w:sz w:val="21"/>
                <w:szCs w:val="24"/>
                <w:lang w:val="en-US" w:eastAsia="zh-CN" w:bidi="ar-SA"/>
              </w:rPr>
              <w:t>。</w:t>
            </w:r>
          </w:p>
        </w:tc>
      </w:tr>
    </w:tbl>
    <w:p>
      <w:pPr>
        <w:pStyle w:val="7"/>
        <w:widowControl w:val="0"/>
        <w:adjustRightInd w:val="0"/>
        <w:snapToGrid w:val="0"/>
        <w:spacing w:before="0" w:beforeAutospacing="0" w:after="0" w:afterAutospacing="0" w:line="440" w:lineRule="exact"/>
        <w:ind w:firstLine="3150" w:firstLineChars="1500"/>
        <w:contextualSpacing/>
        <w:jc w:val="both"/>
        <w:rPr>
          <w:rFonts w:hint="eastAsia" w:ascii="Times New Roman" w:hAnsi="Times New Roman" w:eastAsia="宋体" w:cs="Times New Roman"/>
          <w:color w:val="auto"/>
          <w:kern w:val="2"/>
          <w:sz w:val="21"/>
          <w:szCs w:val="21"/>
        </w:rPr>
      </w:pPr>
    </w:p>
    <w:p>
      <w:pPr>
        <w:keepNext w:val="0"/>
        <w:keepLines w:val="0"/>
        <w:pageBreakBefore w:val="0"/>
        <w:widowControl/>
        <w:kinsoku/>
        <w:wordWrap/>
        <w:overflowPunct/>
        <w:topLinePunct w:val="0"/>
        <w:autoSpaceDE/>
        <w:autoSpaceDN/>
        <w:bidi w:val="0"/>
        <w:adjustRightInd/>
        <w:snapToGrid/>
        <w:spacing w:line="580" w:lineRule="exact"/>
        <w:ind w:firstLine="3150" w:firstLineChars="1500"/>
        <w:jc w:val="left"/>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表3有衬里消防水带</w:t>
      </w:r>
    </w:p>
    <w:tbl>
      <w:tblPr>
        <w:tblStyle w:val="8"/>
        <w:tblW w:w="52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73"/>
        <w:gridCol w:w="3758"/>
        <w:gridCol w:w="2189"/>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noWrap w:val="0"/>
            <w:vAlign w:val="center"/>
          </w:tcPr>
          <w:p>
            <w:pPr>
              <w:pStyle w:val="3"/>
              <w:adjustRightInd w:val="0"/>
              <w:snapToGrid w:val="0"/>
              <w:jc w:val="center"/>
              <w:rPr>
                <w:rFonts w:ascii="Times New Roman" w:hAnsi="Times New Roman" w:eastAsia="宋体" w:cs="Times New Roman"/>
                <w:color w:val="auto"/>
                <w:kern w:val="2"/>
                <w:sz w:val="21"/>
                <w:szCs w:val="24"/>
                <w:lang w:val="en-US" w:eastAsia="zh-CN" w:bidi="ar-SA"/>
              </w:rPr>
            </w:pPr>
            <w:r>
              <w:rPr>
                <w:rFonts w:ascii="Times New Roman" w:hAnsi="Times New Roman" w:eastAsia="宋体" w:cs="Times New Roman"/>
                <w:color w:val="auto"/>
                <w:kern w:val="2"/>
                <w:sz w:val="21"/>
                <w:szCs w:val="24"/>
                <w:lang w:val="en-US" w:eastAsia="zh-CN" w:bidi="ar-SA"/>
              </w:rPr>
              <w:t>序号</w:t>
            </w:r>
          </w:p>
        </w:tc>
        <w:tc>
          <w:tcPr>
            <w:tcW w:w="2002" w:type="pct"/>
            <w:noWrap w:val="0"/>
            <w:vAlign w:val="center"/>
          </w:tcPr>
          <w:p>
            <w:pPr>
              <w:pStyle w:val="3"/>
              <w:adjustRightInd w:val="0"/>
              <w:snapToGrid w:val="0"/>
              <w:jc w:val="center"/>
              <w:rPr>
                <w:rFonts w:ascii="Times New Roman" w:hAnsi="Times New Roman" w:eastAsia="宋体" w:cs="Times New Roman"/>
                <w:color w:val="auto"/>
                <w:kern w:val="2"/>
                <w:sz w:val="21"/>
                <w:szCs w:val="24"/>
                <w:lang w:val="en-US" w:eastAsia="zh-CN" w:bidi="ar-SA"/>
              </w:rPr>
            </w:pPr>
            <w:r>
              <w:rPr>
                <w:rFonts w:ascii="Times New Roman" w:hAnsi="Times New Roman" w:eastAsia="宋体" w:cs="Times New Roman"/>
                <w:color w:val="auto"/>
                <w:kern w:val="2"/>
                <w:sz w:val="21"/>
                <w:szCs w:val="24"/>
                <w:lang w:val="en-US" w:eastAsia="zh-CN" w:bidi="ar-SA"/>
              </w:rPr>
              <w:t>检验项目</w:t>
            </w:r>
          </w:p>
        </w:tc>
        <w:tc>
          <w:tcPr>
            <w:tcW w:w="1166" w:type="pct"/>
            <w:noWrap w:val="0"/>
            <w:vAlign w:val="top"/>
          </w:tcPr>
          <w:p>
            <w:pPr>
              <w:adjustRightInd w:val="0"/>
              <w:snapToGrid w:val="0"/>
              <w:jc w:val="center"/>
              <w:rPr>
                <w:rFonts w:ascii="Times New Roman" w:hAnsi="Times New Roman" w:eastAsia="宋体" w:cs="Times New Roman"/>
                <w:color w:val="auto"/>
                <w:kern w:val="2"/>
                <w:sz w:val="21"/>
                <w:szCs w:val="24"/>
                <w:lang w:val="en-US" w:eastAsia="zh-CN" w:bidi="ar-SA"/>
              </w:rPr>
            </w:pPr>
            <w:r>
              <w:rPr>
                <w:rFonts w:ascii="Times New Roman" w:hAnsi="Times New Roman" w:eastAsia="宋体" w:cs="Times New Roman"/>
                <w:color w:val="auto"/>
                <w:kern w:val="2"/>
                <w:sz w:val="21"/>
                <w:szCs w:val="24"/>
                <w:lang w:val="en-US" w:eastAsia="zh-CN" w:bidi="ar-SA"/>
              </w:rPr>
              <w:t>检验依据</w:t>
            </w:r>
          </w:p>
        </w:tc>
        <w:tc>
          <w:tcPr>
            <w:tcW w:w="1365" w:type="pct"/>
            <w:noWrap w:val="0"/>
            <w:vAlign w:val="center"/>
          </w:tcPr>
          <w:p>
            <w:pPr>
              <w:adjustRightInd w:val="0"/>
              <w:snapToGrid w:val="0"/>
              <w:jc w:val="center"/>
              <w:rPr>
                <w:rFonts w:ascii="Times New Roman" w:hAnsi="Times New Roman" w:eastAsia="宋体" w:cs="Times New Roman"/>
                <w:color w:val="auto"/>
                <w:kern w:val="2"/>
                <w:sz w:val="21"/>
                <w:szCs w:val="24"/>
                <w:lang w:val="en-US" w:eastAsia="zh-CN" w:bidi="ar-SA"/>
              </w:rPr>
            </w:pPr>
            <w:r>
              <w:rPr>
                <w:rFonts w:ascii="Times New Roman" w:hAnsi="Times New Roman" w:eastAsia="宋体" w:cs="Times New Roman"/>
                <w:color w:val="auto"/>
                <w:kern w:val="2"/>
                <w:sz w:val="21"/>
                <w:szCs w:val="24"/>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1</w:t>
            </w:r>
          </w:p>
        </w:tc>
        <w:tc>
          <w:tcPr>
            <w:tcW w:w="2002"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外观质量</w:t>
            </w:r>
          </w:p>
        </w:tc>
        <w:tc>
          <w:tcPr>
            <w:tcW w:w="1166"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c>
          <w:tcPr>
            <w:tcW w:w="1365"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2</w:t>
            </w:r>
          </w:p>
        </w:tc>
        <w:tc>
          <w:tcPr>
            <w:tcW w:w="2002"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内径</w:t>
            </w:r>
          </w:p>
        </w:tc>
        <w:tc>
          <w:tcPr>
            <w:tcW w:w="1166"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c>
          <w:tcPr>
            <w:tcW w:w="1365"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tblHeader/>
          <w:jc w:val="center"/>
        </w:trPr>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3</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长度</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4</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水压试验</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5</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爆破试验</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6</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单位长度质量</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tblHeader/>
          <w:jc w:val="center"/>
        </w:trPr>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7</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附着强度</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bCs/>
                <w:color w:val="auto"/>
                <w:kern w:val="0"/>
                <w:sz w:val="21"/>
                <w:szCs w:val="21"/>
              </w:rPr>
              <w:t>GB/T 532-2008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8</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热空气老化性能</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c>
          <w:tcPr>
            <w:tcW w:w="0" w:type="auto"/>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GB 6246-2011</w:t>
            </w:r>
          </w:p>
        </w:tc>
      </w:tr>
    </w:tbl>
    <w:p>
      <w:pPr>
        <w:adjustRightInd w:val="0"/>
        <w:snapToGrid w:val="0"/>
        <w:spacing w:line="440" w:lineRule="exact"/>
        <w:ind w:firstLine="420" w:firstLineChars="200"/>
        <w:rPr>
          <w:rFonts w:hint="eastAsia" w:ascii="Times New Roman" w:hAnsi="Times New Roman" w:eastAsia="宋体" w:cs="Times New Roman"/>
          <w:color w:val="auto"/>
          <w:sz w:val="21"/>
          <w:szCs w:val="21"/>
        </w:rPr>
      </w:pP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3 判定规则</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eastAsia="宋体" w:cs="Times New Roman"/>
          <w:color w:val="auto"/>
          <w:sz w:val="21"/>
          <w:szCs w:val="21"/>
          <w:lang w:val="en-US" w:eastAsia="zh-CN"/>
        </w:rPr>
        <w:t>3.1</w:t>
      </w:r>
      <w:r>
        <w:rPr>
          <w:rFonts w:hint="eastAsia" w:ascii="Times New Roman" w:hAnsi="Times New Roman" w:eastAsia="宋体" w:cs="Times New Roman"/>
          <w:color w:val="auto"/>
          <w:sz w:val="21"/>
          <w:szCs w:val="21"/>
        </w:rPr>
        <w:t>产品标准</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GB 4351.1-2005《手提式灭火器 第1部分：性能和结构要求》</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 xml:space="preserve">GB 4066—2017 </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rPr>
        <w:t>干粉灭火剂</w:t>
      </w:r>
      <w:r>
        <w:rPr>
          <w:rFonts w:hint="eastAsia" w:ascii="Times New Roman" w:hAnsi="Times New Roman" w:eastAsia="宋体" w:cs="Times New Roman"/>
          <w:color w:val="auto"/>
          <w:sz w:val="21"/>
          <w:szCs w:val="21"/>
          <w:lang w:eastAsia="zh-CN"/>
        </w:rPr>
        <w:t>》</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GB 6246-2011《消防水带》</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现行有效的企业标准、团体标准、地方标准及产品明示质量要求。</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（二）判定原则</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当被检样品明示的质量要求优于监督抽查实施细则中依据的标准要求时，应按被检样品明示的质量要求判定；</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当被检样品明示的质量要求劣于或不包含监督抽查实施细则中依据的强制性标准要求时，应按照强制性标准要求判定；</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按照产品质量相关法律法规的规定判定。</w:t>
      </w:r>
    </w:p>
    <w:p>
      <w:pPr>
        <w:adjustRightInd w:val="0"/>
        <w:snapToGrid w:val="0"/>
        <w:spacing w:line="440" w:lineRule="exact"/>
        <w:ind w:firstLine="420" w:firstLineChars="200"/>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检验中发现因样品失效或者其他原因致使检验无法进行的，检验人员应如实记录，并提供相关证明材料，报送组织监督抽查的市场监管部门。</w:t>
      </w:r>
    </w:p>
    <w:bookmarkEnd w:id="0"/>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EB46FE"/>
    <w:rsid w:val="000228DC"/>
    <w:rsid w:val="00101AF8"/>
    <w:rsid w:val="00BD1D0E"/>
    <w:rsid w:val="00EB46FE"/>
    <w:rsid w:val="0F0169F0"/>
    <w:rsid w:val="11CB3AC2"/>
    <w:rsid w:val="16DF6A48"/>
    <w:rsid w:val="170840D6"/>
    <w:rsid w:val="18DD3CEF"/>
    <w:rsid w:val="1A6C3968"/>
    <w:rsid w:val="21163637"/>
    <w:rsid w:val="25357349"/>
    <w:rsid w:val="25866DF5"/>
    <w:rsid w:val="26293E62"/>
    <w:rsid w:val="27741EB6"/>
    <w:rsid w:val="295C30AF"/>
    <w:rsid w:val="300246FB"/>
    <w:rsid w:val="323B6D3A"/>
    <w:rsid w:val="361119E9"/>
    <w:rsid w:val="41F459EA"/>
    <w:rsid w:val="42E45F1C"/>
    <w:rsid w:val="44B37BFE"/>
    <w:rsid w:val="462F66F9"/>
    <w:rsid w:val="48D11565"/>
    <w:rsid w:val="4A2F0EAF"/>
    <w:rsid w:val="4A91106B"/>
    <w:rsid w:val="4EEC684A"/>
    <w:rsid w:val="507C4292"/>
    <w:rsid w:val="52177639"/>
    <w:rsid w:val="55F03988"/>
    <w:rsid w:val="5A2C1777"/>
    <w:rsid w:val="5B287002"/>
    <w:rsid w:val="5BE0055A"/>
    <w:rsid w:val="661A2B10"/>
    <w:rsid w:val="67690EE4"/>
    <w:rsid w:val="6AE4023E"/>
    <w:rsid w:val="6DB56E82"/>
    <w:rsid w:val="6F4C25C4"/>
    <w:rsid w:val="79911824"/>
    <w:rsid w:val="7B8C6524"/>
    <w:rsid w:val="7E746A4B"/>
    <w:rsid w:val="FFCD2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cs="宋体"/>
      <w:sz w:val="21"/>
      <w:szCs w:val="21"/>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0"/>
    <w:pPr>
      <w:ind w:left="420" w:leftChars="20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character" w:customStyle="1" w:styleId="11">
    <w:name w:val="页眉 Char"/>
    <w:basedOn w:val="9"/>
    <w:link w:val="5"/>
    <w:qFormat/>
    <w:uiPriority w:val="0"/>
    <w:rPr>
      <w:rFonts w:ascii="Times New Roman" w:hAnsi="Times New Roman" w:eastAsia="仿宋_GB2312" w:cs="Times New Roman"/>
      <w:kern w:val="2"/>
      <w:sz w:val="18"/>
      <w:szCs w:val="18"/>
    </w:rPr>
  </w:style>
  <w:style w:type="character" w:customStyle="1" w:styleId="12">
    <w:name w:val="页脚 Char"/>
    <w:basedOn w:val="9"/>
    <w:link w:val="4"/>
    <w:qFormat/>
    <w:uiPriority w:val="0"/>
    <w:rPr>
      <w:rFonts w:ascii="Times New Roman" w:hAnsi="Times New Roman" w:eastAsia="仿宋_GB2312" w:cs="Times New Roman"/>
      <w:kern w:val="2"/>
      <w:sz w:val="18"/>
      <w:szCs w:val="18"/>
    </w:rPr>
  </w:style>
  <w:style w:type="paragraph" w:customStyle="1" w:styleId="13">
    <w:name w:val="列项·"/>
    <w:qFormat/>
    <w:uiPriority w:val="99"/>
    <w:pPr>
      <w:tabs>
        <w:tab w:val="left" w:pos="840"/>
      </w:tabs>
      <w:ind w:left="420"/>
      <w:jc w:val="both"/>
    </w:pPr>
    <w:rPr>
      <w:rFonts w:ascii="宋体"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SMQ</Company>
  <Pages>2</Pages>
  <Words>872</Words>
  <Characters>1182</Characters>
  <Lines>14</Lines>
  <Paragraphs>3</Paragraphs>
  <TotalTime>0</TotalTime>
  <ScaleCrop>false</ScaleCrop>
  <LinksUpToDate>false</LinksUpToDate>
  <CharactersWithSpaces>1220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2021-05-17T19:13:00Z</dcterms:created>
  <dc:creator>test</dc:creator>
  <cp:lastModifiedBy>admin1</cp:lastModifiedBy>
  <dcterms:modified xsi:type="dcterms:W3CDTF">2024-06-21T15:43:42Z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4D910ED34DD748508B3CC6D9F2DCF7E9</vt:lpwstr>
  </property>
</Properties>
</file>