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涂料产品质量监督抽查实施细则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主剂不少于1L</w:t>
      </w:r>
      <w:r>
        <w:rPr>
          <w:rFonts w:eastAsia="宋体"/>
          <w:color w:val="000000"/>
          <w:sz w:val="21"/>
          <w:szCs w:val="21"/>
        </w:rPr>
        <w:t>，其中</w:t>
      </w:r>
      <w:r>
        <w:rPr>
          <w:rFonts w:hint="eastAsia" w:eastAsia="宋体"/>
          <w:color w:val="000000"/>
          <w:sz w:val="21"/>
          <w:szCs w:val="21"/>
        </w:rPr>
        <w:t>不少于500mL</w:t>
      </w:r>
      <w:r>
        <w:rPr>
          <w:rFonts w:eastAsia="宋体"/>
          <w:color w:val="000000"/>
          <w:sz w:val="21"/>
          <w:szCs w:val="21"/>
        </w:rPr>
        <w:t>作为检验样品，</w:t>
      </w:r>
      <w:r>
        <w:rPr>
          <w:rFonts w:hint="eastAsia" w:eastAsia="宋体"/>
          <w:color w:val="000000"/>
          <w:sz w:val="21"/>
          <w:szCs w:val="21"/>
        </w:rPr>
        <w:t>不少于500mL</w:t>
      </w:r>
      <w:r>
        <w:rPr>
          <w:rFonts w:eastAsia="宋体"/>
          <w:color w:val="000000"/>
          <w:sz w:val="21"/>
          <w:szCs w:val="21"/>
        </w:rPr>
        <w:t>作为备用样品。</w:t>
      </w:r>
      <w:r>
        <w:rPr>
          <w:rFonts w:hint="eastAsia" w:eastAsia="宋体"/>
          <w:color w:val="000000"/>
          <w:sz w:val="21"/>
          <w:szCs w:val="21"/>
        </w:rPr>
        <w:t>若主剂需要配套的固化剂及稀释剂配合使用，按照产品包装说明配套抽取相应体积或质量的固化剂及稀释剂。</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其他注意事项：当独立包装产品重量（体积）低于抽样数量要求时，应尽量整包装抽取，避免分装。当抽查产品为多组分涂料时，受检单位应提供该种涂料专用的配套组分及其施工要求和配比（质量比/体积比）等。对于执行企业产品标准的产品，受检单位或生产单位还应在抽样时提供有效的企业产品标准。</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r>
        <w:rPr>
          <w:rFonts w:hint="eastAsia" w:eastAsia="宋体"/>
          <w:color w:val="000000"/>
          <w:sz w:val="21"/>
          <w:szCs w:val="21"/>
        </w:rPr>
        <w:t>表1各色汽车用面漆（</w:t>
      </w:r>
      <w:r>
        <w:rPr>
          <w:rFonts w:eastAsia="宋体"/>
          <w:color w:val="000000"/>
          <w:sz w:val="21"/>
          <w:szCs w:val="21"/>
        </w:rPr>
        <w:t>GB/T 13492-1992</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在容器中的物料状态</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13492-1992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铅笔硬度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13492-1992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耐弯曲性</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13492-1992</w:t>
            </w:r>
          </w:p>
        </w:tc>
      </w:tr>
    </w:tbl>
    <w:p/>
    <w:p>
      <w:pPr>
        <w:snapToGrid w:val="0"/>
        <w:spacing w:line="440" w:lineRule="exact"/>
        <w:jc w:val="center"/>
        <w:rPr>
          <w:rFonts w:eastAsia="宋体"/>
          <w:color w:val="000000"/>
          <w:sz w:val="21"/>
          <w:szCs w:val="21"/>
        </w:rPr>
      </w:pPr>
      <w:r>
        <w:rPr>
          <w:rFonts w:hint="eastAsia" w:eastAsia="宋体"/>
          <w:color w:val="000000"/>
          <w:sz w:val="21"/>
          <w:szCs w:val="21"/>
        </w:rPr>
        <w:t>表2溶剂型丙烯酸树脂涂料（</w:t>
      </w:r>
      <w:r>
        <w:rPr>
          <w:rFonts w:eastAsia="宋体"/>
          <w:color w:val="000000"/>
          <w:sz w:val="21"/>
          <w:szCs w:val="21"/>
        </w:rPr>
        <w:t>GB/T 25264-2010</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在容器中状态</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不挥发物含量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干燥时间（制板）（表干+实干）</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漆膜外观</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铅笔硬度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耐水性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耐热性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25264-2010</w:t>
            </w:r>
          </w:p>
        </w:tc>
      </w:tr>
    </w:tbl>
    <w:p>
      <w:pPr>
        <w:snapToGrid w:val="0"/>
        <w:spacing w:line="440" w:lineRule="exact"/>
        <w:jc w:val="center"/>
        <w:rPr>
          <w:rFonts w:hint="eastAsia" w:eastAsia="宋体"/>
          <w:color w:val="000000"/>
          <w:sz w:val="21"/>
          <w:szCs w:val="21"/>
        </w:rPr>
      </w:pPr>
    </w:p>
    <w:p>
      <w:pPr>
        <w:snapToGrid w:val="0"/>
        <w:spacing w:line="440" w:lineRule="exact"/>
        <w:jc w:val="center"/>
        <w:rPr>
          <w:rFonts w:eastAsia="宋体"/>
          <w:color w:val="000000"/>
          <w:sz w:val="21"/>
          <w:szCs w:val="21"/>
        </w:rPr>
      </w:pPr>
      <w:r>
        <w:rPr>
          <w:rFonts w:hint="eastAsia" w:eastAsia="宋体"/>
          <w:color w:val="000000"/>
          <w:sz w:val="21"/>
          <w:szCs w:val="21"/>
        </w:rPr>
        <w:t>表3室内装饰装修用 溶剂型聚氨酯木器涂料（</w:t>
      </w:r>
      <w:r>
        <w:rPr>
          <w:rFonts w:eastAsia="宋体"/>
          <w:color w:val="000000"/>
          <w:sz w:val="21"/>
          <w:szCs w:val="21"/>
        </w:rPr>
        <w:t>GB/T 23997-2009</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在容器中状态</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施工性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涂膜外观</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干燥时间（制板）（表干+实干）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附着力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23997-2009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铅笔硬度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23997-2009</w:t>
            </w:r>
          </w:p>
        </w:tc>
      </w:tr>
    </w:tbl>
    <w:p/>
    <w:p>
      <w:pPr>
        <w:snapToGrid w:val="0"/>
        <w:spacing w:line="440" w:lineRule="exact"/>
        <w:jc w:val="center"/>
        <w:rPr>
          <w:rFonts w:eastAsia="宋体"/>
          <w:color w:val="000000"/>
          <w:sz w:val="21"/>
          <w:szCs w:val="21"/>
        </w:rPr>
      </w:pPr>
      <w:r>
        <w:rPr>
          <w:rFonts w:hint="eastAsia" w:eastAsia="宋体"/>
          <w:color w:val="000000"/>
          <w:sz w:val="21"/>
          <w:szCs w:val="21"/>
        </w:rPr>
        <w:t>表4室内装饰装修用 溶剂型硝基木器涂料（</w:t>
      </w:r>
      <w:r>
        <w:rPr>
          <w:rFonts w:eastAsia="宋体"/>
          <w:color w:val="000000"/>
          <w:sz w:val="21"/>
          <w:szCs w:val="21"/>
        </w:rPr>
        <w:t>GB/T 23998-2009</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在容器中状态</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涂膜外观</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干燥时间（制板）（表干+实干）</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附着力</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23998-2009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打磨性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23998-2009</w:t>
            </w:r>
          </w:p>
        </w:tc>
      </w:tr>
    </w:tbl>
    <w:p/>
    <w:p>
      <w:pPr>
        <w:snapToGrid w:val="0"/>
        <w:spacing w:line="440" w:lineRule="exact"/>
        <w:jc w:val="center"/>
        <w:rPr>
          <w:rFonts w:eastAsia="宋体"/>
          <w:color w:val="000000"/>
          <w:sz w:val="21"/>
          <w:szCs w:val="21"/>
        </w:rPr>
      </w:pPr>
      <w:r>
        <w:rPr>
          <w:rFonts w:hint="eastAsia" w:eastAsia="宋体"/>
          <w:color w:val="000000"/>
          <w:sz w:val="21"/>
          <w:szCs w:val="21"/>
        </w:rPr>
        <w:t>表5酚醛树脂涂料（</w:t>
      </w:r>
      <w:r>
        <w:rPr>
          <w:rFonts w:eastAsia="宋体"/>
          <w:color w:val="000000"/>
          <w:sz w:val="21"/>
          <w:szCs w:val="21"/>
        </w:rPr>
        <w:t>GB/T 25253-2010</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在容器中状态</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施工性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漆膜外观</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干燥时间（制板）（表干+实干）</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漆膜柔韧性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不挥发物含量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耐水性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25253-2010</w:t>
            </w:r>
          </w:p>
        </w:tc>
      </w:tr>
    </w:tbl>
    <w:p/>
    <w:p>
      <w:pPr>
        <w:snapToGrid w:val="0"/>
        <w:spacing w:line="440" w:lineRule="exact"/>
        <w:jc w:val="center"/>
        <w:rPr>
          <w:rFonts w:eastAsia="宋体"/>
          <w:color w:val="000000"/>
          <w:sz w:val="21"/>
          <w:szCs w:val="21"/>
        </w:rPr>
      </w:pPr>
      <w:r>
        <w:rPr>
          <w:rFonts w:hint="eastAsia" w:eastAsia="宋体"/>
          <w:color w:val="000000"/>
          <w:sz w:val="21"/>
          <w:szCs w:val="21"/>
        </w:rPr>
        <w:t>表6醇酸树脂涂料（</w:t>
      </w:r>
      <w:r>
        <w:rPr>
          <w:rFonts w:eastAsia="宋体"/>
          <w:color w:val="000000"/>
          <w:sz w:val="21"/>
          <w:szCs w:val="21"/>
        </w:rPr>
        <w:t>GB/T 25251-2010</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在容器中状态</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施工性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附着力（划格试验）</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漆膜外观</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干燥时间（制板）（表干+实干）</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耐盐水性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在容器中状态</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25251-2010</w:t>
            </w:r>
          </w:p>
        </w:tc>
      </w:tr>
    </w:tbl>
    <w:p/>
    <w:p>
      <w:pPr>
        <w:snapToGrid w:val="0"/>
        <w:spacing w:line="440" w:lineRule="exact"/>
        <w:jc w:val="center"/>
        <w:rPr>
          <w:rFonts w:eastAsia="宋体"/>
          <w:color w:val="000000"/>
          <w:sz w:val="21"/>
          <w:szCs w:val="21"/>
        </w:rPr>
      </w:pPr>
      <w:r>
        <w:rPr>
          <w:rFonts w:hint="eastAsia" w:eastAsia="宋体"/>
          <w:color w:val="000000"/>
          <w:sz w:val="21"/>
          <w:szCs w:val="21"/>
        </w:rPr>
        <w:t>表7富锌底漆（</w:t>
      </w:r>
      <w:r>
        <w:rPr>
          <w:rFonts w:eastAsia="宋体"/>
          <w:color w:val="000000"/>
          <w:sz w:val="21"/>
          <w:szCs w:val="21"/>
        </w:rPr>
        <w:t>HG/T 3668-2020</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容器中状态</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不挥发分</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施工性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适用期</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涂膜外观</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干燥时间（表干）</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漆膜耐冲击测定</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3668-2020</w:t>
            </w:r>
          </w:p>
        </w:tc>
      </w:tr>
    </w:tbl>
    <w:p/>
    <w:p>
      <w:pPr>
        <w:snapToGrid w:val="0"/>
        <w:spacing w:line="440" w:lineRule="exact"/>
        <w:jc w:val="center"/>
        <w:rPr>
          <w:rFonts w:eastAsia="宋体"/>
          <w:color w:val="000000"/>
          <w:sz w:val="21"/>
          <w:szCs w:val="21"/>
        </w:rPr>
      </w:pPr>
      <w:r>
        <w:rPr>
          <w:rFonts w:hint="eastAsia" w:eastAsia="宋体"/>
          <w:color w:val="000000"/>
          <w:sz w:val="21"/>
          <w:szCs w:val="21"/>
        </w:rPr>
        <w:t>表8环氧树脂底漆（</w:t>
      </w:r>
      <w:r>
        <w:rPr>
          <w:rFonts w:eastAsia="宋体"/>
          <w:color w:val="000000"/>
          <w:sz w:val="21"/>
          <w:szCs w:val="21"/>
        </w:rPr>
        <w:t>HG/T 4566-2013</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在容器中状态</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漆膜外观</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干燥时间（制板）（表干+实干）</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漆膜耐冲击测定</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不挥发物含量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耐弯曲性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耐盐水性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HG/T 4566-2013</w:t>
            </w:r>
          </w:p>
        </w:tc>
      </w:tr>
    </w:tbl>
    <w:p/>
    <w:p>
      <w:pPr>
        <w:snapToGrid w:val="0"/>
        <w:spacing w:line="440" w:lineRule="exact"/>
        <w:jc w:val="center"/>
        <w:rPr>
          <w:rFonts w:eastAsia="宋体"/>
          <w:color w:val="000000"/>
          <w:sz w:val="21"/>
          <w:szCs w:val="21"/>
        </w:rPr>
      </w:pPr>
      <w:r>
        <w:rPr>
          <w:rFonts w:hint="eastAsia" w:eastAsia="宋体"/>
          <w:color w:val="000000"/>
          <w:sz w:val="21"/>
          <w:szCs w:val="21"/>
        </w:rPr>
        <w:t>表9 氯化橡胶防腐涂料（</w:t>
      </w:r>
      <w:r>
        <w:rPr>
          <w:rFonts w:eastAsia="宋体"/>
          <w:color w:val="000000"/>
          <w:sz w:val="21"/>
          <w:szCs w:val="21"/>
        </w:rPr>
        <w:t>GB/T 25263-2010</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在容器中状态</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施工性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漆膜外观</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干燥时间（制板）（表干+实干）</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弯曲试验</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不挥发物含量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25263-2010</w:t>
            </w:r>
          </w:p>
        </w:tc>
      </w:tr>
    </w:tbl>
    <w:p>
      <w:pPr>
        <w:adjustRightInd w:val="0"/>
        <w:snapToGrid w:val="0"/>
        <w:spacing w:line="440" w:lineRule="exact"/>
        <w:ind w:firstLine="420" w:firstLineChars="200"/>
        <w:rPr>
          <w:rFonts w:eastAsia="宋体"/>
          <w:color w:val="000000"/>
          <w:sz w:val="21"/>
          <w:szCs w:val="21"/>
        </w:rPr>
      </w:pPr>
    </w:p>
    <w:p>
      <w:pPr>
        <w:snapToGrid w:val="0"/>
        <w:spacing w:line="440" w:lineRule="exact"/>
        <w:jc w:val="center"/>
        <w:rPr>
          <w:rFonts w:eastAsia="宋体"/>
          <w:color w:val="000000"/>
          <w:sz w:val="21"/>
          <w:szCs w:val="21"/>
        </w:rPr>
      </w:pPr>
      <w:r>
        <w:rPr>
          <w:rFonts w:hint="eastAsia" w:eastAsia="宋体"/>
          <w:color w:val="000000"/>
          <w:sz w:val="21"/>
          <w:szCs w:val="21"/>
        </w:rPr>
        <w:t>表10 合成树脂乳液内墙涂料（</w:t>
      </w:r>
      <w:r>
        <w:rPr>
          <w:rFonts w:eastAsia="宋体"/>
          <w:color w:val="000000"/>
          <w:sz w:val="21"/>
          <w:szCs w:val="21"/>
        </w:rPr>
        <w:t>GB/T 9756-2018</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容器中状态</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施工性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漆膜外观</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干燥时间</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9756-2018</w:t>
            </w:r>
          </w:p>
        </w:tc>
      </w:tr>
    </w:tbl>
    <w:p>
      <w:pPr>
        <w:adjustRightInd w:val="0"/>
        <w:snapToGrid w:val="0"/>
        <w:spacing w:line="440" w:lineRule="exact"/>
        <w:ind w:firstLine="420" w:firstLineChars="200"/>
        <w:rPr>
          <w:rFonts w:eastAsia="宋体"/>
          <w:color w:val="000000"/>
          <w:sz w:val="21"/>
          <w:szCs w:val="21"/>
        </w:rPr>
      </w:pPr>
    </w:p>
    <w:p>
      <w:pPr>
        <w:snapToGrid w:val="0"/>
        <w:spacing w:line="440" w:lineRule="exact"/>
        <w:jc w:val="center"/>
        <w:rPr>
          <w:rFonts w:eastAsia="宋体"/>
          <w:color w:val="000000"/>
          <w:sz w:val="21"/>
          <w:szCs w:val="21"/>
        </w:rPr>
      </w:pPr>
      <w:r>
        <w:rPr>
          <w:rFonts w:hint="eastAsia" w:eastAsia="宋体"/>
          <w:color w:val="000000"/>
          <w:sz w:val="21"/>
          <w:szCs w:val="21"/>
        </w:rPr>
        <w:t>表11 木器涂料中有害物质限量（</w:t>
      </w:r>
      <w:r>
        <w:rPr>
          <w:rFonts w:eastAsia="宋体"/>
          <w:color w:val="000000"/>
          <w:sz w:val="21"/>
          <w:szCs w:val="21"/>
        </w:rPr>
        <w:t>GB 18581-2020</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VOC含量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 18581-2020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甲醛含量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 18581-2020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可溶性重金属含量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 18581-2020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总铅含量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 18581-2020</w:t>
            </w:r>
          </w:p>
        </w:tc>
      </w:tr>
    </w:tbl>
    <w:p>
      <w:pPr>
        <w:adjustRightInd w:val="0"/>
        <w:snapToGrid w:val="0"/>
        <w:spacing w:line="440" w:lineRule="exact"/>
        <w:ind w:firstLine="420" w:firstLineChars="200"/>
        <w:rPr>
          <w:rFonts w:eastAsia="宋体"/>
          <w:color w:val="000000"/>
          <w:sz w:val="21"/>
          <w:szCs w:val="21"/>
        </w:rPr>
      </w:pPr>
    </w:p>
    <w:p>
      <w:pPr>
        <w:snapToGrid w:val="0"/>
        <w:spacing w:line="440" w:lineRule="exact"/>
        <w:jc w:val="center"/>
        <w:rPr>
          <w:rFonts w:eastAsia="宋体"/>
          <w:color w:val="000000"/>
          <w:sz w:val="21"/>
          <w:szCs w:val="21"/>
        </w:rPr>
      </w:pPr>
      <w:r>
        <w:rPr>
          <w:rFonts w:hint="eastAsia" w:eastAsia="宋体"/>
          <w:color w:val="000000"/>
          <w:sz w:val="21"/>
          <w:szCs w:val="21"/>
        </w:rPr>
        <w:t>表12 建筑用墙面涂料中有害物质限量（</w:t>
      </w:r>
      <w:r>
        <w:rPr>
          <w:rFonts w:eastAsia="宋体"/>
          <w:color w:val="000000"/>
          <w:sz w:val="21"/>
          <w:szCs w:val="21"/>
        </w:rPr>
        <w:t>GB 18582-2020</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bookmarkStart w:id="0" w:name="_GoBack" w:colFirst="2" w:colLast="0"/>
            <w:r>
              <w:rPr>
                <w:rFonts w:hint="eastAsia" w:eastAsia="宋体"/>
                <w:color w:val="000000"/>
                <w:sz w:val="21"/>
                <w:szCs w:val="21"/>
              </w:rPr>
              <w:t>1</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VOC含量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甲醛含量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可溶性重金属含量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总铅含量</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 18582-2020</w:t>
            </w:r>
          </w:p>
        </w:tc>
      </w:tr>
      <w:bookmarkEnd w:id="0"/>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 18581-2020《木器涂料中有害物质限量》</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 18582-2020 《建筑用墙面涂料中有害物质限量》</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13492-1992《各色汽车用面漆》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25264-2010《溶剂型丙烯酸树脂涂料》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23997-2009《室内装饰装修用 溶剂型聚氨酯木器涂料》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23998-2009《室内装饰装修用 溶剂型硝基木器涂料》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25253-2010《酚醛树脂涂料》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25251-2010《醇酸树脂涂料》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HG/T 3668-2020 《富锌底漆》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HG/T 4566-2013《环氧树脂底漆》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23995-2009 《室内装饰装修用溶剂型醇酸木器涂料》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25263-2010《氯化橡胶防腐涂料》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9756-2018《合成树脂乳液内墙涂料》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80074"/>
    <w:rsid w:val="00080B45"/>
    <w:rsid w:val="000A5AE2"/>
    <w:rsid w:val="000E6DFF"/>
    <w:rsid w:val="000F579D"/>
    <w:rsid w:val="00106A76"/>
    <w:rsid w:val="00124879"/>
    <w:rsid w:val="00132DBF"/>
    <w:rsid w:val="00143F33"/>
    <w:rsid w:val="00152AF1"/>
    <w:rsid w:val="00152C63"/>
    <w:rsid w:val="0018045B"/>
    <w:rsid w:val="00192409"/>
    <w:rsid w:val="001C37A1"/>
    <w:rsid w:val="001D16D8"/>
    <w:rsid w:val="001D5FC1"/>
    <w:rsid w:val="001E25CD"/>
    <w:rsid w:val="001F3F23"/>
    <w:rsid w:val="001F4CD2"/>
    <w:rsid w:val="00201AA7"/>
    <w:rsid w:val="00212B84"/>
    <w:rsid w:val="0023033B"/>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028D2"/>
    <w:rsid w:val="00454E06"/>
    <w:rsid w:val="004805EF"/>
    <w:rsid w:val="004D3EDB"/>
    <w:rsid w:val="00502214"/>
    <w:rsid w:val="00544273"/>
    <w:rsid w:val="005462F5"/>
    <w:rsid w:val="00567951"/>
    <w:rsid w:val="00580ADD"/>
    <w:rsid w:val="0059343D"/>
    <w:rsid w:val="00593F2B"/>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C2B84"/>
    <w:rsid w:val="007D08B7"/>
    <w:rsid w:val="007D4367"/>
    <w:rsid w:val="0081385A"/>
    <w:rsid w:val="00827163"/>
    <w:rsid w:val="0088496F"/>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D40E0"/>
    <w:rsid w:val="00B47C68"/>
    <w:rsid w:val="00B53BE9"/>
    <w:rsid w:val="00B7170E"/>
    <w:rsid w:val="00BA7662"/>
    <w:rsid w:val="00C43B6B"/>
    <w:rsid w:val="00C81601"/>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33135"/>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B96E74"/>
    <w:rsid w:val="7FEF5186"/>
    <w:rsid w:val="B9CB67E5"/>
    <w:rsid w:val="BFAFAB5F"/>
    <w:rsid w:val="CBE20EA3"/>
    <w:rsid w:val="CF6F6715"/>
    <w:rsid w:val="D7BB258B"/>
    <w:rsid w:val="DF4CD109"/>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522</Words>
  <Characters>2976</Characters>
  <Lines>24</Lines>
  <Paragraphs>6</Paragraphs>
  <TotalTime>39</TotalTime>
  <ScaleCrop>false</ScaleCrop>
  <LinksUpToDate>false</LinksUpToDate>
  <CharactersWithSpaces>3492</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2024-06-21T14:19:24Z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