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eastAsia="方正小标宋简体"/>
          <w:color w:val="000000"/>
          <w:szCs w:val="32"/>
        </w:rPr>
      </w:pPr>
      <w:r>
        <w:rPr>
          <w:rFonts w:hint="eastAsia" w:eastAsia="方正小标宋简体"/>
          <w:color w:val="000000"/>
          <w:szCs w:val="32"/>
        </w:rPr>
        <w:t>油墨产品质量监督抽查实施细则</w:t>
      </w:r>
    </w:p>
    <w:p>
      <w:pPr>
        <w:spacing w:line="578" w:lineRule="exact"/>
        <w:rPr>
          <w:rFonts w:eastAsia="黑体" w:cs="黑体"/>
          <w:color w:val="000000"/>
          <w:szCs w:val="32"/>
        </w:rPr>
      </w:pPr>
    </w:p>
    <w:p>
      <w:pPr>
        <w:snapToGrid w:val="0"/>
        <w:spacing w:line="440" w:lineRule="exact"/>
        <w:rPr>
          <w:rFonts w:eastAsia="黑体"/>
          <w:color w:val="000000"/>
          <w:sz w:val="21"/>
          <w:szCs w:val="21"/>
        </w:rPr>
      </w:pPr>
      <w:r>
        <w:rPr>
          <w:rFonts w:hint="eastAsia" w:eastAsia="黑体"/>
          <w:color w:val="000000"/>
          <w:sz w:val="21"/>
          <w:szCs w:val="21"/>
        </w:rPr>
        <w:t>1 抽样方法</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以随机抽样的方式在被抽样生产者、销售者的待销产品中抽取。</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随机数一般可使用随机数表等方法产生。</w:t>
      </w:r>
    </w:p>
    <w:p>
      <w:pPr>
        <w:snapToGrid w:val="0"/>
        <w:spacing w:line="440" w:lineRule="exact"/>
        <w:ind w:firstLine="420" w:firstLineChars="200"/>
        <w:rPr>
          <w:rFonts w:hint="eastAsia" w:eastAsia="宋体"/>
          <w:color w:val="000000"/>
          <w:sz w:val="21"/>
          <w:szCs w:val="21"/>
        </w:rPr>
      </w:pPr>
      <w:r>
        <w:rPr>
          <w:rFonts w:hint="eastAsia" w:eastAsia="宋体"/>
          <w:color w:val="000000"/>
          <w:sz w:val="21"/>
          <w:szCs w:val="21"/>
        </w:rPr>
        <w:t>每批次抽取样品4瓶（100g/瓶），其中2瓶（100g/瓶）作为检验样品，2瓶（100g/瓶）作为备用样品。</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注：每批次油墨需额外抽取50g的标准墨。</w:t>
      </w:r>
    </w:p>
    <w:p>
      <w:pPr>
        <w:spacing w:line="590" w:lineRule="exact"/>
        <w:ind w:firstLine="640" w:firstLineChars="200"/>
        <w:rPr>
          <w:rFonts w:eastAsia="黑体" w:cs="黑体"/>
          <w:color w:val="000000"/>
          <w:szCs w:val="32"/>
        </w:rPr>
      </w:pPr>
    </w:p>
    <w:p>
      <w:pPr>
        <w:snapToGrid w:val="0"/>
        <w:spacing w:line="440" w:lineRule="exact"/>
        <w:rPr>
          <w:rFonts w:eastAsia="黑体"/>
          <w:color w:val="000000"/>
          <w:sz w:val="21"/>
          <w:szCs w:val="21"/>
        </w:rPr>
      </w:pPr>
      <w:r>
        <w:rPr>
          <w:rFonts w:hint="eastAsia" w:eastAsia="黑体"/>
          <w:color w:val="000000"/>
          <w:sz w:val="21"/>
          <w:szCs w:val="21"/>
        </w:rPr>
        <w:t>2 检验依据</w:t>
      </w:r>
    </w:p>
    <w:p>
      <w:pPr>
        <w:snapToGrid w:val="0"/>
        <w:spacing w:line="440" w:lineRule="exact"/>
        <w:jc w:val="center"/>
        <w:rPr>
          <w:rFonts w:eastAsia="宋体"/>
          <w:color w:val="000000"/>
          <w:sz w:val="21"/>
          <w:szCs w:val="21"/>
        </w:rPr>
      </w:pPr>
      <w:r>
        <w:rPr>
          <w:rFonts w:hint="eastAsia" w:eastAsia="宋体"/>
          <w:color w:val="000000"/>
          <w:sz w:val="21"/>
          <w:szCs w:val="21"/>
        </w:rPr>
        <w:t>表1凹版塑料薄膜表印油墨（</w:t>
      </w:r>
      <w:r>
        <w:rPr>
          <w:rFonts w:eastAsia="宋体"/>
          <w:color w:val="000000"/>
          <w:sz w:val="21"/>
          <w:szCs w:val="21"/>
        </w:rPr>
        <w:t>QB/T 1046-2012</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颜色</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着色力</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细度</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粘度</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初干性</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附着牢度</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溶剂残留总量</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QB/T 2929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苯类溶剂残留总量</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QB/T 2929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可溶性锑</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可溶性钡</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可溶性砷</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12</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可溶性镉</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13</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可溶性铬</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14</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可溶性铅</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15</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可溶性汞</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16</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可溶性硒</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 2930.1</w:t>
            </w:r>
          </w:p>
        </w:tc>
      </w:tr>
    </w:tbl>
    <w:p/>
    <w:p>
      <w:pPr>
        <w:snapToGrid w:val="0"/>
        <w:spacing w:line="440" w:lineRule="exact"/>
        <w:jc w:val="center"/>
        <w:rPr>
          <w:rFonts w:eastAsia="宋体"/>
          <w:color w:val="000000"/>
          <w:sz w:val="21"/>
          <w:szCs w:val="21"/>
        </w:rPr>
      </w:pPr>
      <w:r>
        <w:rPr>
          <w:rFonts w:hint="eastAsia" w:eastAsia="宋体"/>
          <w:color w:val="000000"/>
          <w:sz w:val="21"/>
          <w:szCs w:val="21"/>
        </w:rPr>
        <w:t>表2凹版塑料薄膜复合油墨（</w:t>
      </w:r>
      <w:r>
        <w:rPr>
          <w:rFonts w:eastAsia="宋体"/>
          <w:color w:val="000000"/>
          <w:sz w:val="21"/>
          <w:szCs w:val="21"/>
        </w:rPr>
        <w:t>QB/T 2024-2012</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颜色</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着色力</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细度</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粘度</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初干性</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附着牢度</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表面张力</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QB/T 2024-2012附录A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溶剂残留总量</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QB/T 2929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苯类溶剂残留总量</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QB/T 2929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可溶性锑</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可溶性钡</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12</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可溶性砷</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13</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可溶性镉</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14</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可溶性铬</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15</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可溶性铅</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16</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可溶性汞</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17</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可溶性硒</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 2930.1</w:t>
            </w:r>
          </w:p>
        </w:tc>
      </w:tr>
    </w:tbl>
    <w:p>
      <w:pPr>
        <w:snapToGrid w:val="0"/>
        <w:spacing w:line="440" w:lineRule="exact"/>
        <w:jc w:val="center"/>
        <w:rPr>
          <w:rFonts w:eastAsia="宋体"/>
          <w:color w:val="000000"/>
          <w:sz w:val="21"/>
          <w:szCs w:val="21"/>
        </w:rPr>
      </w:pPr>
    </w:p>
    <w:p>
      <w:pPr>
        <w:snapToGrid w:val="0"/>
        <w:spacing w:line="440" w:lineRule="exact"/>
        <w:jc w:val="center"/>
        <w:rPr>
          <w:rFonts w:eastAsia="宋体"/>
          <w:color w:val="000000"/>
          <w:sz w:val="21"/>
          <w:szCs w:val="21"/>
        </w:rPr>
      </w:pPr>
      <w:r>
        <w:rPr>
          <w:rFonts w:hint="eastAsia" w:eastAsia="宋体"/>
          <w:color w:val="000000"/>
          <w:sz w:val="21"/>
          <w:szCs w:val="21"/>
        </w:rPr>
        <w:t>表3柔性版水性油墨（</w:t>
      </w:r>
      <w:r>
        <w:rPr>
          <w:rFonts w:eastAsia="宋体"/>
          <w:color w:val="000000"/>
          <w:sz w:val="21"/>
          <w:szCs w:val="21"/>
        </w:rPr>
        <w:t>QB/T 2825-2017</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颜色</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粘度</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细度</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pH</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QB/T 2825-2017/4.5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光泽偏差</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初干性</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着色力</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附着牢度</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抗粘连</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13217.8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溶剂残留总量</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QB/T 2929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苯类溶剂残留总量</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QB/T 2929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12</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VOC</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23986-2009</w:t>
            </w:r>
          </w:p>
        </w:tc>
      </w:tr>
    </w:tbl>
    <w:p/>
    <w:p>
      <w:pPr>
        <w:snapToGrid w:val="0"/>
        <w:spacing w:line="440" w:lineRule="exact"/>
        <w:jc w:val="center"/>
        <w:rPr>
          <w:rFonts w:eastAsia="宋体"/>
          <w:color w:val="000000"/>
          <w:sz w:val="21"/>
          <w:szCs w:val="21"/>
        </w:rPr>
      </w:pPr>
      <w:r>
        <w:rPr>
          <w:rFonts w:hint="eastAsia" w:eastAsia="宋体"/>
          <w:color w:val="000000"/>
          <w:sz w:val="21"/>
          <w:szCs w:val="21"/>
        </w:rPr>
        <w:t>表4单张纸胶印油墨（</w:t>
      </w:r>
      <w:r>
        <w:rPr>
          <w:rFonts w:eastAsia="宋体"/>
          <w:color w:val="000000"/>
          <w:sz w:val="21"/>
          <w:szCs w:val="21"/>
        </w:rPr>
        <w:t>QB/T 2624-2012</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序号</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检验项目</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颜色</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14624.1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着色力</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14624.2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细度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QB/T 2624-2012附录A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粘性</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18723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固着速度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QB/T 2624-2012附录B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结膜干燥</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14624.4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流动值</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QB/T 2624-2012附录D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流动度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14624.3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光泽</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QB/T 2624-2012附录C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可溶性锑</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可溶性钡</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可溶性砷</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可溶性镉</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可溶性铬</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可溶性铅</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可溶性汞</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17</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可溶性硒</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18</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铅、汞、镉、六价铬的总含量</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2930.2</w:t>
            </w:r>
          </w:p>
        </w:tc>
      </w:tr>
    </w:tbl>
    <w:p/>
    <w:p>
      <w:pPr>
        <w:snapToGrid w:val="0"/>
        <w:spacing w:line="440" w:lineRule="exact"/>
        <w:jc w:val="center"/>
        <w:rPr>
          <w:rFonts w:eastAsia="宋体"/>
          <w:color w:val="000000"/>
          <w:sz w:val="21"/>
          <w:szCs w:val="21"/>
        </w:rPr>
      </w:pPr>
      <w:r>
        <w:rPr>
          <w:rFonts w:hint="eastAsia" w:eastAsia="宋体"/>
          <w:color w:val="000000"/>
          <w:sz w:val="21"/>
          <w:szCs w:val="21"/>
        </w:rPr>
        <w:t>表5胶印轮转冷固型油墨（</w:t>
      </w:r>
      <w:r>
        <w:rPr>
          <w:rFonts w:eastAsia="宋体"/>
          <w:color w:val="000000"/>
          <w:sz w:val="21"/>
          <w:szCs w:val="21"/>
        </w:rPr>
        <w:t>QB/T 1865-2014</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颜色</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14624.1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着色力</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14624.2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细度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QB/T 2624-2012附录A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流动度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14624.3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粘性</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18723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流动值</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QB/T 2624-2012附录D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可溶性锑</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可溶性钡</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可溶性砷</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可溶性镉</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可溶性铬</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可溶性铅</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可溶性汞</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可溶性硒</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铅、汞、镉、六价铬的总含量</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2930.2</w:t>
            </w:r>
          </w:p>
        </w:tc>
      </w:tr>
    </w:tbl>
    <w:p/>
    <w:p>
      <w:pPr>
        <w:snapToGrid w:val="0"/>
        <w:spacing w:line="440" w:lineRule="exact"/>
        <w:jc w:val="center"/>
        <w:rPr>
          <w:rFonts w:eastAsia="宋体"/>
          <w:color w:val="000000"/>
          <w:sz w:val="21"/>
          <w:szCs w:val="21"/>
        </w:rPr>
      </w:pPr>
      <w:r>
        <w:rPr>
          <w:rFonts w:hint="eastAsia" w:eastAsia="宋体"/>
          <w:color w:val="000000"/>
          <w:sz w:val="21"/>
          <w:szCs w:val="21"/>
        </w:rPr>
        <w:t>表6胶印热固着轮转油墨（</w:t>
      </w:r>
      <w:r>
        <w:rPr>
          <w:rFonts w:eastAsia="宋体"/>
          <w:color w:val="000000"/>
          <w:sz w:val="21"/>
          <w:szCs w:val="21"/>
        </w:rPr>
        <w:t>QB/T 2824-2017</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序号</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检验项目</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颜色</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14624.1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细度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QB/T 2624-2012附录A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流动度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14624.3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着色力</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18723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固着速度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QB/T 2624-2012附录B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热固性能</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QB/T 2824-2017/4.8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流动值</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QB/T 2624-2012附录D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粘性</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18723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可溶性锑</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可溶性钡</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可溶性砷</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可溶性镉</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可溶性铬</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可溶性铅</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可溶性汞</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可溶性硒</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17</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铅、汞、镉、六价铬的总含量</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2930.2</w:t>
            </w:r>
          </w:p>
        </w:tc>
      </w:tr>
    </w:tbl>
    <w:p/>
    <w:p>
      <w:pPr>
        <w:snapToGrid w:val="0"/>
        <w:spacing w:line="440" w:lineRule="exact"/>
        <w:jc w:val="center"/>
        <w:rPr>
          <w:rFonts w:eastAsia="宋体"/>
          <w:color w:val="000000"/>
          <w:sz w:val="21"/>
          <w:szCs w:val="21"/>
        </w:rPr>
      </w:pPr>
      <w:r>
        <w:rPr>
          <w:rFonts w:hint="eastAsia" w:eastAsia="宋体"/>
          <w:color w:val="000000"/>
          <w:sz w:val="21"/>
          <w:szCs w:val="21"/>
        </w:rPr>
        <w:t>表7胶印紫外光固化油墨（</w:t>
      </w:r>
      <w:r>
        <w:rPr>
          <w:rFonts w:eastAsia="宋体"/>
          <w:color w:val="000000"/>
          <w:sz w:val="21"/>
          <w:szCs w:val="21"/>
        </w:rPr>
        <w:t>QB/T 2826-2017</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颜色</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14624.1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细度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QB/T 2624-2012附录A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着色力</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14624.2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黏性</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18723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干燥性</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QB/T 2826-2017/4.6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流动度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14624.3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可溶性锑</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可溶性钡</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可溶性砷</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可溶性镉</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可溶性铬</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可溶性铅</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可溶性汞</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可溶性硒</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铅、汞、镉、六价铬的总含量</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VOC</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23986-2009</w:t>
            </w:r>
          </w:p>
        </w:tc>
      </w:tr>
    </w:tbl>
    <w:p/>
    <w:p>
      <w:pPr>
        <w:snapToGrid w:val="0"/>
        <w:spacing w:line="440" w:lineRule="exact"/>
        <w:jc w:val="center"/>
        <w:rPr>
          <w:rFonts w:eastAsia="宋体"/>
          <w:color w:val="000000"/>
          <w:sz w:val="21"/>
          <w:szCs w:val="21"/>
        </w:rPr>
      </w:pPr>
      <w:r>
        <w:rPr>
          <w:rFonts w:hint="eastAsia" w:eastAsia="宋体"/>
          <w:color w:val="000000"/>
          <w:sz w:val="21"/>
          <w:szCs w:val="21"/>
        </w:rPr>
        <w:t>表8水性凹版塑料薄膜表印油墨（</w:t>
      </w:r>
      <w:r>
        <w:rPr>
          <w:rFonts w:eastAsia="宋体"/>
          <w:color w:val="000000"/>
          <w:sz w:val="21"/>
          <w:szCs w:val="21"/>
        </w:rPr>
        <w:t>QB/T 4103-2010</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序号</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检验项目</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颜色</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细度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粘度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着色力</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附着牢度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PH</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QB/T 4103-2010/4.5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初干性</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光泽</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耐水性</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QB/T 4103-2010/4.9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耐摩擦性</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QB/T 4103-2010/4.11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VOC</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HJ/T 371-2007附录E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可溶性锑</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可溶性钡</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可溶性砷</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可溶性镉</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可溶性铬</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17</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可溶性铅</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18</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可溶性汞</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19</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可溶性硒</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bl>
    <w:p/>
    <w:p>
      <w:pPr>
        <w:snapToGrid w:val="0"/>
        <w:spacing w:line="440" w:lineRule="exact"/>
        <w:jc w:val="center"/>
        <w:rPr>
          <w:rFonts w:eastAsia="宋体"/>
          <w:color w:val="000000"/>
          <w:sz w:val="21"/>
          <w:szCs w:val="21"/>
        </w:rPr>
      </w:pPr>
      <w:r>
        <w:rPr>
          <w:rFonts w:hint="eastAsia" w:eastAsia="宋体"/>
          <w:color w:val="000000"/>
          <w:sz w:val="21"/>
          <w:szCs w:val="21"/>
        </w:rPr>
        <w:t>表9水性薄膜凹印复合油墨（</w:t>
      </w:r>
      <w:r>
        <w:rPr>
          <w:rFonts w:eastAsia="宋体"/>
          <w:color w:val="000000"/>
          <w:sz w:val="21"/>
          <w:szCs w:val="21"/>
        </w:rPr>
        <w:t>GB/T 26394-2011</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序号</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检验项目</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颜色</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细度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粘度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着色力</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附着牢度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剥离力</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26394-2011附录A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可溶性锑</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可溶性钡</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可溶性砷</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可溶性镉</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可溶性铬</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可溶性铅</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可溶性汞</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可溶性硒</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bl>
    <w:p>
      <w:pPr>
        <w:adjustRightInd w:val="0"/>
        <w:snapToGrid w:val="0"/>
        <w:spacing w:line="440" w:lineRule="exact"/>
        <w:ind w:firstLine="420" w:firstLineChars="200"/>
        <w:rPr>
          <w:rFonts w:hint="eastAsia" w:eastAsia="宋体"/>
          <w:color w:val="000000"/>
          <w:sz w:val="21"/>
          <w:szCs w:val="21"/>
        </w:rPr>
      </w:pPr>
    </w:p>
    <w:p>
      <w:pPr>
        <w:snapToGrid w:val="0"/>
        <w:spacing w:line="440" w:lineRule="exact"/>
        <w:jc w:val="center"/>
        <w:rPr>
          <w:rFonts w:eastAsia="宋体"/>
          <w:color w:val="000000"/>
          <w:sz w:val="21"/>
          <w:szCs w:val="21"/>
        </w:rPr>
      </w:pPr>
      <w:r>
        <w:rPr>
          <w:rFonts w:hint="eastAsia" w:eastAsia="宋体"/>
          <w:color w:val="000000"/>
          <w:sz w:val="21"/>
          <w:szCs w:val="21"/>
        </w:rPr>
        <w:t>表10水性烟包凹印油墨（</w:t>
      </w:r>
      <w:r>
        <w:rPr>
          <w:rFonts w:eastAsia="宋体"/>
          <w:color w:val="000000"/>
          <w:sz w:val="21"/>
          <w:szCs w:val="21"/>
        </w:rPr>
        <w:t>GB/T 26395-2011</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序号</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检验项目</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颜色</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细度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粘度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着色力</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附着牢度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耐光(四级)</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22771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耐热性</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26395-2011/5.7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耐摩擦性</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26395-2011/5.8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乙醇、异丙醇、正丙醇</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26395-2011附录A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挥发性有机化合物最大限量</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26395-2011附录B</w:t>
            </w:r>
          </w:p>
        </w:tc>
      </w:tr>
    </w:tbl>
    <w:p>
      <w:pPr>
        <w:adjustRightInd w:val="0"/>
        <w:snapToGrid w:val="0"/>
        <w:spacing w:line="440" w:lineRule="exact"/>
        <w:ind w:firstLine="420" w:firstLineChars="200"/>
        <w:rPr>
          <w:rFonts w:hint="eastAsia" w:eastAsia="宋体"/>
          <w:color w:val="000000"/>
          <w:sz w:val="21"/>
          <w:szCs w:val="21"/>
        </w:rPr>
      </w:pPr>
    </w:p>
    <w:p>
      <w:pPr>
        <w:snapToGrid w:val="0"/>
        <w:spacing w:line="440" w:lineRule="exact"/>
        <w:jc w:val="center"/>
        <w:rPr>
          <w:rFonts w:eastAsia="宋体"/>
          <w:color w:val="000000"/>
          <w:sz w:val="21"/>
          <w:szCs w:val="21"/>
        </w:rPr>
      </w:pPr>
      <w:r>
        <w:rPr>
          <w:rFonts w:hint="eastAsia" w:eastAsia="宋体"/>
          <w:color w:val="000000"/>
          <w:sz w:val="21"/>
          <w:szCs w:val="21"/>
        </w:rPr>
        <w:t>表11纸张凹印油墨（</w:t>
      </w:r>
      <w:r>
        <w:rPr>
          <w:rFonts w:eastAsia="宋体"/>
          <w:color w:val="000000"/>
          <w:sz w:val="21"/>
          <w:szCs w:val="21"/>
        </w:rPr>
        <w:t>GB/T 26461-2011</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bookmarkStart w:id="0" w:name="_GoBack" w:colFirst="2" w:colLast="0"/>
            <w:r>
              <w:rPr>
                <w:rFonts w:hint="eastAsia" w:eastAsia="宋体"/>
                <w:color w:val="000000"/>
                <w:sz w:val="21"/>
                <w:szCs w:val="21"/>
              </w:rPr>
              <w:t>序号</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检验项目</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颜色</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细度</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粘度</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着色力</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附着牢度</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13217.7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耐光(四级)</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22771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耐热</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26461-2011/4.7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耐摩擦性</w:t>
            </w:r>
          </w:p>
        </w:tc>
        <w:tc>
          <w:tcPr>
            <w:tcW w:w="3828"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GB/T 26461-2011/4.8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可溶性锑</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可溶性钡</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可溶性砷</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可溶性镉</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可溶性铬</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可溶性铅</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可溶性汞</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可溶性硒</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bookmarkEnd w:id="0"/>
    </w:tbl>
    <w:p>
      <w:pPr>
        <w:adjustRightInd w:val="0"/>
        <w:snapToGrid w:val="0"/>
        <w:spacing w:line="440" w:lineRule="exact"/>
        <w:ind w:firstLine="420" w:firstLineChars="200"/>
        <w:rPr>
          <w:rFonts w:eastAsia="宋体"/>
          <w:color w:val="000000"/>
          <w:sz w:val="21"/>
          <w:szCs w:val="21"/>
        </w:rPr>
      </w:pPr>
      <w:r>
        <w:rPr>
          <w:rFonts w:hint="eastAsia" w:eastAsia="宋体"/>
          <w:color w:val="000000"/>
          <w:sz w:val="21"/>
          <w:szCs w:val="21"/>
        </w:rPr>
        <w:t>执行企业标准、团体标准、地方标准的产品，检验项目参照上述内容执行。</w:t>
      </w:r>
    </w:p>
    <w:p>
      <w:pPr>
        <w:adjustRightInd w:val="0"/>
        <w:snapToGrid w:val="0"/>
        <w:spacing w:line="440" w:lineRule="exact"/>
        <w:ind w:firstLine="420" w:firstLineChars="200"/>
        <w:rPr>
          <w:rFonts w:eastAsia="宋体"/>
          <w:color w:val="000000"/>
          <w:sz w:val="21"/>
          <w:szCs w:val="21"/>
        </w:rPr>
      </w:pPr>
      <w:r>
        <w:rPr>
          <w:rFonts w:hint="eastAsia" w:eastAsia="宋体"/>
          <w:color w:val="000000"/>
          <w:sz w:val="21"/>
          <w:szCs w:val="21"/>
        </w:rPr>
        <w:t>凡是注日期的文件，其随后所有的修改单（不包括勘误的内容）或修订版不适用于本细则。凡是不注日期的文件，其最新版本适用于本细则。</w:t>
      </w:r>
    </w:p>
    <w:p>
      <w:pPr>
        <w:spacing w:line="440" w:lineRule="exact"/>
        <w:rPr>
          <w:rFonts w:eastAsia="黑体"/>
          <w:color w:val="000000"/>
          <w:sz w:val="21"/>
          <w:szCs w:val="21"/>
        </w:rPr>
      </w:pPr>
    </w:p>
    <w:p>
      <w:pPr>
        <w:spacing w:line="440" w:lineRule="exact"/>
        <w:rPr>
          <w:rFonts w:eastAsia="黑体"/>
          <w:color w:val="000000"/>
          <w:sz w:val="21"/>
          <w:szCs w:val="21"/>
        </w:rPr>
      </w:pPr>
      <w:r>
        <w:rPr>
          <w:rFonts w:hint="eastAsia" w:eastAsia="黑体"/>
          <w:color w:val="000000"/>
          <w:sz w:val="21"/>
          <w:szCs w:val="21"/>
        </w:rPr>
        <w:t>3 判定规则</w:t>
      </w:r>
    </w:p>
    <w:p>
      <w:pPr>
        <w:snapToGrid w:val="0"/>
        <w:spacing w:line="440" w:lineRule="exact"/>
        <w:rPr>
          <w:rFonts w:eastAsia="宋体"/>
          <w:color w:val="000000"/>
          <w:sz w:val="21"/>
          <w:szCs w:val="21"/>
        </w:rPr>
      </w:pPr>
      <w:r>
        <w:rPr>
          <w:rFonts w:hint="eastAsia" w:eastAsia="宋体"/>
          <w:color w:val="000000"/>
          <w:sz w:val="21"/>
          <w:szCs w:val="21"/>
        </w:rPr>
        <w:t>3.1 依据标准</w:t>
      </w:r>
    </w:p>
    <w:p>
      <w:pPr>
        <w:snapToGrid w:val="0"/>
        <w:spacing w:line="440" w:lineRule="exact"/>
        <w:ind w:firstLine="420" w:firstLineChars="200"/>
        <w:rPr>
          <w:rFonts w:hint="eastAsia" w:eastAsia="宋体"/>
          <w:color w:val="000000"/>
          <w:sz w:val="21"/>
          <w:szCs w:val="21"/>
        </w:rPr>
      </w:pPr>
      <w:r>
        <w:rPr>
          <w:rFonts w:hint="eastAsia" w:eastAsia="宋体"/>
          <w:color w:val="000000"/>
          <w:sz w:val="21"/>
          <w:szCs w:val="21"/>
        </w:rPr>
        <w:t xml:space="preserve">QB/T 1046-2012凹版塑料薄膜表印油墨 </w:t>
      </w:r>
    </w:p>
    <w:p>
      <w:pPr>
        <w:snapToGrid w:val="0"/>
        <w:spacing w:line="440" w:lineRule="exact"/>
        <w:ind w:firstLine="420" w:firstLineChars="200"/>
        <w:rPr>
          <w:rFonts w:hint="eastAsia" w:eastAsia="宋体"/>
          <w:color w:val="000000"/>
          <w:sz w:val="21"/>
          <w:szCs w:val="21"/>
        </w:rPr>
      </w:pPr>
      <w:r>
        <w:rPr>
          <w:rFonts w:hint="eastAsia" w:eastAsia="宋体"/>
          <w:color w:val="000000"/>
          <w:sz w:val="21"/>
          <w:szCs w:val="21"/>
        </w:rPr>
        <w:t>QB/T 2024-2012凹版塑料薄膜复合油墨</w:t>
      </w:r>
    </w:p>
    <w:p>
      <w:pPr>
        <w:snapToGrid w:val="0"/>
        <w:spacing w:line="440" w:lineRule="exact"/>
        <w:ind w:firstLine="420" w:firstLineChars="200"/>
        <w:rPr>
          <w:rFonts w:hint="eastAsia" w:eastAsia="宋体"/>
          <w:color w:val="000000"/>
          <w:sz w:val="21"/>
          <w:szCs w:val="21"/>
        </w:rPr>
      </w:pPr>
      <w:r>
        <w:rPr>
          <w:rFonts w:hint="eastAsia" w:eastAsia="宋体"/>
          <w:color w:val="000000"/>
          <w:sz w:val="21"/>
          <w:szCs w:val="21"/>
        </w:rPr>
        <w:t>QB/T 2825-2017柔性版水性油墨</w:t>
      </w:r>
    </w:p>
    <w:p>
      <w:pPr>
        <w:snapToGrid w:val="0"/>
        <w:spacing w:line="440" w:lineRule="exact"/>
        <w:ind w:firstLine="420" w:firstLineChars="200"/>
        <w:rPr>
          <w:rFonts w:hint="eastAsia" w:eastAsia="宋体"/>
          <w:color w:val="000000"/>
          <w:sz w:val="21"/>
          <w:szCs w:val="21"/>
        </w:rPr>
      </w:pPr>
      <w:r>
        <w:rPr>
          <w:rFonts w:hint="eastAsia" w:eastAsia="宋体"/>
          <w:color w:val="000000"/>
          <w:sz w:val="21"/>
          <w:szCs w:val="21"/>
        </w:rPr>
        <w:t>QB/T 2624-2012单张纸胶印油墨</w:t>
      </w:r>
    </w:p>
    <w:p>
      <w:pPr>
        <w:snapToGrid w:val="0"/>
        <w:spacing w:line="440" w:lineRule="exact"/>
        <w:ind w:firstLine="420" w:firstLineChars="200"/>
        <w:rPr>
          <w:rFonts w:hint="eastAsia" w:eastAsia="宋体"/>
          <w:color w:val="000000"/>
          <w:sz w:val="21"/>
          <w:szCs w:val="21"/>
        </w:rPr>
      </w:pPr>
      <w:r>
        <w:rPr>
          <w:rFonts w:hint="eastAsia" w:eastAsia="宋体"/>
          <w:color w:val="000000"/>
          <w:sz w:val="21"/>
          <w:szCs w:val="21"/>
        </w:rPr>
        <w:t>QB/T 1865-2014胶印轮转冷固型油墨</w:t>
      </w:r>
    </w:p>
    <w:p>
      <w:pPr>
        <w:snapToGrid w:val="0"/>
        <w:spacing w:line="440" w:lineRule="exact"/>
        <w:ind w:firstLine="420" w:firstLineChars="200"/>
        <w:rPr>
          <w:rFonts w:hint="eastAsia" w:eastAsia="宋体"/>
          <w:color w:val="000000"/>
          <w:sz w:val="21"/>
          <w:szCs w:val="21"/>
        </w:rPr>
      </w:pPr>
      <w:r>
        <w:rPr>
          <w:rFonts w:hint="eastAsia" w:eastAsia="宋体"/>
          <w:color w:val="000000"/>
          <w:sz w:val="21"/>
          <w:szCs w:val="21"/>
        </w:rPr>
        <w:t>QB/T 2824-2017胶印热固着轮转油墨</w:t>
      </w:r>
    </w:p>
    <w:p>
      <w:pPr>
        <w:snapToGrid w:val="0"/>
        <w:spacing w:line="440" w:lineRule="exact"/>
        <w:ind w:firstLine="420" w:firstLineChars="200"/>
        <w:rPr>
          <w:rFonts w:hint="eastAsia" w:eastAsia="宋体"/>
          <w:color w:val="000000"/>
          <w:sz w:val="21"/>
          <w:szCs w:val="21"/>
        </w:rPr>
      </w:pPr>
      <w:r>
        <w:rPr>
          <w:rFonts w:hint="eastAsia" w:eastAsia="宋体"/>
          <w:color w:val="000000"/>
          <w:sz w:val="21"/>
          <w:szCs w:val="21"/>
        </w:rPr>
        <w:t xml:space="preserve">QB/T 2826-2017胶印紫外光固化油墨 </w:t>
      </w:r>
    </w:p>
    <w:p>
      <w:pPr>
        <w:snapToGrid w:val="0"/>
        <w:spacing w:line="440" w:lineRule="exact"/>
        <w:ind w:firstLine="420" w:firstLineChars="200"/>
        <w:rPr>
          <w:rFonts w:hint="eastAsia" w:eastAsia="宋体"/>
          <w:color w:val="000000"/>
          <w:sz w:val="21"/>
          <w:szCs w:val="21"/>
        </w:rPr>
      </w:pPr>
      <w:r>
        <w:rPr>
          <w:rFonts w:hint="eastAsia" w:eastAsia="宋体"/>
          <w:color w:val="000000"/>
          <w:sz w:val="21"/>
          <w:szCs w:val="21"/>
        </w:rPr>
        <w:t>QB/T 4103-2010水性凹版塑料薄膜表印油墨</w:t>
      </w:r>
    </w:p>
    <w:p>
      <w:pPr>
        <w:snapToGrid w:val="0"/>
        <w:spacing w:line="440" w:lineRule="exact"/>
        <w:ind w:firstLine="420" w:firstLineChars="200"/>
        <w:rPr>
          <w:rFonts w:hint="eastAsia" w:eastAsia="宋体"/>
          <w:color w:val="000000"/>
          <w:sz w:val="21"/>
          <w:szCs w:val="21"/>
        </w:rPr>
      </w:pPr>
      <w:r>
        <w:rPr>
          <w:rFonts w:hint="eastAsia" w:eastAsia="宋体"/>
          <w:color w:val="000000"/>
          <w:sz w:val="21"/>
          <w:szCs w:val="21"/>
        </w:rPr>
        <w:t>GB/T 26394-2011水性薄膜凹印复合油墨</w:t>
      </w:r>
    </w:p>
    <w:p>
      <w:pPr>
        <w:snapToGrid w:val="0"/>
        <w:spacing w:line="440" w:lineRule="exact"/>
        <w:ind w:firstLine="420" w:firstLineChars="200"/>
        <w:rPr>
          <w:rFonts w:hint="eastAsia" w:eastAsia="宋体"/>
          <w:color w:val="000000"/>
          <w:sz w:val="21"/>
          <w:szCs w:val="21"/>
        </w:rPr>
      </w:pPr>
      <w:r>
        <w:rPr>
          <w:rFonts w:hint="eastAsia" w:eastAsia="宋体"/>
          <w:color w:val="000000"/>
          <w:sz w:val="21"/>
          <w:szCs w:val="21"/>
        </w:rPr>
        <w:t>GB/T 26395-2011水性烟包凹印油墨</w:t>
      </w:r>
    </w:p>
    <w:p>
      <w:pPr>
        <w:snapToGrid w:val="0"/>
        <w:spacing w:line="440" w:lineRule="exact"/>
        <w:ind w:firstLine="420" w:firstLineChars="200"/>
        <w:rPr>
          <w:rFonts w:hint="eastAsia" w:eastAsia="宋体"/>
          <w:color w:val="000000"/>
          <w:sz w:val="21"/>
          <w:szCs w:val="21"/>
        </w:rPr>
      </w:pPr>
      <w:r>
        <w:rPr>
          <w:rFonts w:hint="eastAsia" w:eastAsia="宋体"/>
          <w:color w:val="000000"/>
          <w:sz w:val="21"/>
          <w:szCs w:val="21"/>
        </w:rPr>
        <w:t>GB/T 26461-2011纸张凹印油墨</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现行有效的企业标准和产品明示指标或其他相适应的产品标准。</w:t>
      </w:r>
    </w:p>
    <w:p>
      <w:pPr>
        <w:snapToGrid w:val="0"/>
        <w:spacing w:line="440" w:lineRule="exact"/>
        <w:rPr>
          <w:rFonts w:eastAsia="宋体"/>
          <w:color w:val="000000"/>
          <w:sz w:val="21"/>
          <w:szCs w:val="21"/>
        </w:rPr>
      </w:pPr>
      <w:r>
        <w:rPr>
          <w:rFonts w:hint="eastAsia" w:eastAsia="宋体"/>
          <w:color w:val="000000"/>
          <w:sz w:val="21"/>
          <w:szCs w:val="21"/>
        </w:rPr>
        <w:t>3.2 判定原则</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经检验，检验项目全部合格，判定为被抽查产品所检项目未发现不合格；检验项目中任一项或一项以上不合格，判定为被抽查产品不合格。</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若被检产品明示的质量要求高于本细则中检验项目依据的标准要求时，应按被检产品明示的质量要求判定；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若被检产品明示的质量要求低于本细则中检验项目依据的强制性标准要求时，应按照强制性标准要求判定；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若被检产品明示的质量要求低于或包含本细则中检验项目依据的推荐性标准要求时，应以被检产品明示的质量要求判定；如相应检验结果不符合相关推荐性标准要求时，应在检验报告中予以说明；</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若被检产品明示的质量要求缺少本细则中检验项目依据的强制性标准要求时，应按照强制性标准要求判定；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若被检产品明示的质量要求缺少本细则中检验项目依据的推荐性标准要求时，该项目不参与判定，但应在检验报告中作出说明；</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当被检样品未能提供有效的企业标准时，按相关国家或行业标准进行判定。</w:t>
      </w:r>
    </w:p>
    <w:sectPr>
      <w:pgSz w:w="11906" w:h="16838"/>
      <w:pgMar w:top="2041" w:right="1531" w:bottom="204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23EB9"/>
    <w:rsid w:val="00025243"/>
    <w:rsid w:val="0003501F"/>
    <w:rsid w:val="00080074"/>
    <w:rsid w:val="00080B45"/>
    <w:rsid w:val="000A5AE2"/>
    <w:rsid w:val="000F579D"/>
    <w:rsid w:val="00106A76"/>
    <w:rsid w:val="00124879"/>
    <w:rsid w:val="00132DBF"/>
    <w:rsid w:val="00143F33"/>
    <w:rsid w:val="00152AF1"/>
    <w:rsid w:val="00152C63"/>
    <w:rsid w:val="0018045B"/>
    <w:rsid w:val="00192409"/>
    <w:rsid w:val="001C37A1"/>
    <w:rsid w:val="001D16D8"/>
    <w:rsid w:val="001D5FC1"/>
    <w:rsid w:val="001E25CD"/>
    <w:rsid w:val="001F3F23"/>
    <w:rsid w:val="001F4CD2"/>
    <w:rsid w:val="00201AA7"/>
    <w:rsid w:val="00212B84"/>
    <w:rsid w:val="0023033B"/>
    <w:rsid w:val="00246256"/>
    <w:rsid w:val="002724DE"/>
    <w:rsid w:val="002A64B6"/>
    <w:rsid w:val="00301072"/>
    <w:rsid w:val="00332057"/>
    <w:rsid w:val="00335206"/>
    <w:rsid w:val="00342176"/>
    <w:rsid w:val="00373DCF"/>
    <w:rsid w:val="003B11C0"/>
    <w:rsid w:val="003B2A4D"/>
    <w:rsid w:val="003B5B67"/>
    <w:rsid w:val="003B6CED"/>
    <w:rsid w:val="003C45BD"/>
    <w:rsid w:val="003C6E53"/>
    <w:rsid w:val="00454E06"/>
    <w:rsid w:val="004805EF"/>
    <w:rsid w:val="004D3EDB"/>
    <w:rsid w:val="00502214"/>
    <w:rsid w:val="00544273"/>
    <w:rsid w:val="005462F5"/>
    <w:rsid w:val="00567951"/>
    <w:rsid w:val="00580ADD"/>
    <w:rsid w:val="0059343D"/>
    <w:rsid w:val="00594D01"/>
    <w:rsid w:val="005A280B"/>
    <w:rsid w:val="005F1F85"/>
    <w:rsid w:val="005F3C99"/>
    <w:rsid w:val="00605167"/>
    <w:rsid w:val="00607628"/>
    <w:rsid w:val="00621D06"/>
    <w:rsid w:val="006328F4"/>
    <w:rsid w:val="00676C9F"/>
    <w:rsid w:val="006A6233"/>
    <w:rsid w:val="006C1A91"/>
    <w:rsid w:val="007201A8"/>
    <w:rsid w:val="00721D53"/>
    <w:rsid w:val="00730C35"/>
    <w:rsid w:val="00766BE5"/>
    <w:rsid w:val="00771A12"/>
    <w:rsid w:val="007A417F"/>
    <w:rsid w:val="007B07E0"/>
    <w:rsid w:val="007C2B84"/>
    <w:rsid w:val="007D08B7"/>
    <w:rsid w:val="007D4367"/>
    <w:rsid w:val="0081385A"/>
    <w:rsid w:val="00827163"/>
    <w:rsid w:val="00835548"/>
    <w:rsid w:val="0088496F"/>
    <w:rsid w:val="00890D4A"/>
    <w:rsid w:val="008936CB"/>
    <w:rsid w:val="00896D4C"/>
    <w:rsid w:val="008A1EE8"/>
    <w:rsid w:val="008E41E4"/>
    <w:rsid w:val="008F073E"/>
    <w:rsid w:val="008F2077"/>
    <w:rsid w:val="00903E73"/>
    <w:rsid w:val="00905B12"/>
    <w:rsid w:val="00914BA9"/>
    <w:rsid w:val="0091626D"/>
    <w:rsid w:val="00916737"/>
    <w:rsid w:val="00995524"/>
    <w:rsid w:val="00A13D1F"/>
    <w:rsid w:val="00A2577D"/>
    <w:rsid w:val="00A32074"/>
    <w:rsid w:val="00A53ABD"/>
    <w:rsid w:val="00A83DB2"/>
    <w:rsid w:val="00A85699"/>
    <w:rsid w:val="00A96512"/>
    <w:rsid w:val="00AA01A9"/>
    <w:rsid w:val="00AD40E0"/>
    <w:rsid w:val="00B47C68"/>
    <w:rsid w:val="00B53BE9"/>
    <w:rsid w:val="00B70AFC"/>
    <w:rsid w:val="00B7170E"/>
    <w:rsid w:val="00BA7662"/>
    <w:rsid w:val="00C43B6B"/>
    <w:rsid w:val="00C8096D"/>
    <w:rsid w:val="00C852C1"/>
    <w:rsid w:val="00CA727A"/>
    <w:rsid w:val="00CC61AB"/>
    <w:rsid w:val="00CC7344"/>
    <w:rsid w:val="00CD1ED6"/>
    <w:rsid w:val="00CE3AFC"/>
    <w:rsid w:val="00CE6411"/>
    <w:rsid w:val="00D23A78"/>
    <w:rsid w:val="00D40A1D"/>
    <w:rsid w:val="00D54FBA"/>
    <w:rsid w:val="00D9029B"/>
    <w:rsid w:val="00D92A3B"/>
    <w:rsid w:val="00D959C7"/>
    <w:rsid w:val="00DE47AB"/>
    <w:rsid w:val="00E03361"/>
    <w:rsid w:val="00E33DCF"/>
    <w:rsid w:val="00E66C92"/>
    <w:rsid w:val="00E86333"/>
    <w:rsid w:val="00EA30C7"/>
    <w:rsid w:val="00EC1E00"/>
    <w:rsid w:val="00EF7643"/>
    <w:rsid w:val="00EF7DAC"/>
    <w:rsid w:val="00F0762F"/>
    <w:rsid w:val="00F12B69"/>
    <w:rsid w:val="00F6328D"/>
    <w:rsid w:val="00F70B5E"/>
    <w:rsid w:val="00F71920"/>
    <w:rsid w:val="00F7475F"/>
    <w:rsid w:val="00FA4278"/>
    <w:rsid w:val="00FB0D66"/>
    <w:rsid w:val="04C96CB1"/>
    <w:rsid w:val="0679257F"/>
    <w:rsid w:val="0A661326"/>
    <w:rsid w:val="0BFE0085"/>
    <w:rsid w:val="14A811C1"/>
    <w:rsid w:val="14B22FC0"/>
    <w:rsid w:val="14C94D0F"/>
    <w:rsid w:val="14DC4A04"/>
    <w:rsid w:val="18815DFF"/>
    <w:rsid w:val="1B0B03E1"/>
    <w:rsid w:val="1CB03ADB"/>
    <w:rsid w:val="1E2462E4"/>
    <w:rsid w:val="20EC42E8"/>
    <w:rsid w:val="2C8B1EB6"/>
    <w:rsid w:val="2E22383C"/>
    <w:rsid w:val="2F9F2AED"/>
    <w:rsid w:val="33305070"/>
    <w:rsid w:val="362F7A57"/>
    <w:rsid w:val="38F16460"/>
    <w:rsid w:val="3EA63DA8"/>
    <w:rsid w:val="3F736EC6"/>
    <w:rsid w:val="41C40667"/>
    <w:rsid w:val="434F0216"/>
    <w:rsid w:val="4570602F"/>
    <w:rsid w:val="47390F89"/>
    <w:rsid w:val="499F5EBD"/>
    <w:rsid w:val="49C9475C"/>
    <w:rsid w:val="4B10284A"/>
    <w:rsid w:val="4B5B1C0F"/>
    <w:rsid w:val="4BAA09C7"/>
    <w:rsid w:val="510F468F"/>
    <w:rsid w:val="53CD6333"/>
    <w:rsid w:val="572A45B5"/>
    <w:rsid w:val="57455456"/>
    <w:rsid w:val="582C61F0"/>
    <w:rsid w:val="597EF09C"/>
    <w:rsid w:val="5B3B30A1"/>
    <w:rsid w:val="5C722673"/>
    <w:rsid w:val="5C9E77E6"/>
    <w:rsid w:val="5F2909A2"/>
    <w:rsid w:val="5FFF8A06"/>
    <w:rsid w:val="5FFFE8FB"/>
    <w:rsid w:val="60957AA9"/>
    <w:rsid w:val="60CC0484"/>
    <w:rsid w:val="624E1047"/>
    <w:rsid w:val="62671E79"/>
    <w:rsid w:val="669037FA"/>
    <w:rsid w:val="6A3E7729"/>
    <w:rsid w:val="6BDDE100"/>
    <w:rsid w:val="6F736536"/>
    <w:rsid w:val="6FD76FBB"/>
    <w:rsid w:val="71FE3C3E"/>
    <w:rsid w:val="7881476A"/>
    <w:rsid w:val="7A9B3937"/>
    <w:rsid w:val="7AAC0AF2"/>
    <w:rsid w:val="7BB5A437"/>
    <w:rsid w:val="7C546201"/>
    <w:rsid w:val="7CEC7AF9"/>
    <w:rsid w:val="7EBB42C0"/>
    <w:rsid w:val="7EC20718"/>
    <w:rsid w:val="7FEF5186"/>
    <w:rsid w:val="B9CB67E5"/>
    <w:rsid w:val="BFAFAB5F"/>
    <w:rsid w:val="CBE20EA3"/>
    <w:rsid w:val="CF6F6715"/>
    <w:rsid w:val="D7BB258B"/>
    <w:rsid w:val="DFFBBB33"/>
    <w:rsid w:val="E7D7033B"/>
    <w:rsid w:val="F91D87E0"/>
    <w:rsid w:val="FA6E1E4E"/>
    <w:rsid w:val="FADE3DD2"/>
    <w:rsid w:val="FF7FB93C"/>
    <w:rsid w:val="FFEDF7F7"/>
    <w:rsid w:val="FFFF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qFormat/>
    <w:uiPriority w:val="0"/>
    <w:rPr>
      <w:sz w:val="18"/>
      <w:szCs w:val="1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eastAsia="仿宋_GB2312"/>
      <w:kern w:val="2"/>
      <w:sz w:val="18"/>
      <w:szCs w:val="18"/>
    </w:rPr>
  </w:style>
  <w:style w:type="character" w:customStyle="1" w:styleId="9">
    <w:name w:val="页脚 Char"/>
    <w:basedOn w:val="7"/>
    <w:link w:val="4"/>
    <w:qFormat/>
    <w:uiPriority w:val="0"/>
    <w:rPr>
      <w:rFonts w:eastAsia="仿宋_GB2312"/>
      <w:kern w:val="2"/>
      <w:sz w:val="18"/>
      <w:szCs w:val="18"/>
    </w:rPr>
  </w:style>
  <w:style w:type="character" w:customStyle="1" w:styleId="10">
    <w:name w:val="批注框文本 Char"/>
    <w:basedOn w:val="7"/>
    <w:link w:val="3"/>
    <w:qFormat/>
    <w:uiPriority w:val="0"/>
    <w:rPr>
      <w:rFonts w:eastAsia="仿宋_GB2312"/>
      <w:kern w:val="2"/>
      <w:sz w:val="18"/>
      <w:szCs w:val="18"/>
    </w:rPr>
  </w:style>
  <w:style w:type="paragraph" w:styleId="11">
    <w:name w:val="List Paragraph"/>
    <w:basedOn w:val="1"/>
    <w:unhideWhenUsed/>
    <w:qFormat/>
    <w:uiPriority w:val="99"/>
    <w:pPr>
      <w:ind w:firstLine="420" w:firstLineChars="200"/>
    </w:p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737</Words>
  <Characters>4203</Characters>
  <Lines>35</Lines>
  <Paragraphs>9</Paragraphs>
  <TotalTime>36</TotalTime>
  <ScaleCrop>false</ScaleCrop>
  <LinksUpToDate>false</LinksUpToDate>
  <CharactersWithSpaces>4931</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2024-06-18T17:58:00Z</dcterms:created>
  <dc:creator>HO(∩_∩)O</dc:creator>
  <cp:lastModifiedBy>admin1</cp:lastModifiedBy>
  <dcterms:modified xsi:type="dcterms:W3CDTF">2024-06-21T14:22:50Z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55D4D67DD2C946C79E1F7BA1ECF4A3B9</vt:lpwstr>
  </property>
</Properties>
</file>