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打印机产品质量监督抽查实施细则</w:t>
      </w:r>
    </w:p>
    <w:p>
      <w:pPr>
        <w:spacing w:line="520" w:lineRule="exact"/>
        <w:ind w:firstLine="880" w:firstLineChars="200"/>
        <w:jc w:val="left"/>
        <w:rPr>
          <w:rFonts w:eastAsia="方正小标宋简体" w:cs="方正小标宋简体"/>
          <w:color w:val="000000"/>
          <w:sz w:val="44"/>
          <w:szCs w:val="44"/>
        </w:rPr>
      </w:pPr>
      <w:bookmarkStart w:id="0" w:name="_GoBack"/>
      <w:bookmarkEnd w:id="0"/>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4台</w:t>
      </w:r>
      <w:r>
        <w:rPr>
          <w:rFonts w:eastAsia="宋体"/>
          <w:color w:val="000000"/>
          <w:sz w:val="21"/>
          <w:szCs w:val="21"/>
        </w:rPr>
        <w:t>，其中</w:t>
      </w:r>
      <w:r>
        <w:rPr>
          <w:rFonts w:hint="eastAsia" w:eastAsia="宋体"/>
          <w:color w:val="000000"/>
          <w:sz w:val="21"/>
          <w:szCs w:val="21"/>
        </w:rPr>
        <w:t>2台</w:t>
      </w:r>
      <w:r>
        <w:rPr>
          <w:rFonts w:eastAsia="宋体"/>
          <w:color w:val="000000"/>
          <w:sz w:val="21"/>
          <w:szCs w:val="21"/>
        </w:rPr>
        <w:t>作为检验样品，2</w:t>
      </w:r>
      <w:r>
        <w:rPr>
          <w:rFonts w:hint="eastAsia" w:eastAsia="宋体"/>
          <w:color w:val="000000"/>
          <w:sz w:val="21"/>
          <w:szCs w:val="21"/>
        </w:rPr>
        <w:t>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设计</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外观及结构</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打印特性</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印品质量</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接口</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告警</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自检</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电源适应性</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噪声</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能效</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17540-2017条款4.10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电能量源的分级和限值</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电能量源的防护</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电气间隙</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爬电距离</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15</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作为附加安全防护一部分的内部导线的绝缘</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16</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抗电强度试验</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17</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断开连接器后电容器的放电</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18</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保护连接系统的电阻</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19</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预期的接触电压、接触电流和保护导体电流</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20</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电源端子骚扰电压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21</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电信端口传导共模骚扰电压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22</w:t>
            </w:r>
          </w:p>
        </w:tc>
        <w:tc>
          <w:tcPr>
            <w:tcW w:w="2159" w:type="pct"/>
            <w:vAlign w:val="center"/>
          </w:tcPr>
          <w:p>
            <w:pPr>
              <w:widowControl/>
              <w:spacing w:line="340" w:lineRule="exact"/>
              <w:jc w:val="center"/>
              <w:rPr>
                <w:rFonts w:eastAsia="宋体"/>
                <w:color w:val="000000"/>
                <w:sz w:val="21"/>
                <w:szCs w:val="21"/>
              </w:rPr>
            </w:pPr>
            <w:r>
              <w:rPr>
                <w:rFonts w:hint="eastAsia" w:eastAsia="宋体"/>
                <w:color w:val="000000"/>
                <w:sz w:val="21"/>
                <w:szCs w:val="21"/>
              </w:rPr>
              <w:t>辐射骚扰（1GHz以下）</w:t>
            </w:r>
          </w:p>
        </w:tc>
        <w:tc>
          <w:tcPr>
            <w:tcW w:w="2389" w:type="pct"/>
            <w:vAlign w:val="center"/>
          </w:tcPr>
          <w:p>
            <w:pPr>
              <w:snapToGrid w:val="0"/>
              <w:jc w:val="center"/>
              <w:rPr>
                <w:rFonts w:eastAsia="宋体"/>
                <w:color w:val="000000"/>
                <w:sz w:val="21"/>
                <w:szCs w:val="21"/>
              </w:rPr>
            </w:pPr>
            <w:r>
              <w:rPr>
                <w:rFonts w:hint="eastAsia" w:eastAsia="宋体"/>
                <w:color w:val="00000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23</w:t>
            </w:r>
          </w:p>
        </w:tc>
        <w:tc>
          <w:tcPr>
            <w:tcW w:w="2159" w:type="pct"/>
            <w:vAlign w:val="center"/>
          </w:tcPr>
          <w:p>
            <w:pPr>
              <w:widowControl/>
              <w:spacing w:line="340" w:lineRule="exact"/>
              <w:jc w:val="center"/>
              <w:rPr>
                <w:rFonts w:eastAsia="宋体"/>
                <w:color w:val="000000"/>
                <w:sz w:val="21"/>
                <w:szCs w:val="21"/>
              </w:rPr>
            </w:pPr>
            <w:r>
              <w:rPr>
                <w:rFonts w:eastAsia="宋体"/>
                <w:color w:val="000000"/>
                <w:sz w:val="21"/>
                <w:szCs w:val="21"/>
              </w:rPr>
              <w:t>谐波电流</w:t>
            </w:r>
          </w:p>
        </w:tc>
        <w:tc>
          <w:tcPr>
            <w:tcW w:w="2389" w:type="pct"/>
            <w:vAlign w:val="center"/>
          </w:tcPr>
          <w:p>
            <w:pPr>
              <w:widowControl/>
              <w:spacing w:line="340" w:lineRule="exact"/>
              <w:jc w:val="center"/>
              <w:rPr>
                <w:rFonts w:eastAsia="宋体"/>
                <w:color w:val="000000"/>
                <w:sz w:val="21"/>
                <w:szCs w:val="21"/>
              </w:rPr>
            </w:pPr>
            <w:r>
              <w:rPr>
                <w:rFonts w:eastAsia="宋体"/>
                <w:color w:val="000000"/>
                <w:sz w:val="21"/>
                <w:szCs w:val="21"/>
              </w:rPr>
              <w:t>GB 17625.1-2012</w:t>
            </w:r>
          </w:p>
          <w:p>
            <w:pPr>
              <w:widowControl/>
              <w:spacing w:line="340" w:lineRule="exact"/>
              <w:jc w:val="center"/>
              <w:rPr>
                <w:rFonts w:eastAsia="宋体"/>
                <w:color w:val="000000"/>
                <w:sz w:val="21"/>
                <w:szCs w:val="21"/>
              </w:rPr>
            </w:pPr>
            <w:r>
              <w:rPr>
                <w:rFonts w:eastAsia="宋体"/>
                <w:color w:val="000000"/>
                <w:sz w:val="21"/>
                <w:szCs w:val="21"/>
              </w:rPr>
              <w:t>GB 17625.1-2022</w:t>
            </w:r>
          </w:p>
        </w:tc>
      </w:tr>
    </w:tbl>
    <w:p>
      <w:pPr>
        <w:adjustRightInd w:val="0"/>
        <w:snapToGrid w:val="0"/>
        <w:spacing w:line="580" w:lineRule="exact"/>
        <w:jc w:val="left"/>
        <w:rPr>
          <w:rFonts w:eastAsia="宋体"/>
          <w:color w:val="000000"/>
          <w:sz w:val="21"/>
          <w:szCs w:val="21"/>
        </w:rPr>
      </w:pPr>
      <w:r>
        <w:rPr>
          <w:rFonts w:hint="eastAsia" w:eastAsia="宋体"/>
          <w:color w:val="000000"/>
          <w:sz w:val="21"/>
          <w:szCs w:val="21"/>
        </w:rPr>
        <w:t>注：</w:t>
      </w:r>
      <w:r>
        <w:rPr>
          <w:rFonts w:eastAsia="宋体"/>
          <w:color w:val="000000"/>
          <w:sz w:val="21"/>
          <w:szCs w:val="21"/>
        </w:rPr>
        <w:t xml:space="preserve"> </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检验项目1～10只适用于台式激光打印机。</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1.强制性标准:</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GB 4943.1-2022 《音视频、信息技术和通信技术设备 第1部分：安全要求》</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GB 17625.1-2012《电磁兼容 限值 谐波电流发射限值（设备每相输入电流≤16A）》</w:t>
      </w:r>
    </w:p>
    <w:p>
      <w:pPr>
        <w:widowControl/>
        <w:spacing w:line="600" w:lineRule="exact"/>
        <w:ind w:firstLine="420" w:firstLineChars="200"/>
        <w:jc w:val="left"/>
        <w:rPr>
          <w:rFonts w:eastAsia="宋体"/>
          <w:color w:val="000000"/>
          <w:sz w:val="21"/>
          <w:szCs w:val="21"/>
        </w:rPr>
      </w:pPr>
      <w:r>
        <w:rPr>
          <w:rFonts w:eastAsia="宋体"/>
          <w:color w:val="000000"/>
          <w:sz w:val="21"/>
          <w:szCs w:val="21"/>
        </w:rPr>
        <w:t>GB 17625.1—2022 电磁兼容 限值  第1部分：谐波电流发射限值（设备每相输入电流≤16A）</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2.推荐性标准:</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GB/T 9254.1-2021《信息技术设备、多媒体设备和接收机 电磁兼容 第1部分：发射要求》</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C2912"/>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31D2"/>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DA4E309"/>
    <w:rsid w:val="B3BB070E"/>
    <w:rsid w:val="BCD77056"/>
    <w:rsid w:val="F2C7E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260</Words>
  <Characters>1488</Characters>
  <Lines>12</Lines>
  <Paragraphs>3</Paragraphs>
  <TotalTime>0</TotalTime>
  <ScaleCrop>false</ScaleCrop>
  <LinksUpToDate>false</LinksUpToDate>
  <CharactersWithSpaces>1745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2024-06-18T11:13:00Z</dcterms:created>
  <dc:creator>微软用户</dc:creator>
  <cp:lastModifiedBy>admin1</cp:lastModifiedBy>
  <dcterms:modified xsi:type="dcterms:W3CDTF">2024-06-21T11:39:40Z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