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pacing w:line="579" w:lineRule="exact"/>
        <w:jc w:val="both"/>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w:t>
      </w:r>
    </w:p>
    <w:p>
      <w:pPr>
        <w:pStyle w:val="13"/>
        <w:spacing w:line="579" w:lineRule="exact"/>
        <w:jc w:val="center"/>
        <w:rPr>
          <w:rFonts w:hint="eastAsia" w:ascii="方正小标宋简体" w:hAnsi="仿宋" w:eastAsia="方正小标宋简体" w:cs="仿宋"/>
          <w:bCs/>
          <w:sz w:val="44"/>
          <w:szCs w:val="44"/>
          <w:lang w:val="en-US" w:eastAsia="zh-CN"/>
        </w:rPr>
      </w:pPr>
    </w:p>
    <w:p>
      <w:pPr>
        <w:pStyle w:val="13"/>
        <w:spacing w:line="579" w:lineRule="exact"/>
        <w:jc w:val="center"/>
        <w:rPr>
          <w:rFonts w:hint="eastAsia" w:ascii="方正小标宋简体" w:hAnsi="仿宋" w:eastAsia="方正小标宋简体" w:cs="仿宋"/>
          <w:bCs/>
          <w:sz w:val="44"/>
          <w:szCs w:val="44"/>
          <w:lang w:val="en-US" w:eastAsia="zh-CN"/>
        </w:rPr>
      </w:pPr>
      <w:r>
        <w:rPr>
          <w:rFonts w:hint="eastAsia" w:ascii="方正小标宋简体" w:hAnsi="仿宋" w:eastAsia="方正小标宋简体" w:cs="仿宋"/>
          <w:bCs/>
          <w:sz w:val="44"/>
          <w:szCs w:val="44"/>
          <w:lang w:val="en-US" w:eastAsia="zh-CN"/>
        </w:rPr>
        <w:t>珠海市供水环境可持续性评价指标</w:t>
      </w:r>
    </w:p>
    <w:p>
      <w:pPr>
        <w:pStyle w:val="13"/>
        <w:spacing w:line="579" w:lineRule="exact"/>
        <w:jc w:val="center"/>
        <w:rPr>
          <w:rFonts w:hint="default" w:ascii="方正小标宋简体" w:hAnsi="仿宋" w:eastAsia="方正小标宋简体" w:cs="仿宋"/>
          <w:bCs/>
          <w:sz w:val="44"/>
          <w:szCs w:val="44"/>
          <w:lang w:val="en-US" w:eastAsia="zh-CN"/>
        </w:rPr>
      </w:pPr>
      <w:r>
        <w:rPr>
          <w:rFonts w:hint="eastAsia" w:ascii="方正小标宋简体" w:hAnsi="仿宋" w:eastAsia="方正小标宋简体" w:cs="仿宋"/>
          <w:bCs/>
          <w:sz w:val="44"/>
          <w:szCs w:val="44"/>
          <w:lang w:val="en-US" w:eastAsia="zh-CN"/>
        </w:rPr>
        <w:t>及其计算方法</w:t>
      </w:r>
    </w:p>
    <w:p>
      <w:pPr>
        <w:keepNext w:val="0"/>
        <w:keepLines w:val="0"/>
        <w:pageBreakBefore w:val="0"/>
        <w:kinsoku/>
        <w:wordWrap/>
        <w:overflowPunct/>
        <w:topLinePunct w:val="0"/>
        <w:autoSpaceDE/>
        <w:autoSpaceDN/>
        <w:bidi w:val="0"/>
        <w:adjustRightInd/>
        <w:snapToGrid/>
        <w:spacing w:line="579" w:lineRule="exact"/>
        <w:jc w:val="center"/>
        <w:rPr>
          <w:rFonts w:hint="eastAsia" w:ascii="仿宋" w:hAnsi="仿宋" w:eastAsia="仿宋" w:cs="仿宋"/>
          <w:sz w:val="44"/>
          <w:szCs w:val="44"/>
          <w:lang w:val="en-US" w:eastAsia="zh-CN"/>
        </w:rPr>
      </w:pPr>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供水环境可持续性评价对象为珠海市各区供水行业主管部门和供水企业</w:t>
      </w:r>
      <w:bookmarkStart w:id="0" w:name="_GoBack"/>
      <w:bookmarkEnd w:id="0"/>
      <w:r>
        <w:rPr>
          <w:rFonts w:hint="eastAsia" w:ascii="仿宋_GB2312" w:hAnsi="仿宋_GB2312" w:eastAsia="仿宋_GB2312" w:cs="仿宋_GB2312"/>
          <w:kern w:val="0"/>
          <w:sz w:val="32"/>
          <w:szCs w:val="32"/>
          <w:lang w:val="en-US" w:eastAsia="zh-CN" w:bidi="ar"/>
        </w:rPr>
        <w:t>，每半度评价一次，</w:t>
      </w:r>
      <w:r>
        <w:rPr>
          <w:rFonts w:hint="eastAsia" w:ascii="仿宋_GB2312" w:hAnsi="仿宋_GB2312" w:eastAsia="仿宋_GB2312" w:cs="仿宋_GB2312"/>
          <w:sz w:val="32"/>
          <w:szCs w:val="32"/>
          <w:lang w:val="en-US" w:eastAsia="zh-CN"/>
        </w:rPr>
        <w:t>评价结果向社会公布</w:t>
      </w:r>
      <w:r>
        <w:rPr>
          <w:rFonts w:hint="eastAsia" w:ascii="仿宋_GB2312" w:hAnsi="仿宋_GB2312" w:eastAsia="仿宋_GB2312" w:cs="仿宋_GB2312"/>
          <w:kern w:val="0"/>
          <w:sz w:val="32"/>
          <w:szCs w:val="32"/>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b w:val="0"/>
          <w:bCs w:val="0"/>
          <w:sz w:val="32"/>
          <w:szCs w:val="32"/>
          <w:lang w:val="en-US" w:eastAsia="zh-CN"/>
        </w:rPr>
        <w:t>一、评价指标</w:t>
      </w:r>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评价指标分为水源、供水厂、市政管网、用户端四个分类，各分类下的评价指标及权重如表1所示。</w:t>
      </w:r>
    </w:p>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表 </w:t>
      </w:r>
      <w:r>
        <w:rPr>
          <w:rFonts w:hint="eastAsia" w:ascii="仿宋_GB2312" w:hAnsi="仿宋_GB2312" w:eastAsia="仿宋_GB2312" w:cs="仿宋_GB2312"/>
          <w:kern w:val="0"/>
          <w:sz w:val="32"/>
          <w:szCs w:val="32"/>
          <w:lang w:val="en-US" w:eastAsia="zh-CN" w:bidi="ar"/>
        </w:rPr>
        <w:fldChar w:fldCharType="begin"/>
      </w:r>
      <w:r>
        <w:rPr>
          <w:rFonts w:hint="eastAsia" w:ascii="仿宋_GB2312" w:hAnsi="仿宋_GB2312" w:eastAsia="仿宋_GB2312" w:cs="仿宋_GB2312"/>
          <w:kern w:val="0"/>
          <w:sz w:val="32"/>
          <w:szCs w:val="32"/>
          <w:lang w:val="en-US" w:eastAsia="zh-CN" w:bidi="ar"/>
        </w:rPr>
        <w:instrText xml:space="preserve"> SEQ 表 \* ARABIC </w:instrText>
      </w:r>
      <w:r>
        <w:rPr>
          <w:rFonts w:hint="eastAsia" w:ascii="仿宋_GB2312" w:hAnsi="仿宋_GB2312" w:eastAsia="仿宋_GB2312" w:cs="仿宋_GB2312"/>
          <w:kern w:val="0"/>
          <w:sz w:val="32"/>
          <w:szCs w:val="32"/>
          <w:lang w:val="en-US" w:eastAsia="zh-CN" w:bidi="ar"/>
        </w:rPr>
        <w:fldChar w:fldCharType="separate"/>
      </w:r>
      <w:r>
        <w:rPr>
          <w:rFonts w:hint="eastAsia" w:ascii="仿宋_GB2312" w:hAnsi="仿宋_GB2312" w:eastAsia="仿宋_GB2312" w:cs="仿宋_GB2312"/>
          <w:kern w:val="0"/>
          <w:sz w:val="32"/>
          <w:szCs w:val="32"/>
          <w:lang w:val="en-US" w:eastAsia="zh-CN" w:bidi="ar"/>
        </w:rPr>
        <w:t>1</w:t>
      </w:r>
      <w:r>
        <w:rPr>
          <w:rFonts w:hint="eastAsia" w:ascii="仿宋_GB2312" w:hAnsi="仿宋_GB2312" w:eastAsia="仿宋_GB2312" w:cs="仿宋_GB2312"/>
          <w:kern w:val="0"/>
          <w:sz w:val="32"/>
          <w:szCs w:val="32"/>
          <w:lang w:val="en-US" w:eastAsia="zh-CN" w:bidi="ar"/>
        </w:rPr>
        <w:fldChar w:fldCharType="end"/>
      </w:r>
      <w:r>
        <w:rPr>
          <w:rFonts w:hint="eastAsia" w:ascii="仿宋_GB2312" w:hAnsi="仿宋_GB2312" w:eastAsia="仿宋_GB2312" w:cs="仿宋_GB2312"/>
          <w:kern w:val="0"/>
          <w:sz w:val="32"/>
          <w:szCs w:val="32"/>
          <w:lang w:val="en-US" w:eastAsia="zh-CN" w:bidi="ar"/>
        </w:rPr>
        <w:t>供水环境可持续性评价指标及其权重</w:t>
      </w:r>
    </w:p>
    <w:tbl>
      <w:tblPr>
        <w:tblStyle w:val="7"/>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2"/>
        <w:gridCol w:w="4959"/>
        <w:gridCol w:w="13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类别名称</w:t>
            </w:r>
          </w:p>
        </w:tc>
        <w:tc>
          <w:tcPr>
            <w:tcW w:w="2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评价指标名称</w:t>
            </w:r>
          </w:p>
        </w:tc>
        <w:tc>
          <w:tcPr>
            <w:tcW w:w="7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水源</w:t>
            </w:r>
          </w:p>
        </w:tc>
        <w:tc>
          <w:tcPr>
            <w:tcW w:w="2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水源水质达标率（N1）</w:t>
            </w:r>
          </w:p>
        </w:tc>
        <w:tc>
          <w:tcPr>
            <w:tcW w:w="7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98" w:type="pc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供水厂</w:t>
            </w:r>
          </w:p>
        </w:tc>
        <w:tc>
          <w:tcPr>
            <w:tcW w:w="2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水厂污泥无害化处置率（N2）</w:t>
            </w:r>
          </w:p>
        </w:tc>
        <w:tc>
          <w:tcPr>
            <w:tcW w:w="7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jc w:val="center"/>
        </w:trPr>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市政管网</w:t>
            </w:r>
          </w:p>
        </w:tc>
        <w:tc>
          <w:tcPr>
            <w:tcW w:w="2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再生水利用率（N3）</w:t>
            </w:r>
          </w:p>
        </w:tc>
        <w:tc>
          <w:tcPr>
            <w:tcW w:w="7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ind w:firstLine="640" w:firstLineChars="200"/>
              <w:jc w:val="center"/>
              <w:rPr>
                <w:rFonts w:hint="eastAsia" w:ascii="仿宋_GB2312" w:hAnsi="仿宋_GB2312" w:eastAsia="仿宋_GB2312" w:cs="仿宋_GB2312"/>
                <w:kern w:val="0"/>
                <w:sz w:val="32"/>
                <w:szCs w:val="32"/>
                <w:lang w:val="en-US" w:eastAsia="zh-CN" w:bidi="ar"/>
              </w:rPr>
            </w:pPr>
          </w:p>
        </w:tc>
        <w:tc>
          <w:tcPr>
            <w:tcW w:w="2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市政管网漏损率（N4）</w:t>
            </w:r>
          </w:p>
        </w:tc>
        <w:tc>
          <w:tcPr>
            <w:tcW w:w="7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用户端</w:t>
            </w:r>
          </w:p>
        </w:tc>
        <w:tc>
          <w:tcPr>
            <w:tcW w:w="2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小区供水管网漏损率（N5）</w:t>
            </w:r>
          </w:p>
        </w:tc>
        <w:tc>
          <w:tcPr>
            <w:tcW w:w="7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w:t>
            </w:r>
          </w:p>
        </w:tc>
      </w:tr>
    </w:tbl>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各评价指标首先根据公式计算分数，然后转化成0-100间的评分，作为该指标的最终得分，计算公式如下所示：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w:t>
      </w:r>
      <w:r>
        <w:rPr>
          <w:rFonts w:hint="eastAsia" w:ascii="楷体" w:hAnsi="楷体" w:eastAsia="楷体" w:cs="楷体"/>
          <w:sz w:val="32"/>
          <w:szCs w:val="32"/>
          <w:lang w:val="en-US" w:eastAsia="zh-CN"/>
        </w:rPr>
        <w:t>水源水质达标率N1</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水源水质达标率定义为：在统计期间内，对管辖范围供水厂水源水进行取样，检测指标达到GB3838 Ⅲ类标准的数量总和占检测指标数量总和的百分比，单位为：%，计算公式如下：</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lang w:val="en-US" w:eastAsia="zh-CN"/>
        </w:rPr>
      </w:pPr>
      <m:oMathPara>
        <m:oMath>
          <m:r>
            <m:rPr>
              <m:sty m:val="p"/>
            </m:rPr>
            <w:rPr>
              <w:rFonts w:hint="eastAsia" w:ascii="Cambria Math" w:hAnsi="Cambria Math" w:eastAsia="仿宋_GB2312" w:cs="仿宋_GB2312"/>
              <w:sz w:val="32"/>
              <w:szCs w:val="32"/>
              <w:lang w:val="en-US" w:eastAsia="zh-CN"/>
            </w:rPr>
            <m:t>N1=</m:t>
          </m:r>
          <m:f>
            <m:fPr>
              <m:ctrlPr>
                <w:rPr>
                  <w:rFonts w:hint="eastAsia" w:ascii="Cambria Math" w:hAnsi="Cambria Math" w:eastAsia="仿宋_GB2312" w:cs="仿宋_GB2312"/>
                  <w:sz w:val="32"/>
                  <w:szCs w:val="32"/>
                  <w:lang w:val="en-US" w:eastAsia="zh-CN"/>
                </w:rPr>
              </m:ctrlPr>
            </m:fPr>
            <m:num>
              <m:r>
                <m:rPr>
                  <m:sty m:val="p"/>
                </m:rPr>
                <w:rPr>
                  <w:rFonts w:hint="eastAsia" w:ascii="Cambria Math" w:hAnsi="Cambria Math" w:eastAsia="仿宋_GB2312" w:cs="仿宋_GB2312"/>
                  <w:sz w:val="32"/>
                  <w:szCs w:val="32"/>
                  <w:lang w:val="en-US" w:eastAsia="zh-CN"/>
                </w:rPr>
                <m:t>T1</m:t>
              </m:r>
              <m:ctrlPr>
                <w:rPr>
                  <w:rFonts w:hint="eastAsia" w:ascii="Cambria Math" w:hAnsi="Cambria Math" w:eastAsia="仿宋_GB2312" w:cs="仿宋_GB2312"/>
                  <w:sz w:val="32"/>
                  <w:szCs w:val="32"/>
                  <w:lang w:val="en-US" w:eastAsia="zh-CN"/>
                </w:rPr>
              </m:ctrlPr>
            </m:num>
            <m:den>
              <m:r>
                <m:rPr>
                  <m:sty m:val="p"/>
                </m:rPr>
                <w:rPr>
                  <w:rFonts w:hint="eastAsia" w:ascii="Cambria Math" w:hAnsi="Cambria Math" w:eastAsia="仿宋_GB2312" w:cs="仿宋_GB2312"/>
                  <w:sz w:val="32"/>
                  <w:szCs w:val="32"/>
                  <w:lang w:val="en-US" w:eastAsia="zh-CN"/>
                </w:rPr>
                <m:t>T</m:t>
              </m:r>
              <m:ctrlPr>
                <w:rPr>
                  <w:rFonts w:hint="eastAsia" w:ascii="Cambria Math" w:hAnsi="Cambria Math" w:eastAsia="仿宋_GB2312" w:cs="仿宋_GB2312"/>
                  <w:sz w:val="32"/>
                  <w:szCs w:val="32"/>
                  <w:lang w:val="en-US" w:eastAsia="zh-CN"/>
                </w:rPr>
              </m:ctrlPr>
            </m:den>
          </m:f>
        </m:oMath>
      </m:oMathPara>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式中：N1—水源水质达标率（%）</w:t>
      </w:r>
    </w:p>
    <w:p>
      <w:pPr>
        <w:keepNext w:val="0"/>
        <w:keepLines w:val="0"/>
        <w:pageBreakBefore w:val="0"/>
        <w:widowControl w:val="0"/>
        <w:kinsoku/>
        <w:wordWrap/>
        <w:overflowPunct/>
        <w:topLinePunct w:val="0"/>
        <w:autoSpaceDE/>
        <w:autoSpaceDN/>
        <w:bidi w:val="0"/>
        <w:adjustRightInd/>
        <w:snapToGrid/>
        <w:spacing w:line="579" w:lineRule="exact"/>
        <w:ind w:firstLine="1600" w:firstLineChars="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T1—管辖范围内供水厂水源水质达到GB3838 Ⅲ类标准的检测指标数量总和（个）</w:t>
      </w:r>
    </w:p>
    <w:p>
      <w:pPr>
        <w:keepNext w:val="0"/>
        <w:keepLines w:val="0"/>
        <w:pageBreakBefore w:val="0"/>
        <w:widowControl w:val="0"/>
        <w:kinsoku/>
        <w:wordWrap/>
        <w:overflowPunct/>
        <w:topLinePunct w:val="0"/>
        <w:autoSpaceDE/>
        <w:autoSpaceDN/>
        <w:bidi w:val="0"/>
        <w:adjustRightInd/>
        <w:snapToGrid/>
        <w:spacing w:line="579" w:lineRule="exact"/>
        <w:ind w:firstLine="1600" w:firstLineChars="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T—管辖范围内供水厂检测指标数量总和（个）</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将上式结果转换为0-100间的得分，计算公式为：</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lang w:val="en-US" w:eastAsia="zh-CN"/>
        </w:rPr>
      </w:pPr>
      <m:oMathPara>
        <m:oMathParaPr>
          <m:jc m:val="center"/>
        </m:oMathParaPr>
        <m:oMath>
          <m:r>
            <m:rPr>
              <m:sty m:val="p"/>
            </m:rPr>
            <w:rPr>
              <w:rFonts w:hint="eastAsia" w:ascii="Cambria Math" w:hAnsi="Cambria Math" w:eastAsia="仿宋_GB2312" w:cs="仿宋_GB2312"/>
              <w:sz w:val="32"/>
              <w:szCs w:val="32"/>
              <w:lang w:val="en-US" w:eastAsia="zh-CN"/>
            </w:rPr>
            <m:t>S1=</m:t>
          </m:r>
          <m:d>
            <m:dPr>
              <m:begChr m:val="{"/>
              <m:endChr m:val=""/>
              <m:ctrlPr>
                <w:rPr>
                  <w:rFonts w:hint="eastAsia" w:ascii="Cambria Math" w:hAnsi="Cambria Math" w:eastAsia="仿宋_GB2312" w:cs="仿宋_GB2312"/>
                  <w:sz w:val="32"/>
                  <w:szCs w:val="32"/>
                  <w:lang w:val="en-US" w:eastAsia="zh-CN"/>
                </w:rPr>
              </m:ctrlPr>
            </m:dPr>
            <m:e>
              <m:eqArr>
                <m:eqArrPr>
                  <m:ctrlPr>
                    <w:rPr>
                      <w:rFonts w:hint="eastAsia" w:ascii="Cambria Math" w:hAnsi="Cambria Math" w:eastAsia="仿宋_GB2312" w:cs="仿宋_GB2312"/>
                      <w:sz w:val="32"/>
                      <w:szCs w:val="32"/>
                      <w:lang w:val="en-US" w:eastAsia="zh-CN"/>
                    </w:rPr>
                  </m:ctrlPr>
                </m:eqArrPr>
                <m:e>
                  <m:r>
                    <m:rPr>
                      <m:sty m:val="p"/>
                    </m:rPr>
                    <w:rPr>
                      <w:rFonts w:hint="eastAsia" w:ascii="Cambria Math" w:hAnsi="Cambria Math" w:eastAsia="仿宋_GB2312" w:cs="仿宋_GB2312"/>
                      <w:sz w:val="32"/>
                      <w:szCs w:val="32"/>
                      <w:lang w:val="en-US" w:eastAsia="zh-CN"/>
                    </w:rPr>
                    <m:t>100，N1=100%</m:t>
                  </m:r>
                  <m:ctrlPr>
                    <w:rPr>
                      <w:rFonts w:hint="eastAsia" w:ascii="Cambria Math" w:hAnsi="Cambria Math" w:eastAsia="仿宋_GB2312" w:cs="仿宋_GB2312"/>
                      <w:sz w:val="32"/>
                      <w:szCs w:val="32"/>
                      <w:lang w:val="en-US" w:eastAsia="zh-CN"/>
                    </w:rPr>
                  </m:ctrlPr>
                </m:e>
                <m:e>
                  <m:r>
                    <m:rPr>
                      <m:sty m:val="p"/>
                    </m:rPr>
                    <w:rPr>
                      <w:rFonts w:hint="default" w:ascii="Cambria Math" w:hAnsi="Cambria Math" w:eastAsia="仿宋_GB2312" w:cs="仿宋_GB2312"/>
                      <w:sz w:val="32"/>
                      <w:szCs w:val="32"/>
                      <w:lang w:val="en-US" w:eastAsia="zh-CN"/>
                    </w:rPr>
                    <m:t>2000</m:t>
                  </m:r>
                  <m:r>
                    <m:rPr>
                      <m:sty m:val="p"/>
                    </m:rPr>
                    <w:rPr>
                      <w:rFonts w:hint="eastAsia" w:ascii="Cambria Math" w:hAnsi="Cambria Math" w:eastAsia="仿宋_GB2312" w:cs="仿宋_GB2312"/>
                      <w:sz w:val="32"/>
                      <w:szCs w:val="32"/>
                      <w:lang w:val="en-US" w:eastAsia="zh-CN"/>
                    </w:rPr>
                    <m:t>×N1−</m:t>
                  </m:r>
                  <m:r>
                    <m:rPr>
                      <m:sty m:val="p"/>
                    </m:rPr>
                    <w:rPr>
                      <w:rFonts w:hint="default" w:ascii="Cambria Math" w:hAnsi="Cambria Math" w:eastAsia="仿宋_GB2312" w:cs="仿宋_GB2312"/>
                      <w:sz w:val="32"/>
                      <w:szCs w:val="32"/>
                      <w:lang w:val="en-US" w:eastAsia="zh-CN"/>
                    </w:rPr>
                    <m:t>1900</m:t>
                  </m:r>
                  <m:r>
                    <m:rPr>
                      <m:sty m:val="p"/>
                    </m:rPr>
                    <w:rPr>
                      <w:rFonts w:hint="eastAsia" w:ascii="Cambria Math" w:hAnsi="Cambria Math" w:eastAsia="仿宋_GB2312" w:cs="仿宋_GB2312"/>
                      <w:sz w:val="32"/>
                      <w:szCs w:val="32"/>
                      <w:lang w:val="en-US" w:eastAsia="zh-CN"/>
                    </w:rPr>
                    <m:t>，95%&lt;N1&lt;100%</m:t>
                  </m:r>
                  <m:ctrlPr>
                    <w:rPr>
                      <w:rFonts w:hint="eastAsia" w:ascii="Cambria Math" w:hAnsi="Cambria Math" w:eastAsia="仿宋_GB2312" w:cs="仿宋_GB2312"/>
                      <w:sz w:val="32"/>
                      <w:szCs w:val="32"/>
                      <w:lang w:val="en-US" w:eastAsia="zh-CN"/>
                    </w:rPr>
                  </m:ctrlPr>
                </m:e>
                <m:e>
                  <m:r>
                    <m:rPr>
                      <m:sty m:val="p"/>
                    </m:rPr>
                    <w:rPr>
                      <w:rFonts w:hint="eastAsia" w:ascii="Cambria Math" w:hAnsi="Cambria Math" w:eastAsia="仿宋_GB2312" w:cs="仿宋_GB2312"/>
                      <w:sz w:val="32"/>
                      <w:szCs w:val="32"/>
                      <w:lang w:val="en-US" w:eastAsia="zh-CN"/>
                    </w:rPr>
                    <m:t>0，N1≤95&amp;%</m:t>
                  </m:r>
                  <m:ctrlPr>
                    <w:rPr>
                      <w:rFonts w:hint="eastAsia" w:ascii="Cambria Math" w:hAnsi="Cambria Math" w:eastAsia="仿宋_GB2312" w:cs="仿宋_GB2312"/>
                      <w:sz w:val="32"/>
                      <w:szCs w:val="32"/>
                      <w:lang w:val="en-US" w:eastAsia="zh-CN"/>
                    </w:rPr>
                  </m:ctrlPr>
                </m:e>
              </m:eqArr>
              <m:ctrlPr>
                <w:rPr>
                  <w:rFonts w:hint="eastAsia" w:ascii="Cambria Math" w:hAnsi="Cambria Math" w:eastAsia="仿宋_GB2312" w:cs="仿宋_GB2312"/>
                  <w:sz w:val="32"/>
                  <w:szCs w:val="32"/>
                  <w:lang w:val="en-US" w:eastAsia="zh-CN"/>
                </w:rPr>
              </m:ctrlPr>
            </m:e>
          </m:d>
        </m:oMath>
      </m:oMathPara>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式中：S1—水源水质达标率得分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（二）水厂污泥无害化处置率N2</w:t>
      </w:r>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污泥无害化处置率定义为：在统计期间内，管辖范围内供水厂经过无害化处置的污泥占供水厂产生污泥总量的百分比，污泥无害化处置包括干化焚烧、固化填埋、建材利用、土地利用、园林种植、经检测无害的回田处置等方式，单位为：%，计算公式如下:</w:t>
      </w:r>
    </w:p>
    <w:p>
      <w:pPr>
        <w:keepNext w:val="0"/>
        <w:keepLines w:val="0"/>
        <w:pageBreakBefore w:val="0"/>
        <w:kinsoku/>
        <w:wordWrap/>
        <w:overflowPunct/>
        <w:topLinePunct w:val="0"/>
        <w:autoSpaceDE/>
        <w:autoSpaceDN/>
        <w:bidi w:val="0"/>
        <w:adjustRightInd/>
        <w:snapToGrid/>
        <w:spacing w:line="360" w:lineRule="auto"/>
        <w:ind w:firstLine="420" w:firstLineChars="0"/>
        <w:jc w:val="both"/>
        <w:rPr>
          <w:rFonts w:hint="eastAsia" w:ascii="仿宋_GB2312" w:hAnsi="仿宋_GB2312" w:eastAsia="仿宋_GB2312" w:cs="仿宋_GB2312"/>
          <w:kern w:val="0"/>
          <w:sz w:val="32"/>
          <w:szCs w:val="32"/>
          <w:lang w:val="en-US" w:eastAsia="zh-CN" w:bidi="ar"/>
        </w:rPr>
      </w:pPr>
      <m:oMathPara>
        <m:oMath>
          <m:r>
            <m:rPr>
              <m:sty m:val="p"/>
            </m:rPr>
            <w:rPr>
              <w:rFonts w:hint="eastAsia" w:ascii="Cambria Math" w:hAnsi="Cambria Math" w:eastAsia="仿宋_GB2312" w:cs="仿宋_GB2312"/>
              <w:kern w:val="0"/>
              <w:sz w:val="32"/>
              <w:szCs w:val="32"/>
              <w:lang w:val="en-US" w:eastAsia="zh-CN" w:bidi="ar"/>
            </w:rPr>
            <m:t>N2=</m:t>
          </m:r>
          <m:f>
            <m:fPr>
              <m:ctrlPr>
                <w:rPr>
                  <w:rFonts w:hint="eastAsia" w:ascii="Cambria Math" w:hAnsi="Cambria Math" w:eastAsia="仿宋_GB2312" w:cs="仿宋_GB2312"/>
                  <w:kern w:val="0"/>
                  <w:sz w:val="32"/>
                  <w:szCs w:val="32"/>
                  <w:lang w:val="en-US" w:eastAsia="zh-CN" w:bidi="ar"/>
                </w:rPr>
              </m:ctrlPr>
            </m:fPr>
            <m:num>
              <m:r>
                <m:rPr>
                  <m:sty m:val="p"/>
                </m:rPr>
                <w:rPr>
                  <w:rFonts w:hint="eastAsia" w:ascii="Cambria Math" w:hAnsi="Cambria Math" w:eastAsia="仿宋_GB2312" w:cs="仿宋_GB2312"/>
                  <w:kern w:val="0"/>
                  <w:sz w:val="32"/>
                  <w:szCs w:val="32"/>
                  <w:lang w:val="en-US" w:eastAsia="zh-CN" w:bidi="ar"/>
                </w:rPr>
                <m:t>X1</m:t>
              </m:r>
              <m:ctrlPr>
                <w:rPr>
                  <w:rFonts w:hint="eastAsia" w:ascii="Cambria Math" w:hAnsi="Cambria Math" w:eastAsia="仿宋_GB2312" w:cs="仿宋_GB2312"/>
                  <w:kern w:val="0"/>
                  <w:sz w:val="32"/>
                  <w:szCs w:val="32"/>
                  <w:lang w:val="en-US" w:eastAsia="zh-CN" w:bidi="ar"/>
                </w:rPr>
              </m:ctrlPr>
            </m:num>
            <m:den>
              <m:r>
                <m:rPr>
                  <m:sty m:val="p"/>
                </m:rPr>
                <w:rPr>
                  <w:rFonts w:hint="eastAsia" w:ascii="Cambria Math" w:hAnsi="Cambria Math" w:eastAsia="仿宋_GB2312" w:cs="仿宋_GB2312"/>
                  <w:kern w:val="0"/>
                  <w:sz w:val="32"/>
                  <w:szCs w:val="32"/>
                  <w:lang w:val="en-US" w:eastAsia="zh-CN" w:bidi="ar"/>
                </w:rPr>
                <m:t>X</m:t>
              </m:r>
              <m:ctrlPr>
                <w:rPr>
                  <w:rFonts w:hint="eastAsia" w:ascii="Cambria Math" w:hAnsi="Cambria Math" w:eastAsia="仿宋_GB2312" w:cs="仿宋_GB2312"/>
                  <w:kern w:val="0"/>
                  <w:sz w:val="32"/>
                  <w:szCs w:val="32"/>
                  <w:lang w:val="en-US" w:eastAsia="zh-CN" w:bidi="ar"/>
                </w:rPr>
              </m:ctrlPr>
            </m:den>
          </m:f>
        </m:oMath>
      </m:oMathPara>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式中：N2—污泥无害化处置率</w:t>
      </w:r>
    </w:p>
    <w:p>
      <w:pPr>
        <w:keepNext w:val="0"/>
        <w:keepLines w:val="0"/>
        <w:pageBreakBefore w:val="0"/>
        <w:kinsoku/>
        <w:wordWrap/>
        <w:overflowPunct/>
        <w:topLinePunct w:val="0"/>
        <w:autoSpaceDE/>
        <w:autoSpaceDN/>
        <w:bidi w:val="0"/>
        <w:adjustRightInd/>
        <w:snapToGrid/>
        <w:spacing w:line="579" w:lineRule="exact"/>
        <w:ind w:firstLine="1600" w:firstLineChars="5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X1—管辖范围内经过无害化处置的污泥总量（吨）</w:t>
      </w:r>
    </w:p>
    <w:p>
      <w:pPr>
        <w:keepNext w:val="0"/>
        <w:keepLines w:val="0"/>
        <w:pageBreakBefore w:val="0"/>
        <w:kinsoku/>
        <w:wordWrap/>
        <w:overflowPunct/>
        <w:topLinePunct w:val="0"/>
        <w:autoSpaceDE/>
        <w:autoSpaceDN/>
        <w:bidi w:val="0"/>
        <w:adjustRightInd/>
        <w:snapToGrid/>
        <w:spacing w:line="579" w:lineRule="exact"/>
        <w:ind w:firstLine="1600" w:firstLineChars="5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X—管辖范围内产生的污泥总量（吨）</w:t>
      </w:r>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将上式结果转换为0-100间的得分，计算公式为：</w:t>
      </w:r>
    </w:p>
    <w:p>
      <w:pPr>
        <w:keepNext w:val="0"/>
        <w:keepLines w:val="0"/>
        <w:pageBreakBefore w:val="0"/>
        <w:kinsoku/>
        <w:wordWrap/>
        <w:overflowPunct/>
        <w:topLinePunct w:val="0"/>
        <w:autoSpaceDE/>
        <w:autoSpaceDN/>
        <w:bidi w:val="0"/>
        <w:adjustRightInd/>
        <w:snapToGrid/>
        <w:spacing w:line="360" w:lineRule="auto"/>
        <w:ind w:firstLine="420" w:firstLineChars="0"/>
        <w:jc w:val="both"/>
        <w:rPr>
          <w:rFonts w:hint="eastAsia" w:ascii="仿宋_GB2312" w:hAnsi="仿宋_GB2312" w:eastAsia="仿宋_GB2312" w:cs="仿宋_GB2312"/>
          <w:kern w:val="0"/>
          <w:sz w:val="32"/>
          <w:szCs w:val="32"/>
          <w:lang w:val="en-US" w:eastAsia="zh-CN" w:bidi="ar"/>
        </w:rPr>
      </w:pPr>
      <m:oMathPara>
        <m:oMath>
          <m:r>
            <m:rPr>
              <m:sty m:val="p"/>
            </m:rPr>
            <w:rPr>
              <w:rFonts w:hint="eastAsia" w:ascii="Cambria Math" w:hAnsi="Cambria Math" w:eastAsia="仿宋_GB2312" w:cs="仿宋_GB2312"/>
              <w:kern w:val="0"/>
              <w:sz w:val="32"/>
              <w:szCs w:val="32"/>
              <w:lang w:val="en-US" w:eastAsia="zh-CN" w:bidi="ar"/>
            </w:rPr>
            <m:t>S2=</m:t>
          </m:r>
          <m:d>
            <m:dPr>
              <m:begChr m:val="{"/>
              <m:endChr m:val=""/>
              <m:ctrlPr>
                <w:rPr>
                  <w:rFonts w:hint="eastAsia" w:ascii="Cambria Math" w:hAnsi="Cambria Math" w:eastAsia="仿宋_GB2312" w:cs="仿宋_GB2312"/>
                  <w:kern w:val="0"/>
                  <w:sz w:val="32"/>
                  <w:szCs w:val="32"/>
                  <w:lang w:val="en-US" w:eastAsia="zh-CN" w:bidi="ar"/>
                </w:rPr>
              </m:ctrlPr>
            </m:dPr>
            <m:e>
              <m:eqArr>
                <m:eqArrPr>
                  <m:ctrlPr>
                    <w:rPr>
                      <w:rFonts w:hint="eastAsia" w:ascii="Cambria Math" w:hAnsi="Cambria Math" w:eastAsia="仿宋_GB2312" w:cs="仿宋_GB2312"/>
                      <w:kern w:val="0"/>
                      <w:sz w:val="32"/>
                      <w:szCs w:val="32"/>
                      <w:lang w:val="en-US" w:eastAsia="zh-CN" w:bidi="ar"/>
                    </w:rPr>
                  </m:ctrlPr>
                </m:eqArrPr>
                <m:e>
                  <m:r>
                    <m:rPr>
                      <m:sty m:val="p"/>
                    </m:rPr>
                    <w:rPr>
                      <w:rFonts w:hint="eastAsia" w:ascii="Cambria Math" w:hAnsi="Cambria Math" w:eastAsia="仿宋_GB2312" w:cs="仿宋_GB2312"/>
                      <w:kern w:val="0"/>
                      <w:sz w:val="32"/>
                      <w:szCs w:val="32"/>
                      <w:lang w:val="en-US" w:eastAsia="zh-CN" w:bidi="ar"/>
                    </w:rPr>
                    <m:t>100，N</m:t>
                  </m:r>
                  <m:r>
                    <m:rPr>
                      <m:sty m:val="p"/>
                    </m:rPr>
                    <w:rPr>
                      <w:rFonts w:hint="default" w:ascii="Cambria Math" w:hAnsi="Cambria Math" w:eastAsia="仿宋_GB2312" w:cs="仿宋_GB2312"/>
                      <w:kern w:val="0"/>
                      <w:sz w:val="32"/>
                      <w:szCs w:val="32"/>
                      <w:lang w:val="en-US" w:eastAsia="zh-CN" w:bidi="ar"/>
                    </w:rPr>
                    <m:t>2</m:t>
                  </m:r>
                  <m:r>
                    <m:rPr>
                      <m:sty m:val="p"/>
                    </m:rPr>
                    <w:rPr>
                      <w:rFonts w:hint="eastAsia" w:ascii="Cambria Math" w:hAnsi="Cambria Math" w:eastAsia="仿宋_GB2312" w:cs="仿宋_GB2312"/>
                      <w:kern w:val="0"/>
                      <w:sz w:val="32"/>
                      <w:szCs w:val="32"/>
                      <w:lang w:val="en-US" w:eastAsia="zh-CN" w:bidi="ar"/>
                    </w:rPr>
                    <m:t>=100%</m:t>
                  </m:r>
                  <m:ctrlPr>
                    <w:rPr>
                      <w:rFonts w:hint="eastAsia" w:ascii="Cambria Math" w:hAnsi="Cambria Math" w:eastAsia="仿宋_GB2312" w:cs="仿宋_GB2312"/>
                      <w:kern w:val="0"/>
                      <w:sz w:val="32"/>
                      <w:szCs w:val="32"/>
                      <w:lang w:val="en-US" w:eastAsia="zh-CN" w:bidi="ar"/>
                    </w:rPr>
                  </m:ctrlPr>
                </m:e>
                <m:e>
                  <m:r>
                    <m:rPr>
                      <m:sty m:val="p"/>
                    </m:rPr>
                    <w:rPr>
                      <w:rFonts w:hint="eastAsia" w:ascii="Cambria Math" w:hAnsi="Cambria Math" w:eastAsia="仿宋_GB2312" w:cs="仿宋_GB2312"/>
                      <w:kern w:val="0"/>
                      <w:sz w:val="32"/>
                      <w:szCs w:val="32"/>
                      <w:lang w:val="en-US" w:eastAsia="zh-CN" w:bidi="ar"/>
                    </w:rPr>
                    <m:t>400×N</m:t>
                  </m:r>
                  <m:r>
                    <m:rPr>
                      <m:sty m:val="p"/>
                    </m:rPr>
                    <w:rPr>
                      <w:rFonts w:hint="eastAsia" w:ascii="DejaVu Math TeX Gyre" w:hAnsi="DejaVu Math TeX Gyre" w:eastAsia="仿宋_GB2312" w:cs="仿宋_GB2312"/>
                      <w:kern w:val="0"/>
                      <w:sz w:val="32"/>
                      <w:szCs w:val="32"/>
                      <w:lang w:val="en-US" w:eastAsia="zh-CN" w:bidi="ar"/>
                    </w:rPr>
                    <m:t>2</m:t>
                  </m:r>
                  <m:r>
                    <m:rPr>
                      <m:sty m:val="p"/>
                    </m:rPr>
                    <w:rPr>
                      <w:rFonts w:hint="eastAsia" w:ascii="Cambria Math" w:hAnsi="Cambria Math" w:eastAsia="仿宋_GB2312" w:cs="仿宋_GB2312"/>
                      <w:kern w:val="0"/>
                      <w:sz w:val="32"/>
                      <w:szCs w:val="32"/>
                      <w:lang w:val="en-US" w:eastAsia="zh-CN" w:bidi="ar"/>
                    </w:rPr>
                    <m:t>−300，75%&lt;N</m:t>
                  </m:r>
                  <m:r>
                    <m:rPr>
                      <m:sty m:val="p"/>
                    </m:rPr>
                    <w:rPr>
                      <w:rFonts w:hint="default" w:ascii="Cambria Math" w:hAnsi="Cambria Math" w:eastAsia="仿宋_GB2312" w:cs="仿宋_GB2312"/>
                      <w:kern w:val="0"/>
                      <w:sz w:val="32"/>
                      <w:szCs w:val="32"/>
                      <w:lang w:val="en-US" w:eastAsia="zh-CN" w:bidi="ar"/>
                    </w:rPr>
                    <m:t>2</m:t>
                  </m:r>
                  <m:r>
                    <m:rPr>
                      <m:sty m:val="p"/>
                    </m:rPr>
                    <w:rPr>
                      <w:rFonts w:hint="eastAsia" w:ascii="Cambria Math" w:hAnsi="Cambria Math" w:eastAsia="仿宋_GB2312" w:cs="仿宋_GB2312"/>
                      <w:kern w:val="0"/>
                      <w:sz w:val="32"/>
                      <w:szCs w:val="32"/>
                      <w:lang w:val="en-US" w:eastAsia="zh-CN" w:bidi="ar"/>
                    </w:rPr>
                    <m:t>&lt;100%</m:t>
                  </m:r>
                  <m:ctrlPr>
                    <w:rPr>
                      <w:rFonts w:hint="eastAsia" w:ascii="Cambria Math" w:hAnsi="Cambria Math" w:eastAsia="仿宋_GB2312" w:cs="仿宋_GB2312"/>
                      <w:kern w:val="0"/>
                      <w:sz w:val="32"/>
                      <w:szCs w:val="32"/>
                      <w:lang w:val="en-US" w:eastAsia="zh-CN" w:bidi="ar"/>
                    </w:rPr>
                  </m:ctrlPr>
                </m:e>
                <m:e>
                  <m:r>
                    <m:rPr>
                      <m:sty m:val="p"/>
                    </m:rPr>
                    <w:rPr>
                      <w:rFonts w:hint="eastAsia" w:ascii="Cambria Math" w:hAnsi="Cambria Math" w:eastAsia="仿宋_GB2312" w:cs="仿宋_GB2312"/>
                      <w:kern w:val="0"/>
                      <w:sz w:val="32"/>
                      <w:szCs w:val="32"/>
                      <w:lang w:val="en-US" w:eastAsia="zh-CN" w:bidi="ar"/>
                    </w:rPr>
                    <m:t>0，N</m:t>
                  </m:r>
                  <m:r>
                    <m:rPr>
                      <m:sty m:val="p"/>
                    </m:rPr>
                    <w:rPr>
                      <w:rFonts w:hint="default" w:ascii="Cambria Math" w:hAnsi="Cambria Math" w:eastAsia="仿宋_GB2312" w:cs="仿宋_GB2312"/>
                      <w:kern w:val="0"/>
                      <w:sz w:val="32"/>
                      <w:szCs w:val="32"/>
                      <w:lang w:val="en-US" w:eastAsia="zh-CN" w:bidi="ar"/>
                    </w:rPr>
                    <m:t>2</m:t>
                  </m:r>
                  <m:r>
                    <m:rPr>
                      <m:sty m:val="p"/>
                    </m:rPr>
                    <w:rPr>
                      <w:rFonts w:hint="eastAsia" w:ascii="Cambria Math" w:hAnsi="Cambria Math" w:eastAsia="仿宋_GB2312" w:cs="仿宋_GB2312"/>
                      <w:kern w:val="0"/>
                      <w:sz w:val="32"/>
                      <w:szCs w:val="32"/>
                      <w:lang w:val="en-US" w:eastAsia="zh-CN" w:bidi="ar"/>
                    </w:rPr>
                    <m:t>≤75&amp;%</m:t>
                  </m:r>
                  <m:ctrlPr>
                    <w:rPr>
                      <w:rFonts w:hint="eastAsia" w:ascii="Cambria Math" w:hAnsi="Cambria Math" w:eastAsia="仿宋_GB2312" w:cs="仿宋_GB2312"/>
                      <w:kern w:val="0"/>
                      <w:sz w:val="32"/>
                      <w:szCs w:val="32"/>
                      <w:lang w:val="en-US" w:eastAsia="zh-CN" w:bidi="ar"/>
                    </w:rPr>
                  </m:ctrlPr>
                </m:e>
              </m:eqArr>
              <m:ctrlPr>
                <w:rPr>
                  <w:rFonts w:hint="eastAsia" w:ascii="Cambria Math" w:hAnsi="Cambria Math" w:eastAsia="仿宋_GB2312" w:cs="仿宋_GB2312"/>
                  <w:kern w:val="0"/>
                  <w:sz w:val="32"/>
                  <w:szCs w:val="32"/>
                  <w:lang w:val="en-US" w:eastAsia="zh-CN" w:bidi="ar"/>
                </w:rPr>
              </m:ctrlPr>
            </m:e>
          </m:d>
        </m:oMath>
      </m:oMathPara>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式中：S2—污泥无害化处置率得分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w:t>
      </w:r>
      <w:r>
        <w:rPr>
          <w:rFonts w:hint="eastAsia" w:ascii="楷体" w:hAnsi="楷体" w:eastAsia="楷体" w:cs="楷体"/>
          <w:sz w:val="32"/>
          <w:szCs w:val="32"/>
          <w:lang w:val="en-US" w:eastAsia="zh-CN"/>
        </w:rPr>
        <w:t>再生水利用率N3</w:t>
      </w:r>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再生水利用率定义为：在统计期间内，管辖范围内再生水利用量占污水处理总量的百分比，单位为：%，计算公式如下：</w:t>
      </w:r>
    </w:p>
    <w:p>
      <w:pPr>
        <w:keepNext w:val="0"/>
        <w:keepLines w:val="0"/>
        <w:pageBreakBefore w:val="0"/>
        <w:kinsoku/>
        <w:wordWrap/>
        <w:overflowPunct/>
        <w:topLinePunct w:val="0"/>
        <w:autoSpaceDE/>
        <w:autoSpaceDN/>
        <w:bidi w:val="0"/>
        <w:adjustRightInd/>
        <w:snapToGrid/>
        <w:spacing w:line="360" w:lineRule="auto"/>
        <w:ind w:firstLine="420" w:firstLineChars="0"/>
        <w:jc w:val="both"/>
        <w:rPr>
          <w:rFonts w:hint="eastAsia" w:ascii="仿宋_GB2312" w:hAnsi="仿宋_GB2312" w:eastAsia="仿宋_GB2312" w:cs="仿宋_GB2312"/>
          <w:kern w:val="0"/>
          <w:sz w:val="32"/>
          <w:szCs w:val="32"/>
          <w:lang w:val="en-US" w:eastAsia="zh-CN" w:bidi="ar"/>
        </w:rPr>
      </w:pPr>
      <m:oMathPara>
        <m:oMath>
          <m:r>
            <m:rPr>
              <m:sty m:val="p"/>
            </m:rPr>
            <w:rPr>
              <w:rFonts w:hint="eastAsia" w:ascii="Cambria Math" w:hAnsi="Cambria Math" w:eastAsia="仿宋_GB2312" w:cs="仿宋_GB2312"/>
              <w:kern w:val="0"/>
              <w:sz w:val="32"/>
              <w:szCs w:val="32"/>
              <w:lang w:val="en-US" w:eastAsia="zh-CN" w:bidi="ar"/>
            </w:rPr>
            <m:t>N</m:t>
          </m:r>
          <m:r>
            <m:rPr>
              <m:sty m:val="p"/>
            </m:rPr>
            <w:rPr>
              <w:rFonts w:hint="eastAsia" w:ascii="DejaVu Math TeX Gyre" w:hAnsi="DejaVu Math TeX Gyre" w:eastAsia="仿宋_GB2312" w:cs="仿宋_GB2312"/>
              <w:kern w:val="0"/>
              <w:sz w:val="32"/>
              <w:szCs w:val="32"/>
              <w:lang w:val="en-US" w:eastAsia="zh-CN" w:bidi="ar"/>
            </w:rPr>
            <m:t>3</m:t>
          </m:r>
          <m:r>
            <m:rPr>
              <m:sty m:val="p"/>
            </m:rPr>
            <w:rPr>
              <w:rFonts w:hint="eastAsia" w:ascii="Cambria Math" w:hAnsi="Cambria Math" w:eastAsia="仿宋_GB2312" w:cs="仿宋_GB2312"/>
              <w:kern w:val="0"/>
              <w:sz w:val="32"/>
              <w:szCs w:val="32"/>
              <w:lang w:val="en-US" w:eastAsia="zh-CN" w:bidi="ar"/>
            </w:rPr>
            <m:t>=</m:t>
          </m:r>
          <m:f>
            <m:fPr>
              <m:ctrlPr>
                <w:rPr>
                  <w:rFonts w:hint="eastAsia" w:ascii="Cambria Math" w:hAnsi="Cambria Math" w:eastAsia="仿宋_GB2312" w:cs="仿宋_GB2312"/>
                  <w:kern w:val="0"/>
                  <w:sz w:val="32"/>
                  <w:szCs w:val="32"/>
                  <w:lang w:val="en-US" w:eastAsia="zh-CN" w:bidi="ar"/>
                </w:rPr>
              </m:ctrlPr>
            </m:fPr>
            <m:num>
              <m:r>
                <m:rPr>
                  <m:sty m:val="p"/>
                </m:rPr>
                <w:rPr>
                  <w:rFonts w:hint="eastAsia" w:ascii="Cambria Math" w:hAnsi="Cambria Math" w:eastAsia="仿宋_GB2312" w:cs="仿宋_GB2312"/>
                  <w:kern w:val="0"/>
                  <w:sz w:val="32"/>
                  <w:szCs w:val="32"/>
                  <w:lang w:val="en-US" w:eastAsia="zh-CN" w:bidi="ar"/>
                </w:rPr>
                <m:t>Z1+Z2</m:t>
              </m:r>
              <m:ctrlPr>
                <w:rPr>
                  <w:rFonts w:hint="eastAsia" w:ascii="Cambria Math" w:hAnsi="Cambria Math" w:eastAsia="仿宋_GB2312" w:cs="仿宋_GB2312"/>
                  <w:kern w:val="0"/>
                  <w:sz w:val="32"/>
                  <w:szCs w:val="32"/>
                  <w:lang w:val="en-US" w:eastAsia="zh-CN" w:bidi="ar"/>
                </w:rPr>
              </m:ctrlPr>
            </m:num>
            <m:den>
              <m:r>
                <m:rPr>
                  <m:sty m:val="p"/>
                </m:rPr>
                <w:rPr>
                  <w:rFonts w:hint="eastAsia" w:ascii="Cambria Math" w:hAnsi="Cambria Math" w:eastAsia="仿宋_GB2312" w:cs="仿宋_GB2312"/>
                  <w:kern w:val="0"/>
                  <w:sz w:val="32"/>
                  <w:szCs w:val="32"/>
                  <w:lang w:val="en-US" w:eastAsia="zh-CN" w:bidi="ar"/>
                </w:rPr>
                <m:t>W</m:t>
              </m:r>
              <m:ctrlPr>
                <w:rPr>
                  <w:rFonts w:hint="eastAsia" w:ascii="Cambria Math" w:hAnsi="Cambria Math" w:eastAsia="仿宋_GB2312" w:cs="仿宋_GB2312"/>
                  <w:kern w:val="0"/>
                  <w:sz w:val="32"/>
                  <w:szCs w:val="32"/>
                  <w:lang w:val="en-US" w:eastAsia="zh-CN" w:bidi="ar"/>
                </w:rPr>
              </m:ctrlPr>
            </m:den>
          </m:f>
        </m:oMath>
      </m:oMathPara>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式中：N3—再生水利用率</w:t>
      </w:r>
    </w:p>
    <w:p>
      <w:pPr>
        <w:keepNext w:val="0"/>
        <w:keepLines w:val="0"/>
        <w:pageBreakBefore w:val="0"/>
        <w:kinsoku/>
        <w:wordWrap/>
        <w:overflowPunct/>
        <w:topLinePunct w:val="0"/>
        <w:autoSpaceDE/>
        <w:autoSpaceDN/>
        <w:bidi w:val="0"/>
        <w:adjustRightInd/>
        <w:snapToGrid/>
        <w:spacing w:line="579" w:lineRule="exact"/>
        <w:ind w:firstLine="1600" w:firstLineChars="5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Z1—管辖范围内市政再生水利用总量（立方米）</w:t>
      </w:r>
    </w:p>
    <w:p>
      <w:pPr>
        <w:keepNext w:val="0"/>
        <w:keepLines w:val="0"/>
        <w:pageBreakBefore w:val="0"/>
        <w:kinsoku/>
        <w:wordWrap/>
        <w:overflowPunct/>
        <w:topLinePunct w:val="0"/>
        <w:autoSpaceDE/>
        <w:autoSpaceDN/>
        <w:bidi w:val="0"/>
        <w:adjustRightInd/>
        <w:snapToGrid/>
        <w:spacing w:line="579" w:lineRule="exact"/>
        <w:ind w:firstLine="1600" w:firstLineChars="5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Z2—管辖范围内工业再生水利用总量（立方米）</w:t>
      </w:r>
    </w:p>
    <w:p>
      <w:pPr>
        <w:keepNext w:val="0"/>
        <w:keepLines w:val="0"/>
        <w:pageBreakBefore w:val="0"/>
        <w:kinsoku/>
        <w:wordWrap/>
        <w:overflowPunct/>
        <w:topLinePunct w:val="0"/>
        <w:autoSpaceDE/>
        <w:autoSpaceDN/>
        <w:bidi w:val="0"/>
        <w:adjustRightInd/>
        <w:snapToGrid/>
        <w:spacing w:line="579" w:lineRule="exact"/>
        <w:ind w:firstLine="1600" w:firstLineChars="5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W—管辖范围内污水处理总量（立方米）</w:t>
      </w:r>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将上式结果转换为0-100间的得分，计算公式为：</w:t>
      </w:r>
    </w:p>
    <w:p>
      <w:pPr>
        <w:keepNext w:val="0"/>
        <w:keepLines w:val="0"/>
        <w:pageBreakBefore w:val="0"/>
        <w:kinsoku/>
        <w:wordWrap/>
        <w:overflowPunct/>
        <w:topLinePunct w:val="0"/>
        <w:autoSpaceDE/>
        <w:autoSpaceDN/>
        <w:bidi w:val="0"/>
        <w:adjustRightInd/>
        <w:snapToGrid/>
        <w:spacing w:line="360" w:lineRule="auto"/>
        <w:ind w:firstLine="420" w:firstLineChars="0"/>
        <w:jc w:val="both"/>
        <w:rPr>
          <w:rFonts w:hint="eastAsia" w:ascii="仿宋_GB2312" w:hAnsi="仿宋_GB2312" w:eastAsia="仿宋_GB2312" w:cs="仿宋_GB2312"/>
          <w:kern w:val="0"/>
          <w:sz w:val="32"/>
          <w:szCs w:val="32"/>
          <w:lang w:val="en-US" w:eastAsia="zh-CN" w:bidi="ar"/>
        </w:rPr>
      </w:pPr>
      <m:oMathPara>
        <m:oMath>
          <m:r>
            <m:rPr>
              <m:sty m:val="p"/>
            </m:rPr>
            <w:rPr>
              <w:rFonts w:hint="eastAsia" w:ascii="Cambria Math" w:hAnsi="Cambria Math" w:eastAsia="仿宋_GB2312" w:cs="仿宋_GB2312"/>
              <w:kern w:val="0"/>
              <w:sz w:val="32"/>
              <w:szCs w:val="32"/>
              <w:lang w:val="en-US" w:eastAsia="zh-CN" w:bidi="ar"/>
            </w:rPr>
            <m:t>S</m:t>
          </m:r>
          <m:r>
            <m:rPr>
              <m:sty m:val="p"/>
            </m:rPr>
            <w:rPr>
              <w:rFonts w:hint="eastAsia" w:ascii="DejaVu Math TeX Gyre" w:hAnsi="DejaVu Math TeX Gyre" w:eastAsia="仿宋_GB2312" w:cs="仿宋_GB2312"/>
              <w:kern w:val="0"/>
              <w:sz w:val="32"/>
              <w:szCs w:val="32"/>
              <w:lang w:val="en-US" w:eastAsia="zh-CN" w:bidi="ar"/>
            </w:rPr>
            <m:t>3</m:t>
          </m:r>
          <m:r>
            <m:rPr>
              <m:sty m:val="p"/>
            </m:rPr>
            <w:rPr>
              <w:rFonts w:hint="eastAsia" w:ascii="Cambria Math" w:hAnsi="Cambria Math" w:eastAsia="仿宋_GB2312" w:cs="仿宋_GB2312"/>
              <w:kern w:val="0"/>
              <w:sz w:val="32"/>
              <w:szCs w:val="32"/>
              <w:lang w:val="en-US" w:eastAsia="zh-CN" w:bidi="ar"/>
            </w:rPr>
            <m:t>=</m:t>
          </m:r>
          <m:d>
            <m:dPr>
              <m:begChr m:val="{"/>
              <m:endChr m:val=""/>
              <m:ctrlPr>
                <w:rPr>
                  <w:rFonts w:hint="eastAsia" w:ascii="Cambria Math" w:hAnsi="Cambria Math" w:eastAsia="仿宋_GB2312" w:cs="仿宋_GB2312"/>
                  <w:kern w:val="0"/>
                  <w:sz w:val="32"/>
                  <w:szCs w:val="32"/>
                  <w:lang w:val="en-US" w:eastAsia="zh-CN" w:bidi="ar"/>
                </w:rPr>
              </m:ctrlPr>
            </m:dPr>
            <m:e>
              <m:eqArr>
                <m:eqArrPr>
                  <m:ctrlPr>
                    <w:rPr>
                      <w:rFonts w:hint="eastAsia" w:ascii="Cambria Math" w:hAnsi="Cambria Math" w:eastAsia="仿宋_GB2312" w:cs="仿宋_GB2312"/>
                      <w:kern w:val="0"/>
                      <w:sz w:val="32"/>
                      <w:szCs w:val="32"/>
                      <w:lang w:val="en-US" w:eastAsia="zh-CN" w:bidi="ar"/>
                    </w:rPr>
                  </m:ctrlPr>
                </m:eqArrPr>
                <m:e>
                  <m:r>
                    <m:rPr>
                      <m:sty m:val="p"/>
                    </m:rPr>
                    <w:rPr>
                      <w:rFonts w:hint="eastAsia" w:ascii="Cambria Math" w:hAnsi="Cambria Math" w:eastAsia="仿宋_GB2312" w:cs="仿宋_GB2312"/>
                      <w:kern w:val="0"/>
                      <w:sz w:val="32"/>
                      <w:szCs w:val="32"/>
                      <w:lang w:val="en-US" w:eastAsia="zh-CN" w:bidi="ar"/>
                    </w:rPr>
                    <m:t>100，N</m:t>
                  </m:r>
                  <m:r>
                    <m:rPr>
                      <m:sty m:val="p"/>
                    </m:rPr>
                    <w:rPr>
                      <w:rFonts w:hint="eastAsia" w:ascii="DejaVu Math TeX Gyre" w:hAnsi="DejaVu Math TeX Gyre" w:eastAsia="仿宋_GB2312" w:cs="仿宋_GB2312"/>
                      <w:kern w:val="0"/>
                      <w:sz w:val="32"/>
                      <w:szCs w:val="32"/>
                      <w:lang w:val="en-US" w:eastAsia="zh-CN" w:bidi="ar"/>
                    </w:rPr>
                    <m:t>3</m:t>
                  </m:r>
                  <m:r>
                    <m:rPr>
                      <m:sty m:val="p"/>
                    </m:rPr>
                    <w:rPr>
                      <w:rFonts w:hint="eastAsia" w:ascii="Cambria Math" w:hAnsi="Cambria Math" w:eastAsia="仿宋_GB2312" w:cs="仿宋_GB2312"/>
                      <w:kern w:val="0"/>
                      <w:sz w:val="32"/>
                      <w:szCs w:val="32"/>
                      <w:lang w:val="en-US" w:eastAsia="zh-CN" w:bidi="ar"/>
                    </w:rPr>
                    <m:t>≥25%</m:t>
                  </m:r>
                  <m:ctrlPr>
                    <w:rPr>
                      <w:rFonts w:hint="eastAsia" w:ascii="Cambria Math" w:hAnsi="Cambria Math" w:eastAsia="仿宋_GB2312" w:cs="仿宋_GB2312"/>
                      <w:kern w:val="0"/>
                      <w:sz w:val="32"/>
                      <w:szCs w:val="32"/>
                      <w:lang w:val="en-US" w:eastAsia="zh-CN" w:bidi="ar"/>
                    </w:rPr>
                  </m:ctrlPr>
                </m:e>
                <m:e>
                  <m:r>
                    <m:rPr>
                      <m:sty m:val="p"/>
                    </m:rPr>
                    <w:rPr>
                      <w:rFonts w:hint="eastAsia" w:ascii="Cambria Math" w:hAnsi="Cambria Math" w:eastAsia="仿宋_GB2312" w:cs="仿宋_GB2312"/>
                      <w:kern w:val="0"/>
                      <w:sz w:val="32"/>
                      <w:szCs w:val="32"/>
                      <w:lang w:val="en-US" w:eastAsia="zh-CN" w:bidi="ar"/>
                    </w:rPr>
                    <m:t>400×N</m:t>
                  </m:r>
                  <m:r>
                    <m:rPr>
                      <m:sty m:val="p"/>
                    </m:rPr>
                    <w:rPr>
                      <w:rFonts w:hint="eastAsia" w:ascii="DejaVu Math TeX Gyre" w:hAnsi="DejaVu Math TeX Gyre" w:eastAsia="仿宋_GB2312" w:cs="仿宋_GB2312"/>
                      <w:kern w:val="0"/>
                      <w:sz w:val="32"/>
                      <w:szCs w:val="32"/>
                      <w:lang w:val="en-US" w:eastAsia="zh-CN" w:bidi="ar"/>
                    </w:rPr>
                    <m:t>3</m:t>
                  </m:r>
                  <m:r>
                    <m:rPr>
                      <m:sty m:val="p"/>
                    </m:rPr>
                    <w:rPr>
                      <w:rFonts w:hint="eastAsia" w:ascii="Cambria Math" w:hAnsi="Cambria Math" w:eastAsia="仿宋_GB2312" w:cs="仿宋_GB2312"/>
                      <w:kern w:val="0"/>
                      <w:sz w:val="32"/>
                      <w:szCs w:val="32"/>
                      <w:lang w:val="en-US" w:eastAsia="zh-CN" w:bidi="ar"/>
                    </w:rPr>
                    <m:t>，N</m:t>
                  </m:r>
                  <m:r>
                    <m:rPr>
                      <m:sty m:val="p"/>
                    </m:rPr>
                    <w:rPr>
                      <w:rFonts w:hint="eastAsia" w:ascii="DejaVu Math TeX Gyre" w:hAnsi="DejaVu Math TeX Gyre" w:eastAsia="仿宋_GB2312" w:cs="仿宋_GB2312"/>
                      <w:kern w:val="0"/>
                      <w:sz w:val="32"/>
                      <w:szCs w:val="32"/>
                      <w:lang w:val="en-US" w:eastAsia="zh-CN" w:bidi="ar"/>
                    </w:rPr>
                    <m:t>3</m:t>
                  </m:r>
                  <m:r>
                    <m:rPr>
                      <m:sty m:val="p"/>
                    </m:rPr>
                    <w:rPr>
                      <w:rFonts w:hint="eastAsia" w:ascii="Cambria Math" w:hAnsi="Cambria Math" w:eastAsia="仿宋_GB2312" w:cs="仿宋_GB2312"/>
                      <w:kern w:val="0"/>
                      <w:sz w:val="32"/>
                      <w:szCs w:val="32"/>
                      <w:lang w:val="en-US" w:eastAsia="zh-CN" w:bidi="ar"/>
                    </w:rPr>
                    <m:t>&lt;25%</m:t>
                  </m:r>
                  <m:ctrlPr>
                    <w:rPr>
                      <w:rFonts w:hint="eastAsia" w:ascii="Cambria Math" w:hAnsi="Cambria Math" w:eastAsia="仿宋_GB2312" w:cs="仿宋_GB2312"/>
                      <w:kern w:val="0"/>
                      <w:sz w:val="32"/>
                      <w:szCs w:val="32"/>
                      <w:lang w:val="en-US" w:eastAsia="zh-CN" w:bidi="ar"/>
                    </w:rPr>
                  </m:ctrlPr>
                </m:e>
              </m:eqArr>
              <m:ctrlPr>
                <w:rPr>
                  <w:rFonts w:hint="eastAsia" w:ascii="Cambria Math" w:hAnsi="Cambria Math" w:eastAsia="仿宋_GB2312" w:cs="仿宋_GB2312"/>
                  <w:kern w:val="0"/>
                  <w:sz w:val="32"/>
                  <w:szCs w:val="32"/>
                  <w:lang w:val="en-US" w:eastAsia="zh-CN" w:bidi="ar"/>
                </w:rPr>
              </m:ctrlPr>
            </m:e>
          </m:d>
        </m:oMath>
      </m:oMathPara>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式中：S3—再生水利用率得分。</w:t>
      </w:r>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楷体" w:hAnsi="楷体" w:eastAsia="楷体" w:cs="楷体"/>
          <w:kern w:val="0"/>
          <w:sz w:val="32"/>
          <w:szCs w:val="32"/>
          <w:lang w:val="en-US" w:eastAsia="zh-CN" w:bidi="ar"/>
        </w:rPr>
      </w:pPr>
      <w:r>
        <w:rPr>
          <w:rFonts w:hint="eastAsia" w:ascii="楷体" w:hAnsi="楷体" w:eastAsia="楷体" w:cs="楷体"/>
          <w:kern w:val="0"/>
          <w:sz w:val="32"/>
          <w:szCs w:val="32"/>
          <w:lang w:val="en-US" w:eastAsia="zh-CN" w:bidi="ar"/>
        </w:rPr>
        <w:t>（四）</w:t>
      </w:r>
      <w:r>
        <w:rPr>
          <w:rFonts w:hint="eastAsia" w:ascii="楷体" w:hAnsi="楷体" w:eastAsia="楷体" w:cs="楷体"/>
          <w:kern w:val="0"/>
          <w:sz w:val="32"/>
          <w:szCs w:val="32"/>
          <w:lang w:val="en-US" w:eastAsia="zh-CN" w:bidi="ar"/>
        </w:rPr>
        <w:t>市政管网漏损率N4</w:t>
      </w:r>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市政管网漏损率定义为：在统计期间内，管辖范围内市政管网漏水量占供水总量的百分比，单位为：%，计算公式如下：</w:t>
      </w:r>
    </w:p>
    <w:p>
      <w:pPr>
        <w:keepNext w:val="0"/>
        <w:keepLines w:val="0"/>
        <w:pageBreakBefore w:val="0"/>
        <w:kinsoku/>
        <w:wordWrap/>
        <w:overflowPunct/>
        <w:topLinePunct w:val="0"/>
        <w:autoSpaceDE/>
        <w:autoSpaceDN/>
        <w:bidi w:val="0"/>
        <w:adjustRightInd/>
        <w:snapToGrid/>
        <w:spacing w:line="360" w:lineRule="auto"/>
        <w:ind w:firstLine="640" w:firstLineChars="200"/>
        <w:jc w:val="both"/>
        <w:rPr>
          <w:rFonts w:hint="eastAsia" w:ascii="仿宋_GB2312" w:hAnsi="仿宋_GB2312" w:eastAsia="仿宋_GB2312" w:cs="仿宋_GB2312"/>
          <w:kern w:val="0"/>
          <w:sz w:val="32"/>
          <w:szCs w:val="32"/>
          <w:lang w:val="en-US" w:eastAsia="zh-CN" w:bidi="ar"/>
        </w:rPr>
      </w:pPr>
      <m:oMathPara>
        <m:oMath>
          <m:r>
            <m:rPr>
              <m:sty m:val="p"/>
            </m:rPr>
            <w:rPr>
              <w:rFonts w:hint="eastAsia" w:ascii="Cambria Math" w:hAnsi="Cambria Math" w:eastAsia="仿宋_GB2312" w:cs="仿宋_GB2312"/>
              <w:kern w:val="0"/>
              <w:sz w:val="32"/>
              <w:szCs w:val="32"/>
              <w:lang w:val="en-US" w:eastAsia="zh-CN" w:bidi="ar"/>
            </w:rPr>
            <m:t>N</m:t>
          </m:r>
          <m:r>
            <m:rPr>
              <m:sty m:val="p"/>
            </m:rPr>
            <w:rPr>
              <w:rFonts w:hint="eastAsia" w:ascii="DejaVu Math TeX Gyre" w:hAnsi="DejaVu Math TeX Gyre" w:eastAsia="仿宋_GB2312" w:cs="仿宋_GB2312"/>
              <w:kern w:val="0"/>
              <w:sz w:val="32"/>
              <w:szCs w:val="32"/>
              <w:lang w:val="en-US" w:eastAsia="zh-CN" w:bidi="ar"/>
            </w:rPr>
            <m:t>4</m:t>
          </m:r>
          <m:r>
            <m:rPr>
              <m:sty m:val="p"/>
            </m:rPr>
            <w:rPr>
              <w:rFonts w:hint="eastAsia" w:ascii="Cambria Math" w:hAnsi="Cambria Math" w:eastAsia="仿宋_GB2312" w:cs="仿宋_GB2312"/>
              <w:kern w:val="0"/>
              <w:sz w:val="32"/>
              <w:szCs w:val="32"/>
              <w:lang w:val="en-US" w:eastAsia="zh-CN" w:bidi="ar"/>
            </w:rPr>
            <m:t>=</m:t>
          </m:r>
          <m:f>
            <m:fPr>
              <m:ctrlPr>
                <w:rPr>
                  <w:rFonts w:hint="eastAsia" w:ascii="Cambria Math" w:hAnsi="Cambria Math" w:eastAsia="仿宋_GB2312" w:cs="仿宋_GB2312"/>
                  <w:kern w:val="0"/>
                  <w:sz w:val="32"/>
                  <w:szCs w:val="32"/>
                  <w:lang w:val="en-US" w:eastAsia="zh-CN" w:bidi="ar"/>
                </w:rPr>
              </m:ctrlPr>
            </m:fPr>
            <m:num>
              <m:r>
                <m:rPr>
                  <m:sty m:val="p"/>
                </m:rPr>
                <w:rPr>
                  <w:rFonts w:hint="eastAsia" w:ascii="Cambria Math" w:hAnsi="Cambria Math" w:eastAsia="仿宋_GB2312" w:cs="仿宋_GB2312"/>
                  <w:kern w:val="0"/>
                  <w:sz w:val="32"/>
                  <w:szCs w:val="32"/>
                  <w:lang w:val="en-US" w:eastAsia="zh-CN" w:bidi="ar"/>
                </w:rPr>
                <m:t>Q</m:t>
              </m:r>
              <m:r>
                <m:rPr>
                  <m:sty m:val="p"/>
                </m:rPr>
                <w:rPr>
                  <w:rFonts w:hint="eastAsia" w:ascii="DejaVu Math TeX Gyre" w:hAnsi="DejaVu Math TeX Gyre" w:eastAsia="仿宋_GB2312" w:cs="仿宋_GB2312"/>
                  <w:kern w:val="0"/>
                  <w:sz w:val="32"/>
                  <w:szCs w:val="32"/>
                  <w:lang w:val="en-US" w:eastAsia="zh-CN" w:bidi="ar"/>
                </w:rPr>
                <m:t>1</m:t>
              </m:r>
              <m:ctrlPr>
                <w:rPr>
                  <w:rFonts w:hint="eastAsia" w:ascii="Cambria Math" w:hAnsi="Cambria Math" w:eastAsia="仿宋_GB2312" w:cs="仿宋_GB2312"/>
                  <w:kern w:val="0"/>
                  <w:sz w:val="32"/>
                  <w:szCs w:val="32"/>
                  <w:lang w:val="en-US" w:eastAsia="zh-CN" w:bidi="ar"/>
                </w:rPr>
              </m:ctrlPr>
            </m:num>
            <m:den>
              <m:r>
                <m:rPr>
                  <m:sty m:val="p"/>
                </m:rPr>
                <w:rPr>
                  <w:rFonts w:hint="eastAsia" w:ascii="Cambria Math" w:hAnsi="Cambria Math" w:eastAsia="仿宋_GB2312" w:cs="仿宋_GB2312"/>
                  <w:kern w:val="0"/>
                  <w:sz w:val="32"/>
                  <w:szCs w:val="32"/>
                  <w:lang w:val="en-US" w:eastAsia="zh-CN" w:bidi="ar"/>
                </w:rPr>
                <m:t>Q</m:t>
              </m:r>
              <m:r>
                <m:rPr>
                  <m:sty m:val="p"/>
                </m:rPr>
                <w:rPr>
                  <w:rFonts w:hint="eastAsia" w:ascii="DejaVu Math TeX Gyre" w:hAnsi="DejaVu Math TeX Gyre" w:eastAsia="仿宋_GB2312" w:cs="仿宋_GB2312"/>
                  <w:kern w:val="0"/>
                  <w:sz w:val="32"/>
                  <w:szCs w:val="32"/>
                  <w:lang w:val="en-US" w:eastAsia="zh-CN" w:bidi="ar"/>
                </w:rPr>
                <m:t>2</m:t>
              </m:r>
              <m:ctrlPr>
                <w:rPr>
                  <w:rFonts w:hint="eastAsia" w:ascii="Cambria Math" w:hAnsi="Cambria Math" w:eastAsia="仿宋_GB2312" w:cs="仿宋_GB2312"/>
                  <w:kern w:val="0"/>
                  <w:sz w:val="32"/>
                  <w:szCs w:val="32"/>
                  <w:lang w:val="en-US" w:eastAsia="zh-CN" w:bidi="ar"/>
                </w:rPr>
              </m:ctrlPr>
            </m:den>
          </m:f>
        </m:oMath>
      </m:oMathPara>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式中：N4—市政管网漏损率（%）</w:t>
      </w:r>
    </w:p>
    <w:p>
      <w:pPr>
        <w:keepNext w:val="0"/>
        <w:keepLines w:val="0"/>
        <w:pageBreakBefore w:val="0"/>
        <w:kinsoku/>
        <w:wordWrap/>
        <w:overflowPunct/>
        <w:topLinePunct w:val="0"/>
        <w:autoSpaceDE/>
        <w:autoSpaceDN/>
        <w:bidi w:val="0"/>
        <w:adjustRightInd/>
        <w:snapToGrid/>
        <w:spacing w:line="579" w:lineRule="exact"/>
        <w:ind w:firstLine="1600" w:firstLineChars="5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Q1—管辖范围内市政管网漏水量（立方米）</w:t>
      </w:r>
    </w:p>
    <w:p>
      <w:pPr>
        <w:keepNext w:val="0"/>
        <w:keepLines w:val="0"/>
        <w:pageBreakBefore w:val="0"/>
        <w:kinsoku/>
        <w:wordWrap/>
        <w:overflowPunct/>
        <w:topLinePunct w:val="0"/>
        <w:autoSpaceDE/>
        <w:autoSpaceDN/>
        <w:bidi w:val="0"/>
        <w:adjustRightInd/>
        <w:snapToGrid/>
        <w:spacing w:line="579" w:lineRule="exact"/>
        <w:ind w:firstLine="1600" w:firstLineChars="5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Q2—管辖范围内供水总量（立方米）</w:t>
      </w:r>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将上式结果转换为0-100间的得分，计算公式为：</w:t>
      </w:r>
    </w:p>
    <w:p>
      <w:pPr>
        <w:keepNext w:val="0"/>
        <w:keepLines w:val="0"/>
        <w:pageBreakBefore w:val="0"/>
        <w:kinsoku/>
        <w:wordWrap/>
        <w:overflowPunct/>
        <w:topLinePunct w:val="0"/>
        <w:autoSpaceDE/>
        <w:autoSpaceDN/>
        <w:bidi w:val="0"/>
        <w:adjustRightInd/>
        <w:snapToGrid/>
        <w:spacing w:line="360" w:lineRule="auto"/>
        <w:ind w:firstLine="640" w:firstLineChars="200"/>
        <w:jc w:val="both"/>
        <w:rPr>
          <w:rFonts w:hint="eastAsia" w:ascii="仿宋_GB2312" w:hAnsi="仿宋_GB2312" w:eastAsia="仿宋_GB2312" w:cs="仿宋_GB2312"/>
          <w:kern w:val="0"/>
          <w:sz w:val="32"/>
          <w:szCs w:val="32"/>
          <w:lang w:val="en-US" w:eastAsia="zh-CN" w:bidi="ar"/>
        </w:rPr>
      </w:pPr>
      <m:oMathPara>
        <m:oMath>
          <m:r>
            <m:rPr>
              <m:sty m:val="p"/>
            </m:rPr>
            <w:rPr>
              <w:rFonts w:hint="eastAsia" w:ascii="Cambria Math" w:hAnsi="Cambria Math" w:eastAsia="仿宋_GB2312" w:cs="仿宋_GB2312"/>
              <w:kern w:val="0"/>
              <w:sz w:val="32"/>
              <w:szCs w:val="32"/>
              <w:lang w:val="en-US" w:eastAsia="zh-CN" w:bidi="ar"/>
            </w:rPr>
            <m:t>S</m:t>
          </m:r>
          <m:r>
            <m:rPr>
              <m:sty m:val="p"/>
            </m:rPr>
            <w:rPr>
              <w:rFonts w:hint="eastAsia" w:ascii="DejaVu Math TeX Gyre" w:hAnsi="DejaVu Math TeX Gyre" w:eastAsia="仿宋_GB2312" w:cs="仿宋_GB2312"/>
              <w:kern w:val="0"/>
              <w:sz w:val="32"/>
              <w:szCs w:val="32"/>
              <w:lang w:val="en-US" w:eastAsia="zh-CN" w:bidi="ar"/>
            </w:rPr>
            <m:t>4</m:t>
          </m:r>
          <m:r>
            <m:rPr>
              <m:sty m:val="p"/>
            </m:rPr>
            <w:rPr>
              <w:rFonts w:hint="eastAsia" w:ascii="Cambria Math" w:hAnsi="Cambria Math" w:eastAsia="仿宋_GB2312" w:cs="仿宋_GB2312"/>
              <w:kern w:val="0"/>
              <w:sz w:val="32"/>
              <w:szCs w:val="32"/>
              <w:lang w:val="en-US" w:eastAsia="zh-CN" w:bidi="ar"/>
            </w:rPr>
            <m:t>=</m:t>
          </m:r>
          <m:d>
            <m:dPr>
              <m:begChr m:val="{"/>
              <m:endChr m:val=""/>
              <m:ctrlPr>
                <w:rPr>
                  <w:rFonts w:hint="eastAsia" w:ascii="Cambria Math" w:hAnsi="Cambria Math" w:eastAsia="仿宋_GB2312" w:cs="仿宋_GB2312"/>
                  <w:kern w:val="0"/>
                  <w:sz w:val="32"/>
                  <w:szCs w:val="32"/>
                  <w:lang w:val="en-US" w:eastAsia="zh-CN" w:bidi="ar"/>
                </w:rPr>
              </m:ctrlPr>
            </m:dPr>
            <m:e>
              <m:eqArr>
                <m:eqArrPr>
                  <m:ctrlPr>
                    <w:rPr>
                      <w:rFonts w:hint="eastAsia" w:ascii="Cambria Math" w:hAnsi="Cambria Math" w:eastAsia="仿宋_GB2312" w:cs="仿宋_GB2312"/>
                      <w:kern w:val="0"/>
                      <w:sz w:val="32"/>
                      <w:szCs w:val="32"/>
                      <w:lang w:val="en-US" w:eastAsia="zh-CN" w:bidi="ar"/>
                    </w:rPr>
                  </m:ctrlPr>
                </m:eqArrPr>
                <m:e>
                  <m:r>
                    <m:rPr>
                      <m:sty m:val="p"/>
                    </m:rPr>
                    <w:rPr>
                      <w:rFonts w:hint="eastAsia" w:ascii="Cambria Math" w:hAnsi="Cambria Math" w:eastAsia="仿宋_GB2312" w:cs="仿宋_GB2312"/>
                      <w:kern w:val="0"/>
                      <w:sz w:val="32"/>
                      <w:szCs w:val="32"/>
                      <w:lang w:val="en-US" w:eastAsia="zh-CN" w:bidi="ar"/>
                    </w:rPr>
                    <m:t>100，N</m:t>
                  </m:r>
                  <m:r>
                    <m:rPr>
                      <m:sty m:val="p"/>
                    </m:rPr>
                    <w:rPr>
                      <w:rFonts w:hint="eastAsia" w:ascii="DejaVu Math TeX Gyre" w:hAnsi="DejaVu Math TeX Gyre" w:eastAsia="仿宋_GB2312" w:cs="仿宋_GB2312"/>
                      <w:kern w:val="0"/>
                      <w:sz w:val="32"/>
                      <w:szCs w:val="32"/>
                      <w:lang w:val="en-US" w:eastAsia="zh-CN" w:bidi="ar"/>
                    </w:rPr>
                    <m:t>4</m:t>
                  </m:r>
                  <m:r>
                    <m:rPr>
                      <m:sty m:val="p"/>
                    </m:rPr>
                    <w:rPr>
                      <w:rFonts w:hint="eastAsia" w:ascii="Cambria Math" w:hAnsi="Cambria Math" w:eastAsia="仿宋_GB2312" w:cs="仿宋_GB2312"/>
                      <w:kern w:val="0"/>
                      <w:sz w:val="32"/>
                      <w:szCs w:val="32"/>
                      <w:lang w:val="en-US" w:eastAsia="zh-CN" w:bidi="ar"/>
                    </w:rPr>
                    <m:t>≤5%</m:t>
                  </m:r>
                  <m:ctrlPr>
                    <w:rPr>
                      <w:rFonts w:hint="eastAsia" w:ascii="Cambria Math" w:hAnsi="Cambria Math" w:eastAsia="仿宋_GB2312" w:cs="仿宋_GB2312"/>
                      <w:kern w:val="0"/>
                      <w:sz w:val="32"/>
                      <w:szCs w:val="32"/>
                      <w:lang w:val="en-US" w:eastAsia="zh-CN" w:bidi="ar"/>
                    </w:rPr>
                  </m:ctrlPr>
                </m:e>
                <m:e>
                  <m:r>
                    <m:rPr>
                      <m:sty m:val="p"/>
                    </m:rPr>
                    <w:rPr>
                      <w:rFonts w:hint="eastAsia" w:ascii="Cambria Math" w:hAnsi="Cambria Math" w:eastAsia="仿宋_GB2312" w:cs="仿宋_GB2312"/>
                      <w:kern w:val="0"/>
                      <w:sz w:val="32"/>
                      <w:szCs w:val="32"/>
                      <w:lang w:val="en-US" w:eastAsia="zh-CN" w:bidi="ar"/>
                    </w:rPr>
                    <m:t>200−2000×N</m:t>
                  </m:r>
                  <m:r>
                    <m:rPr>
                      <m:sty m:val="p"/>
                    </m:rPr>
                    <w:rPr>
                      <w:rFonts w:hint="eastAsia" w:ascii="DejaVu Math TeX Gyre" w:hAnsi="DejaVu Math TeX Gyre" w:eastAsia="仿宋_GB2312" w:cs="仿宋_GB2312"/>
                      <w:kern w:val="0"/>
                      <w:sz w:val="32"/>
                      <w:szCs w:val="32"/>
                      <w:lang w:val="en-US" w:eastAsia="zh-CN" w:bidi="ar"/>
                    </w:rPr>
                    <m:t>4</m:t>
                  </m:r>
                  <m:r>
                    <m:rPr>
                      <m:sty m:val="p"/>
                    </m:rPr>
                    <w:rPr>
                      <w:rFonts w:hint="eastAsia" w:ascii="Cambria Math" w:hAnsi="Cambria Math" w:eastAsia="仿宋_GB2312" w:cs="仿宋_GB2312"/>
                      <w:kern w:val="0"/>
                      <w:sz w:val="32"/>
                      <w:szCs w:val="32"/>
                      <w:lang w:val="en-US" w:eastAsia="zh-CN" w:bidi="ar"/>
                    </w:rPr>
                    <m:t>，5%&lt;N</m:t>
                  </m:r>
                  <m:r>
                    <m:rPr>
                      <m:sty m:val="p"/>
                    </m:rPr>
                    <w:rPr>
                      <w:rFonts w:hint="eastAsia" w:ascii="DejaVu Math TeX Gyre" w:hAnsi="DejaVu Math TeX Gyre" w:eastAsia="仿宋_GB2312" w:cs="仿宋_GB2312"/>
                      <w:kern w:val="0"/>
                      <w:sz w:val="32"/>
                      <w:szCs w:val="32"/>
                      <w:lang w:val="en-US" w:eastAsia="zh-CN" w:bidi="ar"/>
                    </w:rPr>
                    <m:t>4</m:t>
                  </m:r>
                  <m:r>
                    <m:rPr>
                      <m:sty m:val="p"/>
                    </m:rPr>
                    <w:rPr>
                      <w:rFonts w:hint="eastAsia" w:ascii="Cambria Math" w:hAnsi="Cambria Math" w:eastAsia="仿宋_GB2312" w:cs="仿宋_GB2312"/>
                      <w:kern w:val="0"/>
                      <w:sz w:val="32"/>
                      <w:szCs w:val="32"/>
                      <w:lang w:val="en-US" w:eastAsia="zh-CN" w:bidi="ar"/>
                    </w:rPr>
                    <m:t>&lt;10%</m:t>
                  </m:r>
                  <m:ctrlPr>
                    <w:rPr>
                      <w:rFonts w:hint="eastAsia" w:ascii="Cambria Math" w:hAnsi="Cambria Math" w:eastAsia="仿宋_GB2312" w:cs="仿宋_GB2312"/>
                      <w:kern w:val="0"/>
                      <w:sz w:val="32"/>
                      <w:szCs w:val="32"/>
                      <w:lang w:val="en-US" w:eastAsia="zh-CN" w:bidi="ar"/>
                    </w:rPr>
                  </m:ctrlPr>
                </m:e>
                <m:e>
                  <m:r>
                    <m:rPr>
                      <m:sty m:val="p"/>
                    </m:rPr>
                    <w:rPr>
                      <w:rFonts w:hint="eastAsia" w:ascii="Cambria Math" w:hAnsi="Cambria Math" w:eastAsia="仿宋_GB2312" w:cs="仿宋_GB2312"/>
                      <w:kern w:val="0"/>
                      <w:sz w:val="32"/>
                      <w:szCs w:val="32"/>
                      <w:lang w:val="en-US" w:eastAsia="zh-CN" w:bidi="ar"/>
                    </w:rPr>
                    <m:t>0，N</m:t>
                  </m:r>
                  <m:r>
                    <m:rPr>
                      <m:sty m:val="p"/>
                    </m:rPr>
                    <w:rPr>
                      <w:rFonts w:hint="eastAsia" w:ascii="DejaVu Math TeX Gyre" w:hAnsi="DejaVu Math TeX Gyre" w:eastAsia="仿宋_GB2312" w:cs="仿宋_GB2312"/>
                      <w:kern w:val="0"/>
                      <w:sz w:val="32"/>
                      <w:szCs w:val="32"/>
                      <w:lang w:val="en-US" w:eastAsia="zh-CN" w:bidi="ar"/>
                    </w:rPr>
                    <m:t>4</m:t>
                  </m:r>
                  <m:r>
                    <m:rPr>
                      <m:sty m:val="p"/>
                    </m:rPr>
                    <w:rPr>
                      <w:rFonts w:hint="eastAsia" w:ascii="Cambria Math" w:hAnsi="Cambria Math" w:eastAsia="仿宋_GB2312" w:cs="仿宋_GB2312"/>
                      <w:kern w:val="0"/>
                      <w:sz w:val="32"/>
                      <w:szCs w:val="32"/>
                      <w:lang w:val="en-US" w:eastAsia="zh-CN" w:bidi="ar"/>
                    </w:rPr>
                    <m:t>≥10&amp;%</m:t>
                  </m:r>
                  <m:ctrlPr>
                    <w:rPr>
                      <w:rFonts w:hint="eastAsia" w:ascii="Cambria Math" w:hAnsi="Cambria Math" w:eastAsia="仿宋_GB2312" w:cs="仿宋_GB2312"/>
                      <w:kern w:val="0"/>
                      <w:sz w:val="32"/>
                      <w:szCs w:val="32"/>
                      <w:lang w:val="en-US" w:eastAsia="zh-CN" w:bidi="ar"/>
                    </w:rPr>
                  </m:ctrlPr>
                </m:e>
              </m:eqArr>
              <m:ctrlPr>
                <w:rPr>
                  <w:rFonts w:hint="eastAsia" w:ascii="Cambria Math" w:hAnsi="Cambria Math" w:eastAsia="仿宋_GB2312" w:cs="仿宋_GB2312"/>
                  <w:kern w:val="0"/>
                  <w:sz w:val="32"/>
                  <w:szCs w:val="32"/>
                  <w:lang w:val="en-US" w:eastAsia="zh-CN" w:bidi="ar"/>
                </w:rPr>
              </m:ctrlPr>
            </m:e>
          </m:d>
        </m:oMath>
      </m:oMathPara>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式中：S4—市政管网漏损率得分</w:t>
      </w:r>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楷体" w:hAnsi="楷体" w:eastAsia="楷体" w:cs="楷体"/>
          <w:kern w:val="0"/>
          <w:sz w:val="32"/>
          <w:szCs w:val="32"/>
          <w:lang w:val="en-US" w:eastAsia="zh-CN" w:bidi="ar"/>
        </w:rPr>
      </w:pPr>
      <w:r>
        <w:rPr>
          <w:rFonts w:hint="eastAsia" w:ascii="楷体" w:hAnsi="楷体" w:eastAsia="楷体" w:cs="楷体"/>
          <w:kern w:val="0"/>
          <w:sz w:val="32"/>
          <w:szCs w:val="32"/>
          <w:lang w:val="en-US" w:eastAsia="zh-CN" w:bidi="ar"/>
        </w:rPr>
        <w:t>（五）</w:t>
      </w:r>
      <w:r>
        <w:rPr>
          <w:rFonts w:hint="eastAsia" w:ascii="楷体" w:hAnsi="楷体" w:eastAsia="楷体" w:cs="楷体"/>
          <w:kern w:val="0"/>
          <w:sz w:val="32"/>
          <w:szCs w:val="32"/>
          <w:lang w:val="en-US" w:eastAsia="zh-CN" w:bidi="ar"/>
        </w:rPr>
        <w:t>小区供水管网漏损率N5</w:t>
      </w:r>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小区供水管网漏损率定义为：在统计期间内，管辖范围内小区漏水量占小区供水总量的百分比，单位：%，计算公式如下：</w:t>
      </w:r>
    </w:p>
    <w:p>
      <w:pPr>
        <w:keepNext w:val="0"/>
        <w:keepLines w:val="0"/>
        <w:pageBreakBefore w:val="0"/>
        <w:kinsoku/>
        <w:wordWrap/>
        <w:overflowPunct/>
        <w:topLinePunct w:val="0"/>
        <w:autoSpaceDE/>
        <w:autoSpaceDN/>
        <w:bidi w:val="0"/>
        <w:adjustRightInd/>
        <w:snapToGrid/>
        <w:spacing w:line="360" w:lineRule="auto"/>
        <w:ind w:firstLine="640" w:firstLineChars="200"/>
        <w:jc w:val="both"/>
        <w:rPr>
          <w:rFonts w:hint="eastAsia" w:ascii="仿宋_GB2312" w:hAnsi="仿宋_GB2312" w:eastAsia="仿宋_GB2312" w:cs="仿宋_GB2312"/>
          <w:kern w:val="0"/>
          <w:sz w:val="32"/>
          <w:szCs w:val="32"/>
          <w:lang w:val="en-US" w:eastAsia="zh-CN" w:bidi="ar"/>
        </w:rPr>
      </w:pPr>
      <m:oMathPara>
        <m:oMath>
          <m:r>
            <m:rPr>
              <m:sty m:val="p"/>
            </m:rPr>
            <w:rPr>
              <w:rFonts w:hint="eastAsia" w:ascii="Cambria Math" w:hAnsi="Cambria Math" w:eastAsia="仿宋_GB2312" w:cs="仿宋_GB2312"/>
              <w:kern w:val="0"/>
              <w:sz w:val="32"/>
              <w:szCs w:val="32"/>
              <w:lang w:val="en-US" w:eastAsia="zh-CN" w:bidi="ar"/>
            </w:rPr>
            <m:t>N</m:t>
          </m:r>
          <m:r>
            <m:rPr>
              <m:sty m:val="p"/>
            </m:rPr>
            <w:rPr>
              <w:rFonts w:hint="eastAsia" w:ascii="DejaVu Math TeX Gyre" w:hAnsi="DejaVu Math TeX Gyre" w:eastAsia="仿宋_GB2312" w:cs="仿宋_GB2312"/>
              <w:kern w:val="0"/>
              <w:sz w:val="32"/>
              <w:szCs w:val="32"/>
              <w:lang w:val="en-US" w:eastAsia="zh-CN" w:bidi="ar"/>
            </w:rPr>
            <m:t>5</m:t>
          </m:r>
          <m:r>
            <m:rPr>
              <m:sty m:val="p"/>
            </m:rPr>
            <w:rPr>
              <w:rFonts w:hint="eastAsia" w:ascii="Cambria Math" w:hAnsi="Cambria Math" w:eastAsia="仿宋_GB2312" w:cs="仿宋_GB2312"/>
              <w:kern w:val="0"/>
              <w:sz w:val="32"/>
              <w:szCs w:val="32"/>
              <w:lang w:val="en-US" w:eastAsia="zh-CN" w:bidi="ar"/>
            </w:rPr>
            <m:t>=</m:t>
          </m:r>
          <m:f>
            <m:fPr>
              <m:ctrlPr>
                <w:rPr>
                  <w:rFonts w:hint="eastAsia" w:ascii="Cambria Math" w:hAnsi="Cambria Math" w:eastAsia="仿宋_GB2312" w:cs="仿宋_GB2312"/>
                  <w:kern w:val="0"/>
                  <w:sz w:val="32"/>
                  <w:szCs w:val="32"/>
                  <w:lang w:val="en-US" w:eastAsia="zh-CN" w:bidi="ar"/>
                </w:rPr>
              </m:ctrlPr>
            </m:fPr>
            <m:num>
              <m:r>
                <m:rPr>
                  <m:sty m:val="p"/>
                </m:rPr>
                <w:rPr>
                  <w:rFonts w:hint="eastAsia" w:ascii="Cambria Math" w:hAnsi="Cambria Math" w:eastAsia="仿宋_GB2312" w:cs="仿宋_GB2312"/>
                  <w:kern w:val="0"/>
                  <w:sz w:val="32"/>
                  <w:szCs w:val="32"/>
                  <w:lang w:val="en-US" w:eastAsia="zh-CN" w:bidi="ar"/>
                </w:rPr>
                <m:t>Q</m:t>
              </m:r>
              <m:r>
                <m:rPr>
                  <m:sty m:val="p"/>
                </m:rPr>
                <w:rPr>
                  <w:rFonts w:hint="eastAsia" w:ascii="DejaVu Math TeX Gyre" w:hAnsi="DejaVu Math TeX Gyre" w:eastAsia="仿宋_GB2312" w:cs="仿宋_GB2312"/>
                  <w:kern w:val="0"/>
                  <w:sz w:val="32"/>
                  <w:szCs w:val="32"/>
                  <w:lang w:val="en-US" w:eastAsia="zh-CN" w:bidi="ar"/>
                </w:rPr>
                <m:t>3</m:t>
              </m:r>
              <m:ctrlPr>
                <w:rPr>
                  <w:rFonts w:hint="eastAsia" w:ascii="Cambria Math" w:hAnsi="Cambria Math" w:eastAsia="仿宋_GB2312" w:cs="仿宋_GB2312"/>
                  <w:kern w:val="0"/>
                  <w:sz w:val="32"/>
                  <w:szCs w:val="32"/>
                  <w:lang w:val="en-US" w:eastAsia="zh-CN" w:bidi="ar"/>
                </w:rPr>
              </m:ctrlPr>
            </m:num>
            <m:den>
              <m:r>
                <m:rPr>
                  <m:sty m:val="p"/>
                </m:rPr>
                <w:rPr>
                  <w:rFonts w:hint="eastAsia" w:ascii="Cambria Math" w:hAnsi="Cambria Math" w:eastAsia="仿宋_GB2312" w:cs="仿宋_GB2312"/>
                  <w:kern w:val="0"/>
                  <w:sz w:val="32"/>
                  <w:szCs w:val="32"/>
                  <w:lang w:val="en-US" w:eastAsia="zh-CN" w:bidi="ar"/>
                </w:rPr>
                <m:t>Q</m:t>
              </m:r>
              <m:r>
                <m:rPr>
                  <m:sty m:val="p"/>
                </m:rPr>
                <w:rPr>
                  <w:rFonts w:hint="eastAsia" w:ascii="DejaVu Math TeX Gyre" w:hAnsi="DejaVu Math TeX Gyre" w:eastAsia="仿宋_GB2312" w:cs="仿宋_GB2312"/>
                  <w:kern w:val="0"/>
                  <w:sz w:val="32"/>
                  <w:szCs w:val="32"/>
                  <w:lang w:val="en-US" w:eastAsia="zh-CN" w:bidi="ar"/>
                </w:rPr>
                <m:t>4</m:t>
              </m:r>
              <m:ctrlPr>
                <w:rPr>
                  <w:rFonts w:hint="eastAsia" w:ascii="Cambria Math" w:hAnsi="Cambria Math" w:eastAsia="仿宋_GB2312" w:cs="仿宋_GB2312"/>
                  <w:kern w:val="0"/>
                  <w:sz w:val="32"/>
                  <w:szCs w:val="32"/>
                  <w:lang w:val="en-US" w:eastAsia="zh-CN" w:bidi="ar"/>
                </w:rPr>
              </m:ctrlPr>
            </m:den>
          </m:f>
        </m:oMath>
      </m:oMathPara>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式中：N5—小区供水管网漏损率（%）</w:t>
      </w:r>
    </w:p>
    <w:p>
      <w:pPr>
        <w:keepNext w:val="0"/>
        <w:keepLines w:val="0"/>
        <w:pageBreakBefore w:val="0"/>
        <w:kinsoku/>
        <w:wordWrap/>
        <w:overflowPunct/>
        <w:topLinePunct w:val="0"/>
        <w:autoSpaceDE/>
        <w:autoSpaceDN/>
        <w:bidi w:val="0"/>
        <w:adjustRightInd/>
        <w:snapToGrid/>
        <w:spacing w:line="579" w:lineRule="exact"/>
        <w:ind w:firstLine="1600" w:firstLineChars="5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Q3—管辖范围内小区管网漏水量（立方米）</w:t>
      </w:r>
    </w:p>
    <w:p>
      <w:pPr>
        <w:keepNext w:val="0"/>
        <w:keepLines w:val="0"/>
        <w:pageBreakBefore w:val="0"/>
        <w:kinsoku/>
        <w:wordWrap/>
        <w:overflowPunct/>
        <w:topLinePunct w:val="0"/>
        <w:autoSpaceDE/>
        <w:autoSpaceDN/>
        <w:bidi w:val="0"/>
        <w:adjustRightInd/>
        <w:snapToGrid/>
        <w:spacing w:line="579" w:lineRule="exact"/>
        <w:ind w:firstLine="1600" w:firstLineChars="5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Q4—管辖范围内小区供水总量（立方米）</w:t>
      </w:r>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将上式结果转换为0-100间的得分，计算公式为：</w:t>
      </w:r>
    </w:p>
    <w:p>
      <w:pPr>
        <w:keepNext w:val="0"/>
        <w:keepLines w:val="0"/>
        <w:pageBreakBefore w:val="0"/>
        <w:kinsoku/>
        <w:wordWrap/>
        <w:overflowPunct/>
        <w:topLinePunct w:val="0"/>
        <w:autoSpaceDE/>
        <w:autoSpaceDN/>
        <w:bidi w:val="0"/>
        <w:adjustRightInd/>
        <w:snapToGrid/>
        <w:spacing w:line="360" w:lineRule="auto"/>
        <w:ind w:firstLine="640" w:firstLineChars="200"/>
        <w:jc w:val="both"/>
        <w:rPr>
          <w:rFonts w:hint="eastAsia" w:ascii="仿宋_GB2312" w:hAnsi="仿宋_GB2312" w:eastAsia="仿宋_GB2312" w:cs="仿宋_GB2312"/>
          <w:kern w:val="0"/>
          <w:sz w:val="32"/>
          <w:szCs w:val="32"/>
          <w:lang w:val="en-US" w:eastAsia="zh-CN" w:bidi="ar"/>
        </w:rPr>
      </w:pPr>
      <m:oMathPara>
        <m:oMath>
          <m:r>
            <m:rPr>
              <m:sty m:val="p"/>
            </m:rPr>
            <w:rPr>
              <w:rFonts w:hint="eastAsia" w:ascii="Cambria Math" w:hAnsi="Cambria Math" w:eastAsia="仿宋_GB2312" w:cs="仿宋_GB2312"/>
              <w:kern w:val="0"/>
              <w:sz w:val="32"/>
              <w:szCs w:val="32"/>
              <w:lang w:val="en-US" w:eastAsia="zh-CN" w:bidi="ar"/>
            </w:rPr>
            <m:t>S</m:t>
          </m:r>
          <m:r>
            <m:rPr>
              <m:sty m:val="p"/>
            </m:rPr>
            <w:rPr>
              <w:rFonts w:hint="eastAsia" w:ascii="DejaVu Math TeX Gyre" w:hAnsi="DejaVu Math TeX Gyre" w:eastAsia="仿宋_GB2312" w:cs="仿宋_GB2312"/>
              <w:kern w:val="0"/>
              <w:sz w:val="32"/>
              <w:szCs w:val="32"/>
              <w:lang w:val="en-US" w:eastAsia="zh-CN" w:bidi="ar"/>
            </w:rPr>
            <m:t>5</m:t>
          </m:r>
          <m:r>
            <m:rPr>
              <m:sty m:val="p"/>
            </m:rPr>
            <w:rPr>
              <w:rFonts w:hint="eastAsia" w:ascii="Cambria Math" w:hAnsi="Cambria Math" w:eastAsia="仿宋_GB2312" w:cs="仿宋_GB2312"/>
              <w:kern w:val="0"/>
              <w:sz w:val="32"/>
              <w:szCs w:val="32"/>
              <w:lang w:val="en-US" w:eastAsia="zh-CN" w:bidi="ar"/>
            </w:rPr>
            <m:t>=</m:t>
          </m:r>
          <m:d>
            <m:dPr>
              <m:begChr m:val="{"/>
              <m:endChr m:val=""/>
              <m:ctrlPr>
                <w:rPr>
                  <w:rFonts w:hint="eastAsia" w:ascii="Cambria Math" w:hAnsi="Cambria Math" w:eastAsia="仿宋_GB2312" w:cs="仿宋_GB2312"/>
                  <w:kern w:val="0"/>
                  <w:sz w:val="32"/>
                  <w:szCs w:val="32"/>
                  <w:lang w:val="en-US" w:eastAsia="zh-CN" w:bidi="ar"/>
                </w:rPr>
              </m:ctrlPr>
            </m:dPr>
            <m:e>
              <m:eqArr>
                <m:eqArrPr>
                  <m:ctrlPr>
                    <w:rPr>
                      <w:rFonts w:hint="eastAsia" w:ascii="Cambria Math" w:hAnsi="Cambria Math" w:eastAsia="仿宋_GB2312" w:cs="仿宋_GB2312"/>
                      <w:kern w:val="0"/>
                      <w:sz w:val="32"/>
                      <w:szCs w:val="32"/>
                      <w:lang w:val="en-US" w:eastAsia="zh-CN" w:bidi="ar"/>
                    </w:rPr>
                  </m:ctrlPr>
                </m:eqArrPr>
                <m:e>
                  <m:r>
                    <m:rPr>
                      <m:sty m:val="p"/>
                    </m:rPr>
                    <w:rPr>
                      <w:rFonts w:hint="eastAsia" w:ascii="Cambria Math" w:hAnsi="Cambria Math" w:eastAsia="仿宋_GB2312" w:cs="仿宋_GB2312"/>
                      <w:kern w:val="0"/>
                      <w:sz w:val="32"/>
                      <w:szCs w:val="32"/>
                      <w:lang w:val="en-US" w:eastAsia="zh-CN" w:bidi="ar"/>
                    </w:rPr>
                    <m:t>100，N</m:t>
                  </m:r>
                  <m:r>
                    <m:rPr>
                      <m:sty m:val="p"/>
                    </m:rPr>
                    <w:rPr>
                      <w:rFonts w:hint="eastAsia" w:ascii="DejaVu Math TeX Gyre" w:hAnsi="DejaVu Math TeX Gyre" w:eastAsia="仿宋_GB2312" w:cs="仿宋_GB2312"/>
                      <w:kern w:val="0"/>
                      <w:sz w:val="32"/>
                      <w:szCs w:val="32"/>
                      <w:lang w:val="en-US" w:eastAsia="zh-CN" w:bidi="ar"/>
                    </w:rPr>
                    <m:t>5</m:t>
                  </m:r>
                  <m:r>
                    <m:rPr>
                      <m:sty m:val="p"/>
                    </m:rPr>
                    <w:rPr>
                      <w:rFonts w:hint="eastAsia" w:ascii="Cambria Math" w:hAnsi="Cambria Math" w:eastAsia="仿宋_GB2312" w:cs="仿宋_GB2312"/>
                      <w:kern w:val="0"/>
                      <w:sz w:val="32"/>
                      <w:szCs w:val="32"/>
                      <w:lang w:val="en-US" w:eastAsia="zh-CN" w:bidi="ar"/>
                    </w:rPr>
                    <m:t>≤5%</m:t>
                  </m:r>
                  <m:ctrlPr>
                    <w:rPr>
                      <w:rFonts w:hint="eastAsia" w:ascii="Cambria Math" w:hAnsi="Cambria Math" w:eastAsia="仿宋_GB2312" w:cs="仿宋_GB2312"/>
                      <w:kern w:val="0"/>
                      <w:sz w:val="32"/>
                      <w:szCs w:val="32"/>
                      <w:lang w:val="en-US" w:eastAsia="zh-CN" w:bidi="ar"/>
                    </w:rPr>
                  </m:ctrlPr>
                </m:e>
                <m:e>
                  <m:r>
                    <m:rPr>
                      <m:sty m:val="p"/>
                    </m:rPr>
                    <w:rPr>
                      <w:rFonts w:hint="eastAsia" w:ascii="Cambria Math" w:hAnsi="Cambria Math" w:eastAsia="仿宋_GB2312" w:cs="仿宋_GB2312"/>
                      <w:kern w:val="0"/>
                      <w:sz w:val="32"/>
                      <w:szCs w:val="32"/>
                      <w:lang w:val="en-US" w:eastAsia="zh-CN" w:bidi="ar"/>
                    </w:rPr>
                    <m:t>200−2000×N</m:t>
                  </m:r>
                  <m:r>
                    <m:rPr>
                      <m:sty m:val="p"/>
                    </m:rPr>
                    <w:rPr>
                      <w:rFonts w:hint="eastAsia" w:ascii="DejaVu Math TeX Gyre" w:hAnsi="DejaVu Math TeX Gyre" w:eastAsia="仿宋_GB2312" w:cs="仿宋_GB2312"/>
                      <w:kern w:val="0"/>
                      <w:sz w:val="32"/>
                      <w:szCs w:val="32"/>
                      <w:lang w:val="en-US" w:eastAsia="zh-CN" w:bidi="ar"/>
                    </w:rPr>
                    <m:t>5</m:t>
                  </m:r>
                  <m:r>
                    <m:rPr>
                      <m:sty m:val="p"/>
                    </m:rPr>
                    <w:rPr>
                      <w:rFonts w:hint="eastAsia" w:ascii="Cambria Math" w:hAnsi="Cambria Math" w:eastAsia="仿宋_GB2312" w:cs="仿宋_GB2312"/>
                      <w:kern w:val="0"/>
                      <w:sz w:val="32"/>
                      <w:szCs w:val="32"/>
                      <w:lang w:val="en-US" w:eastAsia="zh-CN" w:bidi="ar"/>
                    </w:rPr>
                    <m:t>，5%&lt;N</m:t>
                  </m:r>
                  <m:r>
                    <m:rPr>
                      <m:sty m:val="p"/>
                    </m:rPr>
                    <w:rPr>
                      <w:rFonts w:hint="eastAsia" w:ascii="DejaVu Math TeX Gyre" w:hAnsi="DejaVu Math TeX Gyre" w:eastAsia="仿宋_GB2312" w:cs="仿宋_GB2312"/>
                      <w:kern w:val="0"/>
                      <w:sz w:val="32"/>
                      <w:szCs w:val="32"/>
                      <w:lang w:val="en-US" w:eastAsia="zh-CN" w:bidi="ar"/>
                    </w:rPr>
                    <m:t>5</m:t>
                  </m:r>
                  <m:r>
                    <m:rPr>
                      <m:sty m:val="p"/>
                    </m:rPr>
                    <w:rPr>
                      <w:rFonts w:hint="eastAsia" w:ascii="Cambria Math" w:hAnsi="Cambria Math" w:eastAsia="仿宋_GB2312" w:cs="仿宋_GB2312"/>
                      <w:kern w:val="0"/>
                      <w:sz w:val="32"/>
                      <w:szCs w:val="32"/>
                      <w:lang w:val="en-US" w:eastAsia="zh-CN" w:bidi="ar"/>
                    </w:rPr>
                    <m:t>&lt;10%</m:t>
                  </m:r>
                  <m:ctrlPr>
                    <w:rPr>
                      <w:rFonts w:hint="eastAsia" w:ascii="Cambria Math" w:hAnsi="Cambria Math" w:eastAsia="仿宋_GB2312" w:cs="仿宋_GB2312"/>
                      <w:kern w:val="0"/>
                      <w:sz w:val="32"/>
                      <w:szCs w:val="32"/>
                      <w:lang w:val="en-US" w:eastAsia="zh-CN" w:bidi="ar"/>
                    </w:rPr>
                  </m:ctrlPr>
                </m:e>
                <m:e>
                  <m:r>
                    <m:rPr>
                      <m:sty m:val="p"/>
                    </m:rPr>
                    <w:rPr>
                      <w:rFonts w:hint="eastAsia" w:ascii="Cambria Math" w:hAnsi="Cambria Math" w:eastAsia="仿宋_GB2312" w:cs="仿宋_GB2312"/>
                      <w:kern w:val="0"/>
                      <w:sz w:val="32"/>
                      <w:szCs w:val="32"/>
                      <w:lang w:val="en-US" w:eastAsia="zh-CN" w:bidi="ar"/>
                    </w:rPr>
                    <m:t>0，N</m:t>
                  </m:r>
                  <m:r>
                    <m:rPr>
                      <m:sty m:val="p"/>
                    </m:rPr>
                    <w:rPr>
                      <w:rFonts w:hint="eastAsia" w:ascii="DejaVu Math TeX Gyre" w:hAnsi="DejaVu Math TeX Gyre" w:eastAsia="仿宋_GB2312" w:cs="仿宋_GB2312"/>
                      <w:kern w:val="0"/>
                      <w:sz w:val="32"/>
                      <w:szCs w:val="32"/>
                      <w:lang w:val="en-US" w:eastAsia="zh-CN" w:bidi="ar"/>
                    </w:rPr>
                    <m:t>5</m:t>
                  </m:r>
                  <m:r>
                    <m:rPr>
                      <m:sty m:val="p"/>
                    </m:rPr>
                    <w:rPr>
                      <w:rFonts w:hint="eastAsia" w:ascii="Cambria Math" w:hAnsi="Cambria Math" w:eastAsia="仿宋_GB2312" w:cs="仿宋_GB2312"/>
                      <w:kern w:val="0"/>
                      <w:sz w:val="32"/>
                      <w:szCs w:val="32"/>
                      <w:lang w:val="en-US" w:eastAsia="zh-CN" w:bidi="ar"/>
                    </w:rPr>
                    <m:t>≥10&amp;%</m:t>
                  </m:r>
                  <m:ctrlPr>
                    <w:rPr>
                      <w:rFonts w:hint="eastAsia" w:ascii="Cambria Math" w:hAnsi="Cambria Math" w:eastAsia="仿宋_GB2312" w:cs="仿宋_GB2312"/>
                      <w:kern w:val="0"/>
                      <w:sz w:val="32"/>
                      <w:szCs w:val="32"/>
                      <w:lang w:val="en-US" w:eastAsia="zh-CN" w:bidi="ar"/>
                    </w:rPr>
                  </m:ctrlPr>
                </m:e>
              </m:eqArr>
              <m:ctrlPr>
                <w:rPr>
                  <w:rFonts w:hint="eastAsia" w:ascii="Cambria Math" w:hAnsi="Cambria Math" w:eastAsia="仿宋_GB2312" w:cs="仿宋_GB2312"/>
                  <w:kern w:val="0"/>
                  <w:sz w:val="32"/>
                  <w:szCs w:val="32"/>
                  <w:lang w:val="en-US" w:eastAsia="zh-CN" w:bidi="ar"/>
                </w:rPr>
              </m:ctrlPr>
            </m:e>
          </m:d>
        </m:oMath>
      </m:oMathPara>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式中：S5—小区供水管网漏损率得分</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二、供水环境可持续性总体评价</w:t>
      </w:r>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供水环境可持续性定量评价总分S的计算方法如下所示：</w:t>
      </w:r>
    </w:p>
    <w:p>
      <w:pPr>
        <w:keepNext w:val="0"/>
        <w:keepLines w:val="0"/>
        <w:pageBreakBefore w:val="0"/>
        <w:kinsoku/>
        <w:wordWrap/>
        <w:overflowPunct/>
        <w:topLinePunct w:val="0"/>
        <w:autoSpaceDE/>
        <w:autoSpaceDN/>
        <w:bidi w:val="0"/>
        <w:adjustRightInd/>
        <w:snapToGrid/>
        <w:spacing w:line="360" w:lineRule="auto"/>
        <w:ind w:firstLine="420" w:firstLineChars="0"/>
        <w:jc w:val="both"/>
        <w:rPr>
          <w:rFonts w:hint="eastAsia" w:ascii="仿宋_GB2312" w:hAnsi="仿宋_GB2312" w:eastAsia="仿宋_GB2312" w:cs="仿宋_GB2312"/>
          <w:kern w:val="0"/>
          <w:sz w:val="32"/>
          <w:szCs w:val="32"/>
          <w:lang w:val="en-US" w:eastAsia="zh-CN" w:bidi="ar"/>
        </w:rPr>
      </w:pPr>
      <m:oMathPara>
        <m:oMath>
          <m:r>
            <m:rPr>
              <m:sty m:val="p"/>
            </m:rPr>
            <w:rPr>
              <w:rFonts w:hint="eastAsia" w:ascii="Cambria Math" w:hAnsi="Cambria Math" w:eastAsia="仿宋_GB2312" w:cs="仿宋_GB2312"/>
              <w:kern w:val="0"/>
              <w:sz w:val="32"/>
              <w:szCs w:val="32"/>
              <w:lang w:val="en-US" w:eastAsia="zh-CN" w:bidi="ar"/>
            </w:rPr>
            <m:t>S=</m:t>
          </m:r>
          <m:nary>
            <m:naryPr>
              <m:chr m:val="∑"/>
              <m:limLoc m:val="undOvr"/>
              <m:subHide m:val="1"/>
              <m:supHide m:val="1"/>
              <m:ctrlPr>
                <w:rPr>
                  <w:rFonts w:hint="eastAsia" w:ascii="Cambria Math" w:hAnsi="Cambria Math" w:eastAsia="仿宋_GB2312" w:cs="仿宋_GB2312"/>
                  <w:kern w:val="0"/>
                  <w:sz w:val="32"/>
                  <w:szCs w:val="32"/>
                  <w:lang w:val="en-US" w:eastAsia="zh-CN" w:bidi="ar"/>
                </w:rPr>
              </m:ctrlPr>
            </m:naryPr>
            <m:sub>
              <m:ctrlPr>
                <w:rPr>
                  <w:rFonts w:hint="eastAsia" w:ascii="Cambria Math" w:hAnsi="Cambria Math" w:eastAsia="仿宋_GB2312" w:cs="仿宋_GB2312"/>
                  <w:kern w:val="0"/>
                  <w:sz w:val="32"/>
                  <w:szCs w:val="32"/>
                  <w:lang w:val="en-US" w:eastAsia="zh-CN" w:bidi="ar"/>
                </w:rPr>
              </m:ctrlPr>
            </m:sub>
            <m:sup>
              <m:ctrlPr>
                <w:rPr>
                  <w:rFonts w:hint="eastAsia" w:ascii="Cambria Math" w:hAnsi="Cambria Math" w:eastAsia="仿宋_GB2312" w:cs="仿宋_GB2312"/>
                  <w:kern w:val="0"/>
                  <w:sz w:val="32"/>
                  <w:szCs w:val="32"/>
                  <w:lang w:val="en-US" w:eastAsia="zh-CN" w:bidi="ar"/>
                </w:rPr>
              </m:ctrlPr>
            </m:sup>
            <m:e>
              <m:r>
                <m:rPr>
                  <m:sty m:val="p"/>
                </m:rPr>
                <w:rPr>
                  <w:rFonts w:hint="eastAsia" w:ascii="Cambria Math" w:hAnsi="Cambria Math" w:eastAsia="仿宋_GB2312" w:cs="仿宋_GB2312"/>
                  <w:kern w:val="0"/>
                  <w:sz w:val="32"/>
                  <w:szCs w:val="32"/>
                  <w:lang w:val="en-US" w:eastAsia="zh-CN" w:bidi="ar"/>
                </w:rPr>
                <m:t>各评价指标得分×评价指标权重</m:t>
              </m:r>
              <m:ctrlPr>
                <w:rPr>
                  <w:rFonts w:hint="eastAsia" w:ascii="Cambria Math" w:hAnsi="Cambria Math" w:eastAsia="仿宋_GB2312" w:cs="仿宋_GB2312"/>
                  <w:kern w:val="0"/>
                  <w:sz w:val="32"/>
                  <w:szCs w:val="32"/>
                  <w:lang w:val="en-US" w:eastAsia="zh-CN" w:bidi="ar"/>
                </w:rPr>
              </m:ctrlPr>
            </m:e>
          </m:nary>
        </m:oMath>
      </m:oMathPara>
    </w:p>
    <w:p>
      <w:pPr>
        <w:keepNext w:val="0"/>
        <w:keepLines w:val="0"/>
        <w:pageBreakBefore w:val="0"/>
        <w:kinsoku/>
        <w:wordWrap/>
        <w:overflowPunct/>
        <w:topLinePunct w:val="0"/>
        <w:autoSpaceDE/>
        <w:autoSpaceDN/>
        <w:bidi w:val="0"/>
        <w:adjustRightInd/>
        <w:snapToGrid/>
        <w:spacing w:line="579" w:lineRule="exact"/>
        <w:ind w:firstLine="640" w:firstLineChars="2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评价总分为100分，根据评价总分的高低，将供水环境可持续性分别划分为AAAAA-A五个等级，评级标准如表2所示：</w:t>
      </w:r>
    </w:p>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表</w:t>
      </w:r>
      <w:r>
        <w:rPr>
          <w:rFonts w:hint="eastAsia" w:ascii="仿宋_GB2312" w:hAnsi="仿宋_GB2312" w:eastAsia="仿宋_GB2312" w:cs="仿宋_GB2312"/>
          <w:kern w:val="0"/>
          <w:sz w:val="32"/>
          <w:szCs w:val="32"/>
          <w:lang w:val="en-US" w:eastAsia="zh-CN" w:bidi="ar"/>
        </w:rPr>
        <w:fldChar w:fldCharType="begin"/>
      </w:r>
      <w:r>
        <w:rPr>
          <w:rFonts w:hint="eastAsia" w:ascii="仿宋_GB2312" w:hAnsi="仿宋_GB2312" w:eastAsia="仿宋_GB2312" w:cs="仿宋_GB2312"/>
          <w:kern w:val="0"/>
          <w:sz w:val="32"/>
          <w:szCs w:val="32"/>
          <w:lang w:val="en-US" w:eastAsia="zh-CN" w:bidi="ar"/>
        </w:rPr>
        <w:instrText xml:space="preserve"> SEQ 表 \* ARABIC </w:instrText>
      </w:r>
      <w:r>
        <w:rPr>
          <w:rFonts w:hint="eastAsia" w:ascii="仿宋_GB2312" w:hAnsi="仿宋_GB2312" w:eastAsia="仿宋_GB2312" w:cs="仿宋_GB2312"/>
          <w:kern w:val="0"/>
          <w:sz w:val="32"/>
          <w:szCs w:val="32"/>
          <w:lang w:val="en-US" w:eastAsia="zh-CN" w:bidi="ar"/>
        </w:rPr>
        <w:fldChar w:fldCharType="separate"/>
      </w:r>
      <w:r>
        <w:rPr>
          <w:rFonts w:hint="eastAsia" w:ascii="仿宋_GB2312" w:hAnsi="仿宋_GB2312" w:eastAsia="仿宋_GB2312" w:cs="仿宋_GB2312"/>
          <w:kern w:val="0"/>
          <w:sz w:val="32"/>
          <w:szCs w:val="32"/>
          <w:lang w:val="en-US" w:eastAsia="zh-CN" w:bidi="ar"/>
        </w:rPr>
        <w:t>2</w:t>
      </w:r>
      <w:r>
        <w:rPr>
          <w:rFonts w:hint="eastAsia" w:ascii="仿宋_GB2312" w:hAnsi="仿宋_GB2312" w:eastAsia="仿宋_GB2312" w:cs="仿宋_GB2312"/>
          <w:kern w:val="0"/>
          <w:sz w:val="32"/>
          <w:szCs w:val="32"/>
          <w:lang w:val="en-US" w:eastAsia="zh-CN" w:bidi="ar"/>
        </w:rPr>
        <w:fldChar w:fldCharType="end"/>
      </w:r>
      <w:r>
        <w:rPr>
          <w:rFonts w:hint="eastAsia" w:ascii="仿宋_GB2312" w:hAnsi="仿宋_GB2312" w:eastAsia="仿宋_GB2312" w:cs="仿宋_GB2312"/>
          <w:kern w:val="0"/>
          <w:sz w:val="32"/>
          <w:szCs w:val="32"/>
          <w:lang w:val="en-US" w:eastAsia="zh-CN" w:bidi="ar"/>
        </w:rPr>
        <w:t xml:space="preserve"> 供水环境可持续性评价分级表</w:t>
      </w:r>
    </w:p>
    <w:tbl>
      <w:tblPr>
        <w:tblStyle w:val="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5"/>
        <w:gridCol w:w="1127"/>
        <w:gridCol w:w="1606"/>
        <w:gridCol w:w="1606"/>
        <w:gridCol w:w="1606"/>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pct"/>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评价总分</w:t>
            </w:r>
          </w:p>
        </w:tc>
        <w:tc>
          <w:tcPr>
            <w:tcW w:w="661" w:type="pct"/>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S≥95</w:t>
            </w:r>
          </w:p>
        </w:tc>
        <w:tc>
          <w:tcPr>
            <w:tcW w:w="942" w:type="pct"/>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95&gt;S≥85</w:t>
            </w:r>
          </w:p>
        </w:tc>
        <w:tc>
          <w:tcPr>
            <w:tcW w:w="942" w:type="pct"/>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85&gt;S≥70</w:t>
            </w:r>
          </w:p>
        </w:tc>
        <w:tc>
          <w:tcPr>
            <w:tcW w:w="942" w:type="pct"/>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70&gt;S≥60</w:t>
            </w:r>
          </w:p>
        </w:tc>
        <w:tc>
          <w:tcPr>
            <w:tcW w:w="567" w:type="pct"/>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S&lt;60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pct"/>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评级</w:t>
            </w:r>
          </w:p>
        </w:tc>
        <w:tc>
          <w:tcPr>
            <w:tcW w:w="661" w:type="pct"/>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AAAAA</w:t>
            </w:r>
          </w:p>
        </w:tc>
        <w:tc>
          <w:tcPr>
            <w:tcW w:w="942" w:type="pct"/>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AAAA</w:t>
            </w:r>
          </w:p>
        </w:tc>
        <w:tc>
          <w:tcPr>
            <w:tcW w:w="942" w:type="pct"/>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AAA</w:t>
            </w:r>
          </w:p>
        </w:tc>
        <w:tc>
          <w:tcPr>
            <w:tcW w:w="942" w:type="pct"/>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AA</w:t>
            </w:r>
          </w:p>
        </w:tc>
        <w:tc>
          <w:tcPr>
            <w:tcW w:w="567" w:type="pct"/>
            <w:vAlign w:val="center"/>
          </w:tcPr>
          <w:p>
            <w:pPr>
              <w:keepNext w:val="0"/>
              <w:keepLines w:val="0"/>
              <w:pageBreakBefore w:val="0"/>
              <w:kinsoku/>
              <w:wordWrap/>
              <w:overflowPunct/>
              <w:topLinePunct w:val="0"/>
              <w:autoSpaceDE/>
              <w:autoSpaceDN/>
              <w:bidi w:val="0"/>
              <w:adjustRightInd/>
              <w:snapToGrid/>
              <w:spacing w:line="579" w:lineRule="exact"/>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A</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both"/>
        <w:textAlignment w:val="auto"/>
        <w:rPr>
          <w:rFonts w:hint="default" w:hAnsi="Cambria Math" w:eastAsia="仿宋" w:cs="仿宋"/>
          <w:b w:val="0"/>
          <w:i w:val="0"/>
          <w:kern w:val="2"/>
          <w:sz w:val="24"/>
          <w:szCs w:val="24"/>
          <w:lang w:val="en-US" w:eastAsia="zh-CN" w:bidi="ar-SA"/>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Cambria Math">
    <w:altName w:val="DejaVu Math TeX Gyre"/>
    <w:panose1 w:val="02040503050406030204"/>
    <w:charset w:val="00"/>
    <w:family w:val="auto"/>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jYWVmYjdjNDZkNjA3ZWZlYjAxZjg0OTUzOGFkOGIifQ=="/>
  </w:docVars>
  <w:rsids>
    <w:rsidRoot w:val="239B6638"/>
    <w:rsid w:val="01815EED"/>
    <w:rsid w:val="052971A9"/>
    <w:rsid w:val="06A31761"/>
    <w:rsid w:val="09C65D3C"/>
    <w:rsid w:val="0E265F9E"/>
    <w:rsid w:val="14187354"/>
    <w:rsid w:val="14DE0C0F"/>
    <w:rsid w:val="1DCE18B1"/>
    <w:rsid w:val="239B6638"/>
    <w:rsid w:val="23D41920"/>
    <w:rsid w:val="278C2877"/>
    <w:rsid w:val="2A887E3E"/>
    <w:rsid w:val="2B3913D4"/>
    <w:rsid w:val="2E360612"/>
    <w:rsid w:val="2F08036D"/>
    <w:rsid w:val="2FFF0375"/>
    <w:rsid w:val="31045B99"/>
    <w:rsid w:val="31562CFE"/>
    <w:rsid w:val="35052623"/>
    <w:rsid w:val="38DC7A43"/>
    <w:rsid w:val="3AA66247"/>
    <w:rsid w:val="3D337643"/>
    <w:rsid w:val="3E5E4D1A"/>
    <w:rsid w:val="3E8566B2"/>
    <w:rsid w:val="40802173"/>
    <w:rsid w:val="40A21818"/>
    <w:rsid w:val="41D3602F"/>
    <w:rsid w:val="44BB0B65"/>
    <w:rsid w:val="46287210"/>
    <w:rsid w:val="4E733F5F"/>
    <w:rsid w:val="52BD1A29"/>
    <w:rsid w:val="5670B369"/>
    <w:rsid w:val="59AD13FE"/>
    <w:rsid w:val="5D5C7243"/>
    <w:rsid w:val="5D772B68"/>
    <w:rsid w:val="5E70622F"/>
    <w:rsid w:val="5FCF0C77"/>
    <w:rsid w:val="65D613B1"/>
    <w:rsid w:val="668C2167"/>
    <w:rsid w:val="678D1211"/>
    <w:rsid w:val="6FB84D0F"/>
    <w:rsid w:val="701407F5"/>
    <w:rsid w:val="703F459F"/>
    <w:rsid w:val="722EA6C8"/>
    <w:rsid w:val="73753381"/>
    <w:rsid w:val="751132BA"/>
    <w:rsid w:val="7750185D"/>
    <w:rsid w:val="7987343E"/>
    <w:rsid w:val="7A6D7DF6"/>
    <w:rsid w:val="7BEE5ED9"/>
    <w:rsid w:val="7E6B546B"/>
    <w:rsid w:val="9CF74677"/>
    <w:rsid w:val="B9B72E4E"/>
    <w:rsid w:val="EEFB4D40"/>
    <w:rsid w:val="F3F7CE88"/>
    <w:rsid w:val="FFF73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eastAsia="方正小标宋简体" w:asciiTheme="minorAscii" w:hAnsiTheme="minorAscii"/>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caption"/>
    <w:basedOn w:val="1"/>
    <w:next w:val="1"/>
    <w:semiHidden/>
    <w:unhideWhenUsed/>
    <w:qFormat/>
    <w:uiPriority w:val="0"/>
    <w:rPr>
      <w:rFonts w:ascii="Arial" w:hAnsi="Arial" w:eastAsia="黑体"/>
      <w:sz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01"/>
    <w:basedOn w:val="9"/>
    <w:qFormat/>
    <w:uiPriority w:val="0"/>
    <w:rPr>
      <w:rFonts w:hint="eastAsia" w:ascii="宋体" w:hAnsi="宋体" w:eastAsia="宋体" w:cs="宋体"/>
      <w:color w:val="000000"/>
      <w:sz w:val="22"/>
      <w:szCs w:val="22"/>
      <w:u w:val="none"/>
    </w:rPr>
  </w:style>
  <w:style w:type="character" w:customStyle="1" w:styleId="11">
    <w:name w:val="font11"/>
    <w:basedOn w:val="9"/>
    <w:qFormat/>
    <w:uiPriority w:val="0"/>
    <w:rPr>
      <w:rFonts w:hint="eastAsia" w:ascii="宋体" w:hAnsi="宋体" w:eastAsia="宋体" w:cs="宋体"/>
      <w:color w:val="000000"/>
      <w:sz w:val="22"/>
      <w:szCs w:val="22"/>
      <w:u w:val="single"/>
    </w:rPr>
  </w:style>
  <w:style w:type="character" w:customStyle="1" w:styleId="12">
    <w:name w:val="font21"/>
    <w:basedOn w:val="9"/>
    <w:qFormat/>
    <w:uiPriority w:val="0"/>
    <w:rPr>
      <w:rFonts w:ascii="Arial" w:hAnsi="Arial" w:cs="Arial"/>
      <w:color w:val="000000"/>
      <w:sz w:val="22"/>
      <w:szCs w:val="22"/>
      <w:u w:val="none"/>
    </w:rPr>
  </w:style>
  <w:style w:type="paragraph" w:customStyle="1" w:styleId="1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Test/C:\Dreamsoft\DSOA\wdzx97.dot"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Pages>1</Pages>
  <Words>0</Words>
  <Characters>0</Characters>
  <Lines>0</Lines>
  <Paragraphs>0</Paragraphs>
  <TotalTime>75</TotalTime>
  <ScaleCrop>false</ScaleCrop>
  <LinksUpToDate>false</LinksUpToDate>
  <CharactersWithSpaces>0</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2024-03-17T10:47:00Z</dcterms:created>
  <dc:creator>LENOVO</dc:creator>
  <cp:lastModifiedBy>Test</cp:lastModifiedBy>
  <cp:lastPrinted>2024-05-01T16:48:00Z</cp:lastPrinted>
  <dcterms:modified xsi:type="dcterms:W3CDTF">2024-05-30T17:37:35Z</dcterms:modified>
  <dc:title>珠海市供水环境可持续性评价指标</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923EC8AB0AEF54E46C205866D1B74B5C</vt:lpwstr>
  </property>
</Properties>
</file>