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78" w:lineRule="exact"/>
        <w:jc w:val="center"/>
        <w:rPr>
          <w:rFonts w:hint="eastAsia"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珠海市市场监督管理局关于2023年珠海市开关、插头、插座产品质量监督抽查结果的通告</w:t>
      </w:r>
    </w:p>
    <w:p>
      <w:pPr>
        <w:widowControl/>
        <w:shd w:val="clear" w:color="auto" w:fill="FFFFFF"/>
        <w:spacing w:line="578" w:lineRule="exact"/>
        <w:ind w:firstLine="540" w:firstLineChars="200"/>
        <w:jc w:val="left"/>
        <w:rPr>
          <w:rFonts w:hint="eastAsia" w:ascii="微软雅黑" w:hAnsi="微软雅黑" w:eastAsia="微软雅黑" w:cs="宋体"/>
          <w:color w:val="424242"/>
          <w:kern w:val="0"/>
          <w:sz w:val="27"/>
          <w:szCs w:val="27"/>
        </w:rPr>
      </w:pPr>
      <w:r>
        <w:rPr>
          <w:rFonts w:hint="eastAsia" w:ascii="微软雅黑" w:hAnsi="微软雅黑" w:eastAsia="微软雅黑" w:cs="宋体"/>
          <w:color w:val="424242"/>
          <w:kern w:val="0"/>
          <w:sz w:val="27"/>
          <w:szCs w:val="27"/>
        </w:rPr>
        <w:t>　　</w:t>
      </w:r>
    </w:p>
    <w:p>
      <w:pPr>
        <w:widowControl/>
        <w:shd w:val="clear" w:color="auto" w:fill="FFFFFF"/>
        <w:spacing w:line="578" w:lineRule="exact"/>
        <w:ind w:firstLine="640" w:firstLineChars="200"/>
        <w:jc w:val="left"/>
        <w:rPr>
          <w:rFonts w:hint="eastAsia" w:ascii="仿宋" w:hAnsi="仿宋" w:eastAsia="仿宋" w:cs="宋体"/>
          <w:color w:val="000000" w:themeColor="text1"/>
          <w:kern w:val="0"/>
          <w:sz w:val="32"/>
          <w:szCs w:val="32"/>
          <w14:textFill>
            <w14:solidFill>
              <w14:schemeClr w14:val="tx1"/>
            </w14:solidFill>
          </w14:textFill>
        </w:rPr>
      </w:pPr>
      <w:r>
        <w:rPr>
          <w:rFonts w:hint="eastAsia" w:ascii="仿宋" w:hAnsi="仿宋" w:eastAsia="仿宋" w:cs="宋体"/>
          <w:color w:val="000000" w:themeColor="text1"/>
          <w:kern w:val="0"/>
          <w:sz w:val="32"/>
          <w:szCs w:val="32"/>
          <w14:textFill>
            <w14:solidFill>
              <w14:schemeClr w14:val="tx1"/>
            </w14:solidFill>
          </w14:textFill>
        </w:rPr>
        <w:t>根据《中华人民共和国产品质量法》《产品质量监督抽查管理暂行办法》等相关规定，2023年，珠海市场监督管理局开展了开关、插头、插座产品质量监督抽查，现将有关情况通告如下：</w:t>
      </w:r>
    </w:p>
    <w:p>
      <w:pPr>
        <w:widowControl/>
        <w:shd w:val="clear" w:color="auto" w:fill="FFFFFF"/>
        <w:spacing w:line="578" w:lineRule="exact"/>
        <w:ind w:firstLine="640" w:firstLineChars="200"/>
        <w:jc w:val="left"/>
        <w:rPr>
          <w:rFonts w:hint="eastAsia" w:ascii="黑体" w:hAnsi="黑体" w:eastAsia="黑体" w:cs="黑体"/>
          <w:b w:val="0"/>
          <w:bCs w:val="0"/>
          <w:color w:val="000000" w:themeColor="text1"/>
          <w:kern w:val="0"/>
          <w:sz w:val="32"/>
          <w:szCs w:val="32"/>
          <w14:textFill>
            <w14:solidFill>
              <w14:schemeClr w14:val="tx1"/>
            </w14:solidFill>
          </w14:textFill>
        </w:rPr>
      </w:pPr>
      <w:r>
        <w:rPr>
          <w:rFonts w:hint="eastAsia" w:ascii="黑体" w:hAnsi="黑体" w:eastAsia="黑体" w:cs="黑体"/>
          <w:b w:val="0"/>
          <w:bCs w:val="0"/>
          <w:color w:val="000000" w:themeColor="text1"/>
          <w:kern w:val="0"/>
          <w:sz w:val="32"/>
          <w:szCs w:val="32"/>
          <w14:textFill>
            <w14:solidFill>
              <w14:schemeClr w14:val="tx1"/>
            </w14:solidFill>
          </w14:textFill>
        </w:rPr>
        <w:t>一、基本情况</w:t>
      </w:r>
    </w:p>
    <w:p>
      <w:pPr>
        <w:widowControl/>
        <w:shd w:val="clear" w:color="auto" w:fill="FFFFFF"/>
        <w:spacing w:line="578" w:lineRule="exact"/>
        <w:ind w:firstLine="640" w:firstLineChars="200"/>
        <w:jc w:val="left"/>
        <w:rPr>
          <w:rFonts w:hint="eastAsia" w:ascii="仿宋" w:hAnsi="仿宋" w:eastAsia="仿宋" w:cs="宋体"/>
          <w:color w:val="000000" w:themeColor="text1"/>
          <w:kern w:val="0"/>
          <w:sz w:val="32"/>
          <w:szCs w:val="32"/>
          <w14:textFill>
            <w14:solidFill>
              <w14:schemeClr w14:val="tx1"/>
            </w14:solidFill>
          </w14:textFill>
        </w:rPr>
      </w:pPr>
      <w:r>
        <w:rPr>
          <w:rFonts w:hint="eastAsia" w:ascii="仿宋" w:hAnsi="仿宋" w:eastAsia="仿宋" w:cs="宋体"/>
          <w:color w:val="000000" w:themeColor="text1"/>
          <w:kern w:val="0"/>
          <w:sz w:val="32"/>
          <w:szCs w:val="32"/>
          <w14:textFill>
            <w14:solidFill>
              <w14:schemeClr w14:val="tx1"/>
            </w14:solidFill>
          </w14:textFill>
        </w:rPr>
        <w:t>本次抽查仅涉及我市销售企业，共抽查了4家企业销售的6批次开关、插头、插座产品产品，经检验，发现</w:t>
      </w:r>
      <w:r>
        <w:rPr>
          <w:rFonts w:hint="eastAsia" w:ascii="仿宋" w:hAnsi="仿宋" w:eastAsia="仿宋" w:cs="宋体"/>
          <w:color w:val="000000" w:themeColor="text1"/>
          <w:kern w:val="0"/>
          <w:sz w:val="32"/>
          <w:szCs w:val="32"/>
          <w:lang w:eastAsia="zh-CN"/>
          <w14:textFill>
            <w14:solidFill>
              <w14:schemeClr w14:val="tx1"/>
            </w14:solidFill>
          </w14:textFill>
        </w:rPr>
        <w:t>质量</w:t>
      </w:r>
      <w:r>
        <w:rPr>
          <w:rFonts w:hint="eastAsia" w:ascii="仿宋" w:hAnsi="仿宋" w:eastAsia="仿宋" w:cs="宋体"/>
          <w:color w:val="000000" w:themeColor="text1"/>
          <w:kern w:val="0"/>
          <w:sz w:val="32"/>
          <w:szCs w:val="32"/>
          <w14:textFill>
            <w14:solidFill>
              <w14:schemeClr w14:val="tx1"/>
            </w14:solidFill>
          </w14:textFill>
        </w:rPr>
        <w:t>不合格产品1批次。</w:t>
      </w:r>
    </w:p>
    <w:p>
      <w:pPr>
        <w:widowControl/>
        <w:shd w:val="clear" w:color="auto" w:fill="FFFFFF"/>
        <w:spacing w:line="578" w:lineRule="exact"/>
        <w:ind w:firstLine="640" w:firstLineChars="200"/>
        <w:jc w:val="left"/>
        <w:rPr>
          <w:rFonts w:hint="eastAsia" w:ascii="黑体" w:hAnsi="黑体" w:eastAsia="黑体" w:cs="黑体"/>
          <w:b w:val="0"/>
          <w:bCs w:val="0"/>
          <w:color w:val="000000" w:themeColor="text1"/>
          <w:kern w:val="0"/>
          <w:sz w:val="32"/>
          <w:szCs w:val="32"/>
          <w14:textFill>
            <w14:solidFill>
              <w14:schemeClr w14:val="tx1"/>
            </w14:solidFill>
          </w14:textFill>
        </w:rPr>
      </w:pPr>
      <w:r>
        <w:rPr>
          <w:rFonts w:hint="eastAsia" w:ascii="黑体" w:hAnsi="黑体" w:eastAsia="黑体" w:cs="黑体"/>
          <w:b w:val="0"/>
          <w:bCs w:val="0"/>
          <w:color w:val="000000" w:themeColor="text1"/>
          <w:kern w:val="0"/>
          <w:sz w:val="32"/>
          <w:szCs w:val="32"/>
          <w14:textFill>
            <w14:solidFill>
              <w14:schemeClr w14:val="tx1"/>
            </w14:solidFill>
          </w14:textFill>
        </w:rPr>
        <w:t>二、抽查结果分析</w:t>
      </w:r>
    </w:p>
    <w:p>
      <w:pPr>
        <w:widowControl/>
        <w:shd w:val="clear" w:color="auto" w:fill="FFFFFF"/>
        <w:spacing w:line="578" w:lineRule="exact"/>
        <w:ind w:firstLine="640" w:firstLineChars="200"/>
        <w:jc w:val="left"/>
        <w:rPr>
          <w:rFonts w:hint="eastAsia" w:ascii="仿宋" w:hAnsi="仿宋" w:eastAsia="仿宋" w:cs="宋体"/>
          <w:color w:val="000000" w:themeColor="text1"/>
          <w:kern w:val="0"/>
          <w:sz w:val="32"/>
          <w:szCs w:val="32"/>
          <w14:textFill>
            <w14:solidFill>
              <w14:schemeClr w14:val="tx1"/>
            </w14:solidFill>
          </w14:textFill>
        </w:rPr>
      </w:pPr>
      <w:r>
        <w:rPr>
          <w:rFonts w:hint="eastAsia" w:ascii="仿宋" w:hAnsi="仿宋" w:eastAsia="仿宋" w:cs="宋体"/>
          <w:color w:val="000000" w:themeColor="text1"/>
          <w:kern w:val="0"/>
          <w:sz w:val="32"/>
          <w:szCs w:val="32"/>
          <w14:textFill>
            <w14:solidFill>
              <w14:schemeClr w14:val="tx1"/>
            </w14:solidFill>
          </w14:textFill>
        </w:rPr>
        <w:t>本次监督抽查依据《珠海市家用和类似用途固定式电气装置的开关产品质量监督抽查实施细则》对开关产品的防触电保护、结构要求、防潮、绝缘电阻和电气强度、温升、荧光灯负载试验、机械强度、耐热、爬电距离、电气间隙和穿通密封胶距离、绝缘材料的耐非正常热、耐燃和耐电痕化等10个项目进行了检测， 2批次产品均未发现不合格项目。 依据《珠海市家用和类似用途插头插座产品质量监督抽查实施细则》对插头、插座产品的标志、尺寸检查、防触电保护、接地措施、绝缘电阻和电气强度、温升、拔出插头所需的力、耐热、爬电距离、电气间隙和通过密封胶的距离、绝缘材料的耐非正常热、耐燃和耐电痕化等10个项目进行了检测， 3批次产品未发现不合格项目，1批次</w:t>
      </w:r>
      <w:r>
        <w:rPr>
          <w:rFonts w:hint="eastAsia" w:ascii="仿宋" w:hAnsi="仿宋" w:eastAsia="仿宋" w:cs="宋体"/>
          <w:color w:val="000000" w:themeColor="text1"/>
          <w:kern w:val="0"/>
          <w:sz w:val="32"/>
          <w:szCs w:val="32"/>
          <w:lang w:eastAsia="zh-CN"/>
          <w14:textFill>
            <w14:solidFill>
              <w14:schemeClr w14:val="tx1"/>
            </w14:solidFill>
          </w14:textFill>
        </w:rPr>
        <w:t>产品</w:t>
      </w:r>
      <w:r>
        <w:rPr>
          <w:rFonts w:hint="eastAsia" w:ascii="仿宋" w:hAnsi="仿宋" w:eastAsia="仿宋" w:cs="宋体"/>
          <w:color w:val="000000" w:themeColor="text1"/>
          <w:kern w:val="0"/>
          <w:sz w:val="32"/>
          <w:szCs w:val="32"/>
          <w14:textFill>
            <w14:solidFill>
              <w14:schemeClr w14:val="tx1"/>
            </w14:solidFill>
          </w14:textFill>
        </w:rPr>
        <w:t>发现不合格项目。</w:t>
      </w:r>
    </w:p>
    <w:p>
      <w:pPr>
        <w:widowControl/>
        <w:shd w:val="clear" w:color="auto" w:fill="FFFFFF"/>
        <w:spacing w:line="578" w:lineRule="exact"/>
        <w:ind w:firstLine="640" w:firstLineChars="200"/>
        <w:jc w:val="left"/>
        <w:rPr>
          <w:rFonts w:hint="eastAsia" w:ascii="黑体" w:hAnsi="黑体" w:eastAsia="黑体" w:cs="黑体"/>
          <w:b w:val="0"/>
          <w:bCs w:val="0"/>
          <w:color w:val="000000" w:themeColor="text1"/>
          <w:kern w:val="0"/>
          <w:sz w:val="32"/>
          <w:szCs w:val="32"/>
          <w14:textFill>
            <w14:solidFill>
              <w14:schemeClr w14:val="tx1"/>
            </w14:solidFill>
          </w14:textFill>
        </w:rPr>
      </w:pPr>
      <w:r>
        <w:rPr>
          <w:rFonts w:hint="eastAsia" w:ascii="黑体" w:hAnsi="黑体" w:eastAsia="黑体" w:cs="黑体"/>
          <w:b w:val="0"/>
          <w:bCs w:val="0"/>
          <w:color w:val="000000" w:themeColor="text1"/>
          <w:kern w:val="0"/>
          <w:sz w:val="32"/>
          <w:szCs w:val="32"/>
          <w14:textFill>
            <w14:solidFill>
              <w14:schemeClr w14:val="tx1"/>
            </w14:solidFill>
          </w14:textFill>
        </w:rPr>
        <w:t>三、抽检企业及产品清单</w:t>
      </w:r>
    </w:p>
    <w:tbl>
      <w:tblPr>
        <w:tblStyle w:val="6"/>
        <w:tblW w:w="4940" w:type="pct"/>
        <w:tblInd w:w="0"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0" w:type="dxa"/>
          <w:left w:w="0" w:type="dxa"/>
          <w:bottom w:w="0" w:type="dxa"/>
          <w:right w:w="0" w:type="dxa"/>
        </w:tblCellMar>
      </w:tblPr>
      <w:tblGrid>
        <w:gridCol w:w="855"/>
        <w:gridCol w:w="1395"/>
        <w:gridCol w:w="1235"/>
        <w:gridCol w:w="820"/>
        <w:gridCol w:w="1462"/>
        <w:gridCol w:w="1210"/>
        <w:gridCol w:w="872"/>
        <w:gridCol w:w="1322"/>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85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jc w:val="center"/>
              <w:rPr>
                <w:rFonts w:hint="eastAsia" w:ascii="黑体" w:hAnsi="黑体" w:eastAsia="黑体" w:cs="黑体"/>
                <w:color w:val="000000" w:themeColor="text1"/>
                <w:kern w:val="0"/>
                <w:sz w:val="24"/>
                <w:szCs w:val="24"/>
                <w14:textFill>
                  <w14:solidFill>
                    <w14:schemeClr w14:val="tx1"/>
                  </w14:solidFill>
                </w14:textFill>
              </w:rPr>
            </w:pPr>
            <w:r>
              <w:rPr>
                <w:rFonts w:hint="eastAsia" w:ascii="黑体" w:hAnsi="黑体" w:eastAsia="黑体" w:cs="黑体"/>
                <w:color w:val="000000" w:themeColor="text1"/>
                <w:kern w:val="0"/>
                <w:sz w:val="24"/>
                <w:szCs w:val="24"/>
                <w14:textFill>
                  <w14:solidFill>
                    <w14:schemeClr w14:val="tx1"/>
                  </w14:solidFill>
                </w14:textFill>
              </w:rPr>
              <w:t>序号</w:t>
            </w:r>
          </w:p>
        </w:tc>
        <w:tc>
          <w:tcPr>
            <w:tcW w:w="139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jc w:val="center"/>
              <w:rPr>
                <w:rFonts w:hint="eastAsia" w:ascii="黑体" w:hAnsi="黑体" w:eastAsia="黑体" w:cs="黑体"/>
                <w:color w:val="000000" w:themeColor="text1"/>
                <w:kern w:val="0"/>
                <w:sz w:val="24"/>
                <w:szCs w:val="24"/>
                <w14:textFill>
                  <w14:solidFill>
                    <w14:schemeClr w14:val="tx1"/>
                  </w14:solidFill>
                </w14:textFill>
              </w:rPr>
            </w:pPr>
            <w:r>
              <w:rPr>
                <w:rFonts w:hint="eastAsia" w:ascii="黑体" w:hAnsi="黑体" w:eastAsia="黑体" w:cs="黑体"/>
                <w:color w:val="000000" w:themeColor="text1"/>
                <w:kern w:val="0"/>
                <w:sz w:val="24"/>
                <w:szCs w:val="24"/>
                <w14:textFill>
                  <w14:solidFill>
                    <w14:schemeClr w14:val="tx1"/>
                  </w14:solidFill>
                </w14:textFill>
              </w:rPr>
              <w:t>受检单位名称</w:t>
            </w:r>
          </w:p>
        </w:tc>
        <w:tc>
          <w:tcPr>
            <w:tcW w:w="123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jc w:val="center"/>
              <w:rPr>
                <w:rFonts w:hint="eastAsia" w:ascii="黑体" w:hAnsi="黑体" w:eastAsia="黑体" w:cs="黑体"/>
                <w:color w:val="000000" w:themeColor="text1"/>
                <w:kern w:val="0"/>
                <w:sz w:val="24"/>
                <w:szCs w:val="24"/>
                <w14:textFill>
                  <w14:solidFill>
                    <w14:schemeClr w14:val="tx1"/>
                  </w14:solidFill>
                </w14:textFill>
              </w:rPr>
            </w:pPr>
            <w:r>
              <w:rPr>
                <w:rFonts w:hint="eastAsia" w:ascii="黑体" w:hAnsi="黑体" w:eastAsia="黑体" w:cs="黑体"/>
                <w:color w:val="000000" w:themeColor="text1"/>
                <w:kern w:val="0"/>
                <w:sz w:val="24"/>
                <w:szCs w:val="24"/>
                <w14:textFill>
                  <w14:solidFill>
                    <w14:schemeClr w14:val="tx1"/>
                  </w14:solidFill>
                </w14:textFill>
              </w:rPr>
              <w:t>产品名称</w:t>
            </w:r>
          </w:p>
        </w:tc>
        <w:tc>
          <w:tcPr>
            <w:tcW w:w="82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jc w:val="center"/>
              <w:rPr>
                <w:rFonts w:hint="eastAsia" w:ascii="黑体" w:hAnsi="黑体" w:eastAsia="黑体" w:cs="黑体"/>
                <w:color w:val="000000" w:themeColor="text1"/>
                <w:kern w:val="0"/>
                <w:sz w:val="24"/>
                <w:szCs w:val="24"/>
                <w14:textFill>
                  <w14:solidFill>
                    <w14:schemeClr w14:val="tx1"/>
                  </w14:solidFill>
                </w14:textFill>
              </w:rPr>
            </w:pPr>
            <w:r>
              <w:rPr>
                <w:rFonts w:hint="eastAsia" w:ascii="黑体" w:hAnsi="黑体" w:eastAsia="黑体" w:cs="黑体"/>
                <w:color w:val="000000" w:themeColor="text1"/>
                <w:kern w:val="0"/>
                <w:sz w:val="24"/>
                <w:szCs w:val="24"/>
                <w14:textFill>
                  <w14:solidFill>
                    <w14:schemeClr w14:val="tx1"/>
                  </w14:solidFill>
                </w14:textFill>
              </w:rPr>
              <w:t>商标</w:t>
            </w:r>
          </w:p>
        </w:tc>
        <w:tc>
          <w:tcPr>
            <w:tcW w:w="1462"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jc w:val="center"/>
              <w:rPr>
                <w:rFonts w:hint="eastAsia" w:ascii="黑体" w:hAnsi="黑体" w:eastAsia="黑体" w:cs="黑体"/>
                <w:color w:val="000000" w:themeColor="text1"/>
                <w:kern w:val="0"/>
                <w:sz w:val="24"/>
                <w:szCs w:val="24"/>
                <w14:textFill>
                  <w14:solidFill>
                    <w14:schemeClr w14:val="tx1"/>
                  </w14:solidFill>
                </w14:textFill>
              </w:rPr>
            </w:pPr>
            <w:r>
              <w:rPr>
                <w:rFonts w:hint="eastAsia" w:ascii="黑体" w:hAnsi="黑体" w:eastAsia="黑体" w:cs="黑体"/>
                <w:color w:val="000000" w:themeColor="text1"/>
                <w:kern w:val="0"/>
                <w:sz w:val="24"/>
                <w:szCs w:val="24"/>
                <w14:textFill>
                  <w14:solidFill>
                    <w14:schemeClr w14:val="tx1"/>
                  </w14:solidFill>
                </w14:textFill>
              </w:rPr>
              <w:t>型号规格</w:t>
            </w:r>
          </w:p>
        </w:tc>
        <w:tc>
          <w:tcPr>
            <w:tcW w:w="121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jc w:val="center"/>
              <w:rPr>
                <w:rFonts w:hint="eastAsia" w:ascii="黑体" w:hAnsi="黑体" w:eastAsia="黑体" w:cs="黑体"/>
                <w:color w:val="000000" w:themeColor="text1"/>
                <w:kern w:val="0"/>
                <w:sz w:val="24"/>
                <w:szCs w:val="24"/>
                <w14:textFill>
                  <w14:solidFill>
                    <w14:schemeClr w14:val="tx1"/>
                  </w14:solidFill>
                </w14:textFill>
              </w:rPr>
            </w:pPr>
            <w:r>
              <w:rPr>
                <w:rFonts w:hint="eastAsia" w:ascii="黑体" w:hAnsi="黑体" w:eastAsia="黑体" w:cs="黑体"/>
                <w:color w:val="000000" w:themeColor="text1"/>
                <w:kern w:val="0"/>
                <w:sz w:val="24"/>
                <w:szCs w:val="24"/>
                <w14:textFill>
                  <w14:solidFill>
                    <w14:schemeClr w14:val="tx1"/>
                  </w14:solidFill>
                </w14:textFill>
              </w:rPr>
              <w:t>生产日期</w:t>
            </w:r>
          </w:p>
        </w:tc>
        <w:tc>
          <w:tcPr>
            <w:tcW w:w="872"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jc w:val="center"/>
              <w:rPr>
                <w:rFonts w:hint="eastAsia" w:ascii="黑体" w:hAnsi="黑体" w:eastAsia="黑体" w:cs="黑体"/>
                <w:color w:val="000000" w:themeColor="text1"/>
                <w:kern w:val="0"/>
                <w:sz w:val="24"/>
                <w:szCs w:val="24"/>
                <w14:textFill>
                  <w14:solidFill>
                    <w14:schemeClr w14:val="tx1"/>
                  </w14:solidFill>
                </w14:textFill>
              </w:rPr>
            </w:pPr>
            <w:r>
              <w:rPr>
                <w:rFonts w:hint="eastAsia" w:ascii="黑体" w:hAnsi="黑体" w:eastAsia="黑体" w:cs="黑体"/>
                <w:color w:val="000000" w:themeColor="text1"/>
                <w:kern w:val="0"/>
                <w:sz w:val="24"/>
                <w:szCs w:val="24"/>
                <w14:textFill>
                  <w14:solidFill>
                    <w14:schemeClr w14:val="tx1"/>
                  </w14:solidFill>
                </w14:textFill>
              </w:rPr>
              <w:t>检验结论</w:t>
            </w:r>
          </w:p>
        </w:tc>
        <w:tc>
          <w:tcPr>
            <w:tcW w:w="1322"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jc w:val="center"/>
              <w:rPr>
                <w:rFonts w:hint="eastAsia" w:ascii="黑体" w:hAnsi="黑体" w:eastAsia="黑体" w:cs="黑体"/>
                <w:color w:val="000000" w:themeColor="text1"/>
                <w:kern w:val="0"/>
                <w:sz w:val="24"/>
                <w:szCs w:val="24"/>
                <w:lang w:eastAsia="zh-CN"/>
                <w14:textFill>
                  <w14:solidFill>
                    <w14:schemeClr w14:val="tx1"/>
                  </w14:solidFill>
                </w14:textFill>
              </w:rPr>
            </w:pPr>
            <w:r>
              <w:rPr>
                <w:rFonts w:hint="eastAsia" w:ascii="黑体" w:hAnsi="黑体" w:eastAsia="黑体" w:cs="黑体"/>
                <w:color w:val="000000" w:themeColor="text1"/>
                <w:kern w:val="0"/>
                <w:sz w:val="24"/>
                <w:szCs w:val="24"/>
                <w:lang w:eastAsia="zh-CN"/>
                <w14:textFill>
                  <w14:solidFill>
                    <w14:schemeClr w14:val="tx1"/>
                  </w14:solidFill>
                </w14:textFill>
              </w:rPr>
              <w:t>不合格项目</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85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1</w:t>
            </w:r>
          </w:p>
        </w:tc>
        <w:tc>
          <w:tcPr>
            <w:tcW w:w="139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珠海市香洲区前山里安五金商铺</w:t>
            </w:r>
          </w:p>
        </w:tc>
        <w:tc>
          <w:tcPr>
            <w:tcW w:w="123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带保护门两极双用两极带接地插座</w:t>
            </w:r>
          </w:p>
        </w:tc>
        <w:tc>
          <w:tcPr>
            <w:tcW w:w="82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鸿雁</w:t>
            </w:r>
          </w:p>
        </w:tc>
        <w:tc>
          <w:tcPr>
            <w:tcW w:w="1462"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型号：E86Z223A10N 规格：10A 250V</w:t>
            </w:r>
          </w:p>
        </w:tc>
        <w:tc>
          <w:tcPr>
            <w:tcW w:w="121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w:t>
            </w:r>
          </w:p>
        </w:tc>
        <w:tc>
          <w:tcPr>
            <w:tcW w:w="872"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未发现不合格</w:t>
            </w:r>
          </w:p>
        </w:tc>
        <w:tc>
          <w:tcPr>
            <w:tcW w:w="1322"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85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lang w:val="en-US" w:eastAsia="zh-CN"/>
                <w14:textFill>
                  <w14:solidFill>
                    <w14:schemeClr w14:val="tx1"/>
                  </w14:solidFill>
                </w14:textFill>
              </w:rPr>
            </w:pPr>
            <w:r>
              <w:rPr>
                <w:rFonts w:hint="eastAsia" w:ascii="仿宋" w:hAnsi="仿宋" w:eastAsia="仿宋" w:cs="仿宋"/>
                <w:color w:val="000000" w:themeColor="text1"/>
                <w:kern w:val="0"/>
                <w:sz w:val="21"/>
                <w:szCs w:val="21"/>
                <w:lang w:val="en-US" w:eastAsia="zh-CN"/>
                <w14:textFill>
                  <w14:solidFill>
                    <w14:schemeClr w14:val="tx1"/>
                  </w14:solidFill>
                </w14:textFill>
              </w:rPr>
              <w:t>2</w:t>
            </w:r>
          </w:p>
        </w:tc>
        <w:tc>
          <w:tcPr>
            <w:tcW w:w="139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lang w:val="en-US" w:eastAsia="zh-CN" w:bidi="ar-SA"/>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珠海市香洲区前山里安五金商铺</w:t>
            </w:r>
          </w:p>
        </w:tc>
        <w:tc>
          <w:tcPr>
            <w:tcW w:w="123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lang w:val="en-US" w:eastAsia="zh-CN" w:bidi="ar-SA"/>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带荧光指示大翘板双路开关</w:t>
            </w:r>
          </w:p>
        </w:tc>
        <w:tc>
          <w:tcPr>
            <w:tcW w:w="82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lang w:val="en-US" w:eastAsia="zh-CN" w:bidi="ar-SA"/>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鸿雁</w:t>
            </w:r>
          </w:p>
        </w:tc>
        <w:tc>
          <w:tcPr>
            <w:tcW w:w="1462"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lang w:val="en-US" w:eastAsia="zh-CN" w:bidi="ar-SA"/>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规格：10AX 250V 型号：E86K12Y10BN</w:t>
            </w:r>
          </w:p>
        </w:tc>
        <w:tc>
          <w:tcPr>
            <w:tcW w:w="121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lang w:val="en-US" w:eastAsia="zh-CN" w:bidi="ar-SA"/>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w:t>
            </w:r>
          </w:p>
        </w:tc>
        <w:tc>
          <w:tcPr>
            <w:tcW w:w="872"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lang w:val="en-US" w:eastAsia="zh-CN" w:bidi="ar-SA"/>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未发现不合格</w:t>
            </w:r>
          </w:p>
        </w:tc>
        <w:tc>
          <w:tcPr>
            <w:tcW w:w="1322"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lang w:val="en-US" w:eastAsia="zh-CN" w:bidi="ar-SA"/>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85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lang w:val="en-US" w:eastAsia="zh-CN" w:bidi="ar-SA"/>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3</w:t>
            </w:r>
          </w:p>
        </w:tc>
        <w:tc>
          <w:tcPr>
            <w:tcW w:w="139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金湾区世昌德五金商行</w:t>
            </w:r>
          </w:p>
        </w:tc>
        <w:tc>
          <w:tcPr>
            <w:tcW w:w="123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单项两极带接地可拆线插头</w:t>
            </w:r>
          </w:p>
        </w:tc>
        <w:tc>
          <w:tcPr>
            <w:tcW w:w="82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公牛</w:t>
            </w:r>
          </w:p>
        </w:tc>
        <w:tc>
          <w:tcPr>
            <w:tcW w:w="1462"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型号：GNT-10S</w:t>
            </w:r>
          </w:p>
        </w:tc>
        <w:tc>
          <w:tcPr>
            <w:tcW w:w="121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2023年2月</w:t>
            </w:r>
          </w:p>
        </w:tc>
        <w:tc>
          <w:tcPr>
            <w:tcW w:w="872"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未发现不合格</w:t>
            </w:r>
          </w:p>
        </w:tc>
        <w:tc>
          <w:tcPr>
            <w:tcW w:w="1322"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85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lang w:val="en-US" w:eastAsia="zh-CN" w:bidi="ar-SA"/>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4</w:t>
            </w:r>
          </w:p>
        </w:tc>
        <w:tc>
          <w:tcPr>
            <w:tcW w:w="139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lang w:val="en-US" w:eastAsia="zh-CN" w:bidi="ar-SA"/>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金湾区世昌德五金商行</w:t>
            </w:r>
          </w:p>
        </w:tc>
        <w:tc>
          <w:tcPr>
            <w:tcW w:w="123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lang w:val="en-US" w:eastAsia="zh-CN" w:bidi="ar-SA"/>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二位单极带荧光开关</w:t>
            </w:r>
          </w:p>
        </w:tc>
        <w:tc>
          <w:tcPr>
            <w:tcW w:w="82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lang w:val="en-US" w:eastAsia="zh-CN" w:bidi="ar-SA"/>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公牛</w:t>
            </w:r>
          </w:p>
        </w:tc>
        <w:tc>
          <w:tcPr>
            <w:tcW w:w="1462"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lang w:val="en-US" w:eastAsia="zh-CN" w:bidi="ar-SA"/>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型号：G32K211</w:t>
            </w:r>
          </w:p>
        </w:tc>
        <w:tc>
          <w:tcPr>
            <w:tcW w:w="121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lang w:val="en-US" w:eastAsia="zh-CN" w:bidi="ar-SA"/>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2022年4月19日</w:t>
            </w:r>
          </w:p>
        </w:tc>
        <w:tc>
          <w:tcPr>
            <w:tcW w:w="872"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lang w:val="en-US" w:eastAsia="zh-CN" w:bidi="ar-SA"/>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未发现不合格</w:t>
            </w:r>
          </w:p>
        </w:tc>
        <w:tc>
          <w:tcPr>
            <w:tcW w:w="1322"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lang w:val="en-US" w:eastAsia="zh-CN" w:bidi="ar-SA"/>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85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lang w:val="en-US" w:eastAsia="zh-CN" w:bidi="ar-SA"/>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5</w:t>
            </w:r>
          </w:p>
        </w:tc>
        <w:tc>
          <w:tcPr>
            <w:tcW w:w="139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珠海市金湾区三灶镇佳佳荣五金化工店</w:t>
            </w:r>
          </w:p>
        </w:tc>
        <w:tc>
          <w:tcPr>
            <w:tcW w:w="123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插座</w:t>
            </w:r>
          </w:p>
        </w:tc>
        <w:tc>
          <w:tcPr>
            <w:tcW w:w="82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成小牛</w:t>
            </w:r>
          </w:p>
        </w:tc>
        <w:tc>
          <w:tcPr>
            <w:tcW w:w="1462"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w:t>
            </w:r>
          </w:p>
        </w:tc>
        <w:tc>
          <w:tcPr>
            <w:tcW w:w="121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w:t>
            </w:r>
          </w:p>
        </w:tc>
        <w:tc>
          <w:tcPr>
            <w:tcW w:w="872"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不合格</w:t>
            </w:r>
          </w:p>
        </w:tc>
        <w:tc>
          <w:tcPr>
            <w:tcW w:w="1322"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标志；耐热</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85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bookmarkStart w:id="0" w:name="_GoBack"/>
            <w:bookmarkEnd w:id="0"/>
            <w:r>
              <w:rPr>
                <w:rFonts w:hint="eastAsia" w:ascii="仿宋" w:hAnsi="仿宋" w:eastAsia="仿宋" w:cs="仿宋"/>
                <w:color w:val="000000" w:themeColor="text1"/>
                <w:kern w:val="0"/>
                <w:sz w:val="21"/>
                <w:szCs w:val="21"/>
                <w14:textFill>
                  <w14:solidFill>
                    <w14:schemeClr w14:val="tx1"/>
                  </w14:solidFill>
                </w14:textFill>
              </w:rPr>
              <w:t>6</w:t>
            </w:r>
          </w:p>
        </w:tc>
        <w:tc>
          <w:tcPr>
            <w:tcW w:w="139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珠海市万业得一商贸有限公司</w:t>
            </w:r>
          </w:p>
        </w:tc>
        <w:tc>
          <w:tcPr>
            <w:tcW w:w="123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延长线插座</w:t>
            </w:r>
          </w:p>
        </w:tc>
        <w:tc>
          <w:tcPr>
            <w:tcW w:w="82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正牛</w:t>
            </w:r>
          </w:p>
        </w:tc>
        <w:tc>
          <w:tcPr>
            <w:tcW w:w="1462"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规格：1.5m 10A 250V 2500W 型号：ZN-1823</w:t>
            </w:r>
          </w:p>
        </w:tc>
        <w:tc>
          <w:tcPr>
            <w:tcW w:w="121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w:t>
            </w:r>
          </w:p>
        </w:tc>
        <w:tc>
          <w:tcPr>
            <w:tcW w:w="872"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未发现不合格</w:t>
            </w:r>
          </w:p>
        </w:tc>
        <w:tc>
          <w:tcPr>
            <w:tcW w:w="1322"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w:t>
            </w:r>
          </w:p>
        </w:tc>
      </w:tr>
    </w:tbl>
    <w:p>
      <w:pPr>
        <w:spacing w:line="578" w:lineRule="exact"/>
        <w:ind w:firstLine="5120" w:firstLineChars="1600"/>
        <w:rPr>
          <w:rFonts w:hint="eastAsia" w:ascii="仿宋_GB2312" w:hAnsi="仿宋_GB2312" w:eastAsia="仿宋_GB2312" w:cs="仿宋_GB2312"/>
          <w:sz w:val="32"/>
          <w:szCs w:val="32"/>
        </w:rPr>
      </w:pPr>
    </w:p>
    <w:p>
      <w:pPr>
        <w:spacing w:line="578" w:lineRule="exact"/>
        <w:ind w:firstLine="5120" w:firstLineChars="1600"/>
        <w:rPr>
          <w:rFonts w:hint="eastAsia" w:ascii="仿宋_GB2312" w:hAnsi="仿宋_GB2312" w:eastAsia="仿宋_GB2312" w:cs="仿宋_GB2312"/>
          <w:sz w:val="32"/>
          <w:szCs w:val="32"/>
        </w:rPr>
      </w:pPr>
    </w:p>
    <w:p>
      <w:pPr>
        <w:spacing w:line="578" w:lineRule="exact"/>
        <w:ind w:firstLine="5120" w:firstLineChars="1600"/>
        <w:rPr>
          <w:rFonts w:hint="eastAsia" w:ascii="仿宋_GB2312" w:hAnsi="仿宋_GB2312" w:eastAsia="仿宋_GB2312" w:cs="仿宋_GB2312"/>
          <w:sz w:val="32"/>
          <w:szCs w:val="32"/>
        </w:rPr>
      </w:pPr>
    </w:p>
    <w:p>
      <w:pPr>
        <w:spacing w:line="578" w:lineRule="exact"/>
        <w:ind w:firstLine="5120" w:firstLineChars="16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珠海市市场监督管理局</w:t>
      </w:r>
    </w:p>
    <w:p>
      <w:pPr>
        <w:spacing w:line="578" w:lineRule="exact"/>
        <w:ind w:firstLine="5440" w:firstLineChars="17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日</w:t>
      </w:r>
    </w:p>
    <w:p>
      <w:pPr>
        <w:widowControl/>
        <w:shd w:val="clear" w:color="auto" w:fill="FFFFFF"/>
        <w:wordWrap w:val="0"/>
        <w:spacing w:after="150" w:line="540" w:lineRule="atLeast"/>
        <w:jc w:val="right"/>
      </w:pPr>
    </w:p>
    <w:sectPr>
      <w:pgSz w:w="11906" w:h="16838"/>
      <w:pgMar w:top="1701" w:right="1417" w:bottom="1701"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A84"/>
    <w:rsid w:val="000A1575"/>
    <w:rsid w:val="00102A84"/>
    <w:rsid w:val="001C4120"/>
    <w:rsid w:val="00237166"/>
    <w:rsid w:val="002A560F"/>
    <w:rsid w:val="00347B76"/>
    <w:rsid w:val="003A4F50"/>
    <w:rsid w:val="003B7BB4"/>
    <w:rsid w:val="003D7A13"/>
    <w:rsid w:val="0044086E"/>
    <w:rsid w:val="004420E8"/>
    <w:rsid w:val="00483DF8"/>
    <w:rsid w:val="00507DBE"/>
    <w:rsid w:val="00596787"/>
    <w:rsid w:val="0061533E"/>
    <w:rsid w:val="00637FDB"/>
    <w:rsid w:val="006B56CA"/>
    <w:rsid w:val="007608B4"/>
    <w:rsid w:val="008454F3"/>
    <w:rsid w:val="00853E99"/>
    <w:rsid w:val="00950409"/>
    <w:rsid w:val="009B53F1"/>
    <w:rsid w:val="00AA4351"/>
    <w:rsid w:val="00B00A3A"/>
    <w:rsid w:val="00B200BC"/>
    <w:rsid w:val="00D43813"/>
    <w:rsid w:val="00D4637D"/>
    <w:rsid w:val="00DF7072"/>
    <w:rsid w:val="00E03001"/>
    <w:rsid w:val="00E83496"/>
    <w:rsid w:val="00EB55C2"/>
    <w:rsid w:val="00ED299D"/>
    <w:rsid w:val="00F46DA8"/>
    <w:rsid w:val="00FB7259"/>
    <w:rsid w:val="00FF6A09"/>
    <w:rsid w:val="3B9CCF6F"/>
    <w:rsid w:val="3CBA56A7"/>
    <w:rsid w:val="7FAA7C09"/>
    <w:rsid w:val="DFBE4226"/>
    <w:rsid w:val="FDD6F259"/>
    <w:rsid w:val="FFBB33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9"/>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qFormat/>
    <w:uiPriority w:val="22"/>
    <w:rPr>
      <w:b/>
      <w:bCs/>
    </w:rPr>
  </w:style>
  <w:style w:type="character" w:customStyle="1" w:styleId="9">
    <w:name w:val="标题 1 Char"/>
    <w:basedOn w:val="7"/>
    <w:link w:val="2"/>
    <w:qFormat/>
    <w:uiPriority w:val="9"/>
    <w:rPr>
      <w:rFonts w:ascii="宋体" w:hAnsi="宋体" w:eastAsia="宋体" w:cs="宋体"/>
      <w:b/>
      <w:bCs/>
      <w:kern w:val="36"/>
      <w:sz w:val="48"/>
      <w:szCs w:val="48"/>
    </w:rPr>
  </w:style>
  <w:style w:type="character" w:customStyle="1" w:styleId="10">
    <w:name w:val="页眉 Char"/>
    <w:basedOn w:val="7"/>
    <w:link w:val="4"/>
    <w:qFormat/>
    <w:uiPriority w:val="99"/>
    <w:rPr>
      <w:sz w:val="18"/>
      <w:szCs w:val="18"/>
    </w:rPr>
  </w:style>
  <w:style w:type="character" w:customStyle="1" w:styleId="11">
    <w:name w:val="页脚 Char"/>
    <w:basedOn w:val="7"/>
    <w:link w:val="3"/>
    <w:qFormat/>
    <w:uiPriority w:val="99"/>
    <w:rPr>
      <w:sz w:val="18"/>
      <w:szCs w:val="18"/>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167</Words>
  <Characters>957</Characters>
  <Lines>7</Lines>
  <Paragraphs>2</Paragraphs>
  <TotalTime>1</TotalTime>
  <ScaleCrop>false</ScaleCrop>
  <LinksUpToDate>false</LinksUpToDate>
  <CharactersWithSpaces>1122</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2022-11-16T01:34:00Z</dcterms:created>
  <dc:creator>Administrator</dc:creator>
  <cp:lastModifiedBy>刘赞</cp:lastModifiedBy>
  <dcterms:modified xsi:type="dcterms:W3CDTF">2024-03-19T06:16:41Z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3DC98723D0F6711BE0C7D565244CFA74</vt:lpwstr>
  </property>
</Properties>
</file>