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宋体" w:eastAsia="方正小标宋简体" w:cs="宋体"/>
          <w:bCs/>
          <w:color w:val="auto"/>
          <w:sz w:val="44"/>
          <w:szCs w:val="44"/>
          <w:highlight w:val="none"/>
          <w:lang w:val="en-US" w:eastAsia="zh-CN"/>
        </w:rPr>
        <w:t>2025年珠海市内外经贸发展专项资金（</w:t>
      </w:r>
      <w:r>
        <w:rPr>
          <w:rFonts w:hint="eastAsia" w:ascii="方正小标宋简体" w:hAnsi="方正小标宋简体" w:eastAsia="方正小标宋简体" w:cs="方正小标宋简体"/>
          <w:color w:val="auto"/>
          <w:sz w:val="44"/>
          <w:szCs w:val="44"/>
          <w:highlight w:val="none"/>
        </w:rPr>
        <w:t>加快港珠澳大桥经贸新通道建设促进现代物流业</w:t>
      </w:r>
    </w:p>
    <w:p>
      <w:pPr>
        <w:pStyle w:val="12"/>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黑体_GBK" w:hAnsi="方正黑体_GBK" w:eastAsia="方正黑体_GBK" w:cs="方正黑体_GBK"/>
          <w:color w:val="auto"/>
          <w:sz w:val="32"/>
          <w:szCs w:val="32"/>
          <w:lang w:val="en-US" w:eastAsia="zh-CN"/>
        </w:rPr>
      </w:pPr>
      <w:r>
        <w:rPr>
          <w:rFonts w:hint="eastAsia" w:ascii="方正小标宋简体" w:hAnsi="方正小标宋简体" w:eastAsia="方正小标宋简体" w:cs="方正小标宋简体"/>
          <w:color w:val="auto"/>
          <w:sz w:val="44"/>
          <w:szCs w:val="44"/>
          <w:highlight w:val="none"/>
        </w:rPr>
        <w:t>高质量发展</w:t>
      </w:r>
      <w:r>
        <w:rPr>
          <w:rFonts w:hint="eastAsia" w:ascii="方正小标宋简体" w:hAnsi="宋体" w:eastAsia="方正小标宋简体" w:cs="宋体"/>
          <w:bCs/>
          <w:color w:val="auto"/>
          <w:sz w:val="44"/>
          <w:szCs w:val="44"/>
          <w:highlight w:val="none"/>
        </w:rPr>
        <w:t>事项</w:t>
      </w:r>
      <w:r>
        <w:rPr>
          <w:rFonts w:hint="eastAsia" w:ascii="方正小标宋简体" w:hAnsi="宋体" w:eastAsia="方正小标宋简体" w:cs="宋体"/>
          <w:bCs/>
          <w:color w:val="auto"/>
          <w:sz w:val="44"/>
          <w:szCs w:val="44"/>
          <w:highlight w:val="none"/>
          <w:lang w:val="en-US" w:eastAsia="zh-CN"/>
        </w:rPr>
        <w:t>）申报指南</w:t>
      </w:r>
    </w:p>
    <w:p>
      <w:pPr>
        <w:pStyle w:val="11"/>
        <w:keepNext w:val="0"/>
        <w:keepLines w:val="0"/>
        <w:pageBreakBefore w:val="0"/>
        <w:numPr>
          <w:ilvl w:val="0"/>
          <w:numId w:val="0"/>
        </w:numPr>
        <w:kinsoku/>
        <w:wordWrap/>
        <w:overflowPunct/>
        <w:topLinePunct w:val="0"/>
        <w:autoSpaceDE/>
        <w:autoSpaceDN/>
        <w:bidi w:val="0"/>
        <w:adjustRightInd/>
        <w:snapToGrid/>
        <w:spacing w:after="0" w:line="579" w:lineRule="exact"/>
        <w:ind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p>
    <w:p>
      <w:pPr>
        <w:pStyle w:val="13"/>
        <w:spacing w:beforeLines="0" w:afterLines="0" w:line="579" w:lineRule="exact"/>
        <w:ind w:firstLine="640" w:firstLineChars="200"/>
        <w:jc w:val="both"/>
        <w:rPr>
          <w:rFonts w:hint="default" w:ascii="仿宋" w:hAnsi="仿宋" w:eastAsia="仿宋" w:cs="仿宋"/>
          <w:b w:val="0"/>
          <w:bCs w:val="0"/>
          <w:color w:val="0000FF"/>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申报项目覆盖时间范围</w:t>
      </w:r>
      <w:r>
        <w:rPr>
          <w:rFonts w:hint="eastAsia" w:ascii="仿宋" w:hAnsi="仿宋" w:eastAsia="仿宋" w:cs="仿宋"/>
          <w:b w:val="0"/>
          <w:bCs w:val="0"/>
          <w:color w:val="auto"/>
          <w:kern w:val="2"/>
          <w:sz w:val="32"/>
          <w:szCs w:val="32"/>
          <w:highlight w:val="none"/>
          <w:lang w:val="en-US" w:eastAsia="zh-CN" w:bidi="ar"/>
        </w:rPr>
        <w:t>：</w:t>
      </w:r>
      <w:r>
        <w:rPr>
          <w:rFonts w:hint="default" w:ascii="仿宋" w:hAnsi="仿宋" w:eastAsia="仿宋" w:cs="仿宋"/>
          <w:b w:val="0"/>
          <w:bCs w:val="0"/>
          <w:color w:val="auto"/>
          <w:kern w:val="2"/>
          <w:sz w:val="32"/>
          <w:szCs w:val="32"/>
          <w:highlight w:val="none"/>
          <w:lang w:val="en-US" w:eastAsia="zh-CN" w:bidi="ar"/>
        </w:rPr>
        <w:t>202</w:t>
      </w:r>
      <w:r>
        <w:rPr>
          <w:rFonts w:hint="eastAsia" w:ascii="仿宋" w:hAnsi="仿宋" w:eastAsia="仿宋" w:cs="仿宋"/>
          <w:b w:val="0"/>
          <w:bCs w:val="0"/>
          <w:color w:val="auto"/>
          <w:kern w:val="2"/>
          <w:sz w:val="32"/>
          <w:szCs w:val="32"/>
          <w:highlight w:val="none"/>
          <w:lang w:val="en-US" w:eastAsia="zh-CN" w:bidi="ar"/>
        </w:rPr>
        <w:t>3</w:t>
      </w:r>
      <w:r>
        <w:rPr>
          <w:rFonts w:hint="default" w:ascii="仿宋" w:hAnsi="仿宋" w:eastAsia="仿宋" w:cs="仿宋"/>
          <w:b w:val="0"/>
          <w:bCs w:val="0"/>
          <w:color w:val="auto"/>
          <w:kern w:val="2"/>
          <w:sz w:val="32"/>
          <w:szCs w:val="32"/>
          <w:highlight w:val="none"/>
          <w:lang w:val="en-US" w:eastAsia="zh-CN" w:bidi="ar"/>
        </w:rPr>
        <w:t>年1月1日至202</w:t>
      </w:r>
      <w:r>
        <w:rPr>
          <w:rFonts w:hint="eastAsia" w:ascii="仿宋" w:hAnsi="仿宋" w:eastAsia="仿宋" w:cs="仿宋"/>
          <w:b w:val="0"/>
          <w:bCs w:val="0"/>
          <w:color w:val="auto"/>
          <w:kern w:val="2"/>
          <w:sz w:val="32"/>
          <w:szCs w:val="32"/>
          <w:highlight w:val="none"/>
          <w:lang w:val="en-US" w:eastAsia="zh-CN" w:bidi="ar"/>
        </w:rPr>
        <w:t>3</w:t>
      </w:r>
      <w:r>
        <w:rPr>
          <w:rFonts w:hint="default" w:ascii="仿宋" w:hAnsi="仿宋" w:eastAsia="仿宋" w:cs="仿宋"/>
          <w:b w:val="0"/>
          <w:bCs w:val="0"/>
          <w:color w:val="auto"/>
          <w:kern w:val="2"/>
          <w:sz w:val="32"/>
          <w:szCs w:val="32"/>
          <w:highlight w:val="none"/>
          <w:lang w:val="en-US" w:eastAsia="zh-CN" w:bidi="ar"/>
        </w:rPr>
        <w:t>年12月31日</w:t>
      </w:r>
      <w:r>
        <w:rPr>
          <w:rFonts w:hint="eastAsia" w:ascii="仿宋" w:hAnsi="仿宋" w:eastAsia="仿宋" w:cs="仿宋"/>
          <w:b w:val="0"/>
          <w:bCs w:val="0"/>
          <w:color w:val="auto"/>
          <w:kern w:val="2"/>
          <w:sz w:val="32"/>
          <w:szCs w:val="32"/>
          <w:highlight w:val="none"/>
          <w:lang w:val="en-US" w:eastAsia="zh-CN" w:bidi="ar"/>
        </w:rPr>
        <w:t>。其中，按实际投资金额核定的项目须在此期间投入运营。</w:t>
      </w:r>
    </w:p>
    <w:p>
      <w:pPr>
        <w:pStyle w:val="11"/>
        <w:keepNext w:val="0"/>
        <w:keepLines w:val="0"/>
        <w:pageBreakBefore w:val="0"/>
        <w:numPr>
          <w:ilvl w:val="0"/>
          <w:numId w:val="0"/>
        </w:numPr>
        <w:kinsoku/>
        <w:wordWrap/>
        <w:overflowPunct/>
        <w:topLinePunct w:val="0"/>
        <w:autoSpaceDE/>
        <w:autoSpaceDN/>
        <w:bidi w:val="0"/>
        <w:adjustRightInd/>
        <w:snapToGrid/>
        <w:spacing w:after="0" w:line="579" w:lineRule="exact"/>
        <w:ind w:leftChars="0" w:firstLine="640" w:firstLineChars="200"/>
        <w:jc w:val="left"/>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方正黑体_GBK" w:hAnsi="方正黑体_GBK" w:eastAsia="方正黑体_GBK" w:cs="方正黑体_GBK"/>
          <w:color w:val="auto"/>
          <w:sz w:val="32"/>
          <w:szCs w:val="32"/>
          <w:lang w:val="en-US" w:eastAsia="zh-CN"/>
        </w:rPr>
        <w:t>一、</w:t>
      </w:r>
      <w:r>
        <w:rPr>
          <w:rFonts w:hint="eastAsia" w:ascii="方正黑体_GBK" w:hAnsi="方正黑体_GBK" w:eastAsia="方正黑体_GBK" w:cs="方正黑体_GBK"/>
          <w:color w:val="auto"/>
          <w:sz w:val="32"/>
          <w:szCs w:val="32"/>
        </w:rPr>
        <w:t>事项名称</w:t>
      </w:r>
    </w:p>
    <w:p>
      <w:pPr>
        <w:keepNext w:val="0"/>
        <w:keepLines w:val="0"/>
        <w:pageBreakBefore w:val="0"/>
        <w:widowControl/>
        <w:kinsoku/>
        <w:wordWrap/>
        <w:overflowPunct/>
        <w:topLinePunct w:val="0"/>
        <w:autoSpaceDE/>
        <w:autoSpaceDN/>
        <w:bidi w:val="0"/>
        <w:adjustRightInd/>
        <w:snapToGrid/>
        <w:spacing w:line="579" w:lineRule="exact"/>
        <w:ind w:firstLine="640" w:firstLineChars="200"/>
        <w:jc w:val="left"/>
        <w:textAlignment w:val="auto"/>
        <w:rPr>
          <w:rFonts w:hint="default" w:ascii="CESI楷体-GB13000" w:hAnsi="CESI楷体-GB13000" w:eastAsia="CESI楷体-GB13000" w:cs="CESI楷体-GB13000"/>
          <w:bCs w:val="0"/>
          <w:color w:val="auto"/>
          <w:kern w:val="2"/>
          <w:sz w:val="32"/>
          <w:szCs w:val="32"/>
          <w:highlight w:val="none"/>
          <w:lang w:val="en-US" w:eastAsia="zh-CN" w:bidi="ar"/>
        </w:rPr>
      </w:pPr>
      <w:r>
        <w:rPr>
          <w:rFonts w:hint="eastAsia" w:ascii="CESI楷体-GB13000" w:hAnsi="CESI楷体-GB13000" w:eastAsia="CESI楷体-GB13000" w:cs="CESI楷体-GB13000"/>
          <w:bCs w:val="0"/>
          <w:color w:val="auto"/>
          <w:kern w:val="2"/>
          <w:sz w:val="32"/>
          <w:szCs w:val="32"/>
          <w:highlight w:val="none"/>
          <w:lang w:bidi="ar"/>
        </w:rPr>
        <w:t>（一）</w:t>
      </w:r>
      <w:r>
        <w:rPr>
          <w:rFonts w:hint="eastAsia" w:ascii="CESI楷体-GB13000" w:hAnsi="CESI楷体-GB13000" w:eastAsia="CESI楷体-GB13000" w:cs="CESI楷体-GB13000"/>
          <w:bCs w:val="0"/>
          <w:color w:val="auto"/>
          <w:kern w:val="2"/>
          <w:sz w:val="32"/>
          <w:szCs w:val="32"/>
          <w:highlight w:val="none"/>
          <w:lang w:eastAsia="zh-CN" w:bidi="ar"/>
        </w:rPr>
        <w:t>促进港珠澳大桥跨境物流货源集聚</w:t>
      </w:r>
    </w:p>
    <w:p>
      <w:pPr>
        <w:pStyle w:val="13"/>
        <w:spacing w:beforeLines="0" w:afterLines="0" w:line="579" w:lineRule="exact"/>
        <w:ind w:firstLine="642" w:firstLineChars="200"/>
        <w:jc w:val="both"/>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1.支持港珠澳大桥跨境货运业务</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本市公路舱单传输人在年度内，经港珠澳大桥往来珠港货运总车次不低于100次：</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其中货柜车的申报货值不低于3万美元/车次，且申报重量不低于1000公斤/车次的，按不超过800元/车次给予资助。普通货车的申报货值不低于1万美元/车次，且申报重量不低于300公斤/车次的，按不超过200元/车次给予资助。</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每个申报项目年度资助金额最高不超过200万元。</w:t>
      </w:r>
    </w:p>
    <w:p>
      <w:pPr>
        <w:pStyle w:val="13"/>
        <w:spacing w:beforeLines="0" w:afterLines="0" w:line="579" w:lineRule="exact"/>
        <w:ind w:firstLine="642" w:firstLineChars="200"/>
        <w:jc w:val="both"/>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2.降低港珠澳大桥跨境物流仓储成本</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对开展港珠澳大桥粤港跨境运输业务的配套仓储给予资助，按东部片区（珠海大桥以东区域）每平方米每月2.5元、西部片区（珠海大桥以西区域）每平方米每月2元给予资助，每个申报项目年度资助金额最高不超过100万元。企业业务和仓储面积应同时满足下列条件：</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（1）经港珠澳大桥开展珠港跨境运输业务，该项业务收入占营业总收入比例不低于70%；</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（2）租赁配套跨境运输业务的仓库面积（不含生活配套和商务配套面积）不低于3000平方米。</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转租、转借、业主自用、租赁方与承租方存关联关系的，不予以支持。</w:t>
      </w:r>
    </w:p>
    <w:p>
      <w:pPr>
        <w:pStyle w:val="13"/>
        <w:spacing w:beforeLines="0" w:afterLines="0" w:line="579" w:lineRule="exact"/>
        <w:ind w:firstLine="642" w:firstLineChars="200"/>
        <w:jc w:val="both"/>
        <w:rPr>
          <w:rFonts w:hint="eastAsia" w:ascii="仿宋" w:hAnsi="仿宋" w:eastAsia="仿宋" w:cs="仿宋"/>
          <w:b/>
          <w:bCs/>
          <w:color w:val="auto"/>
          <w:kern w:val="2"/>
          <w:sz w:val="32"/>
          <w:szCs w:val="32"/>
          <w:highlight w:val="none"/>
          <w:lang w:val="en-US" w:eastAsia="zh-CN" w:bidi="ar"/>
        </w:rPr>
      </w:pPr>
      <w:r>
        <w:rPr>
          <w:rFonts w:hint="default" w:ascii="仿宋" w:hAnsi="仿宋" w:eastAsia="仿宋" w:cs="仿宋"/>
          <w:b/>
          <w:bCs/>
          <w:color w:val="auto"/>
          <w:kern w:val="2"/>
          <w:sz w:val="32"/>
          <w:szCs w:val="32"/>
          <w:highlight w:val="none"/>
          <w:lang w:val="en-US" w:eastAsia="zh-CN" w:bidi="ar"/>
        </w:rPr>
        <w:t>3.</w:t>
      </w:r>
      <w:r>
        <w:rPr>
          <w:rFonts w:hint="eastAsia" w:ascii="仿宋" w:hAnsi="仿宋" w:eastAsia="仿宋" w:cs="仿宋"/>
          <w:b/>
          <w:bCs/>
          <w:color w:val="auto"/>
          <w:kern w:val="2"/>
          <w:sz w:val="32"/>
          <w:szCs w:val="32"/>
          <w:highlight w:val="none"/>
          <w:lang w:val="en-US" w:eastAsia="zh-CN" w:bidi="ar"/>
        </w:rPr>
        <w:t>鼓励发展大型跨境综合物流服务设施</w:t>
      </w:r>
    </w:p>
    <w:p>
      <w:pPr>
        <w:pStyle w:val="13"/>
        <w:spacing w:beforeLines="0" w:afterLines="0" w:line="579" w:lineRule="exact"/>
        <w:ind w:firstLine="640" w:firstLineChars="200"/>
        <w:jc w:val="both"/>
        <w:rPr>
          <w:rFonts w:hint="default"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鼓励企业为港珠澳大桥跨境货车提供接驳、集拼等综合服务，对租赁或自有占地面积不低于10000平方米的接驳、集拼业务场地，且年度接驳、集拼跨境货车业务量不低于3000车次的场地经营者给予资助。</w:t>
      </w:r>
    </w:p>
    <w:p>
      <w:pPr>
        <w:pStyle w:val="13"/>
        <w:spacing w:beforeLines="0" w:afterLines="0" w:line="579" w:lineRule="exact"/>
        <w:ind w:firstLine="640" w:firstLineChars="200"/>
        <w:jc w:val="both"/>
        <w:rPr>
          <w:rFonts w:hint="eastAsia" w:ascii="仿宋" w:hAnsi="仿宋" w:eastAsia="仿宋" w:cs="仿宋"/>
          <w:b w:val="0"/>
          <w:bCs w:val="0"/>
          <w:color w:val="auto"/>
          <w:kern w:val="2"/>
          <w:sz w:val="32"/>
          <w:szCs w:val="32"/>
          <w:highlight w:val="none"/>
          <w:lang w:val="en-US" w:eastAsia="zh-CN" w:bidi="ar"/>
        </w:rPr>
      </w:pPr>
      <w:r>
        <w:rPr>
          <w:rFonts w:hint="default" w:ascii="仿宋" w:hAnsi="仿宋" w:eastAsia="仿宋" w:cs="仿宋"/>
          <w:b w:val="0"/>
          <w:bCs w:val="0"/>
          <w:color w:val="auto"/>
          <w:kern w:val="2"/>
          <w:sz w:val="32"/>
          <w:szCs w:val="32"/>
          <w:highlight w:val="none"/>
          <w:lang w:val="en-US" w:eastAsia="zh-CN" w:bidi="ar"/>
        </w:rPr>
        <w:t>对满足上述条件的跨境综合物流服务设施经营单位，按不超过业务实际收费的30%给予资助，每个申报项目年度资助金额最高不超过300万元。</w:t>
      </w:r>
    </w:p>
    <w:p>
      <w:pPr>
        <w:spacing w:beforeLines="0" w:afterLines="0" w:line="579" w:lineRule="exact"/>
        <w:ind w:firstLine="640" w:firstLineChars="200"/>
        <w:jc w:val="both"/>
        <w:rPr>
          <w:rFonts w:hint="eastAsia" w:ascii="CESI楷体-GB13000" w:hAnsi="CESI楷体-GB13000" w:eastAsia="CESI楷体-GB13000" w:cs="CESI楷体-GB13000"/>
          <w:bCs/>
          <w:color w:val="auto"/>
          <w:kern w:val="0"/>
          <w:sz w:val="32"/>
          <w:szCs w:val="32"/>
          <w:highlight w:val="none"/>
          <w:lang w:eastAsia="zh-CN"/>
        </w:rPr>
      </w:pPr>
      <w:r>
        <w:rPr>
          <w:rFonts w:hint="eastAsia" w:ascii="CESI楷体-GB13000" w:hAnsi="CESI楷体-GB13000" w:eastAsia="CESI楷体-GB13000" w:cs="CESI楷体-GB13000"/>
          <w:bCs/>
          <w:color w:val="auto"/>
          <w:kern w:val="0"/>
          <w:sz w:val="32"/>
          <w:szCs w:val="32"/>
          <w:highlight w:val="none"/>
        </w:rPr>
        <w:t>（二）</w:t>
      </w:r>
      <w:r>
        <w:rPr>
          <w:rFonts w:hint="eastAsia" w:ascii="CESI楷体-GB13000" w:hAnsi="CESI楷体-GB13000" w:eastAsia="CESI楷体-GB13000" w:cs="CESI楷体-GB13000"/>
          <w:bCs/>
          <w:color w:val="auto"/>
          <w:kern w:val="0"/>
          <w:sz w:val="32"/>
          <w:szCs w:val="32"/>
          <w:highlight w:val="none"/>
          <w:lang w:eastAsia="zh-CN"/>
        </w:rPr>
        <w:t>支持物流基础设施建设</w:t>
      </w:r>
    </w:p>
    <w:p>
      <w:pPr>
        <w:pStyle w:val="13"/>
        <w:spacing w:beforeLines="0" w:afterLines="0" w:line="579" w:lineRule="exact"/>
        <w:ind w:firstLine="642" w:firstLineChars="200"/>
        <w:jc w:val="both"/>
        <w:rPr>
          <w:rFonts w:hint="default" w:ascii="仿宋" w:hAnsi="仿宋" w:eastAsia="仿宋" w:cs="仿宋"/>
          <w:b/>
          <w:bCs/>
          <w:color w:val="auto"/>
          <w:kern w:val="2"/>
          <w:sz w:val="32"/>
          <w:szCs w:val="32"/>
          <w:highlight w:val="none"/>
          <w:lang w:val="en-US" w:eastAsia="zh-CN" w:bidi="ar"/>
        </w:rPr>
      </w:pPr>
      <w:r>
        <w:rPr>
          <w:rFonts w:hint="default" w:ascii="仿宋" w:hAnsi="仿宋" w:eastAsia="仿宋" w:cs="仿宋"/>
          <w:b/>
          <w:bCs/>
          <w:color w:val="auto"/>
          <w:kern w:val="2"/>
          <w:sz w:val="32"/>
          <w:szCs w:val="32"/>
          <w:highlight w:val="none"/>
          <w:lang w:val="en-US" w:eastAsia="zh-CN" w:bidi="ar"/>
        </w:rPr>
        <w:t>4.支持物流园区（项目）建设</w:t>
      </w:r>
    </w:p>
    <w:p>
      <w:pPr>
        <w:pStyle w:val="13"/>
        <w:spacing w:beforeLines="0" w:afterLines="0" w:line="579" w:lineRule="exact"/>
        <w:ind w:firstLine="640" w:firstLineChars="200"/>
        <w:jc w:val="both"/>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鼓励物流项目进入粤港澳物流园区、高栏港国际物流园区、空港国际物流园区等国际物流园区集聚发展（见附件8）。园区规划范围原则上以《珠海市现代物流业发展规划（2020-2025）》为准，</w:t>
      </w:r>
      <w:r>
        <w:rPr>
          <w:rFonts w:hint="eastAsia" w:ascii="仿宋" w:hAnsi="仿宋" w:eastAsia="仿宋" w:cs="仿宋"/>
          <w:b/>
          <w:bCs/>
          <w:color w:val="auto"/>
          <w:kern w:val="2"/>
          <w:sz w:val="32"/>
          <w:szCs w:val="32"/>
          <w:highlight w:val="none"/>
          <w:lang w:val="en-US" w:eastAsia="zh-CN" w:bidi="ar"/>
        </w:rPr>
        <w:t>本项申报内容不含危险品物流项目。</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_GB2312" w:hAnsi="仿宋_GB2312" w:eastAsia="仿宋_GB2312" w:cs="仿宋_GB2312"/>
          <w:b w:val="0"/>
          <w:bCs/>
          <w:color w:val="auto"/>
          <w:sz w:val="32"/>
          <w:szCs w:val="32"/>
          <w:u w:val="none"/>
          <w:lang w:val="en-US" w:eastAsia="zh-CN"/>
        </w:rPr>
      </w:pPr>
      <w:r>
        <w:rPr>
          <w:rFonts w:hint="eastAsia" w:ascii="仿宋" w:hAnsi="仿宋" w:eastAsia="仿宋" w:cs="仿宋"/>
          <w:b/>
          <w:bCs/>
          <w:color w:val="auto"/>
          <w:kern w:val="2"/>
          <w:sz w:val="32"/>
          <w:szCs w:val="32"/>
          <w:highlight w:val="none"/>
          <w:lang w:val="en-US" w:eastAsia="zh-CN" w:bidi="ar"/>
        </w:rPr>
        <w:t>（1）对在粤港澳物流园区、高栏港国际物流园区以及空港国际物流园区范围内</w:t>
      </w:r>
      <w:r>
        <w:rPr>
          <w:rFonts w:hint="eastAsia" w:ascii="仿宋" w:hAnsi="仿宋" w:eastAsia="仿宋" w:cs="仿宋"/>
          <w:b w:val="0"/>
          <w:bCs w:val="0"/>
          <w:color w:val="auto"/>
          <w:kern w:val="2"/>
          <w:sz w:val="32"/>
          <w:szCs w:val="32"/>
          <w:highlight w:val="none"/>
          <w:lang w:val="en-US" w:eastAsia="zh-CN" w:bidi="ar"/>
        </w:rPr>
        <w:t>新设或改造的物流项目，实际投资金额不低于1000万元，政策有效期内建成并投入运营的，按不超过实际投资金额的10%给予一次性资助，每个申报项目资助金额最高不超过500万元。</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（2）对在上述物流园区之外新设或改造的物流项目，实际投资金额不低于2000万元，政策有效期内建成并投入运营的，按不超过实际投资金额的10%给予一次性资助，每个项目资助金额最高不超过500万元。</w:t>
      </w:r>
    </w:p>
    <w:p>
      <w:pPr>
        <w:spacing w:beforeLines="0" w:afterLines="0" w:line="579" w:lineRule="exact"/>
        <w:ind w:firstLine="640" w:firstLineChars="200"/>
        <w:jc w:val="both"/>
        <w:rPr>
          <w:rFonts w:hint="eastAsia" w:ascii="CESI楷体-GB13000" w:hAnsi="CESI楷体-GB13000" w:eastAsia="CESI楷体-GB13000" w:cs="CESI楷体-GB13000"/>
          <w:bCs/>
          <w:color w:val="auto"/>
          <w:kern w:val="0"/>
          <w:sz w:val="32"/>
          <w:szCs w:val="32"/>
          <w:highlight w:val="none"/>
          <w:lang w:val="en-US" w:eastAsia="zh-CN"/>
        </w:rPr>
      </w:pPr>
      <w:r>
        <w:rPr>
          <w:rFonts w:hint="eastAsia" w:ascii="CESI楷体-GB13000" w:hAnsi="CESI楷体-GB13000" w:eastAsia="CESI楷体-GB13000" w:cs="CESI楷体-GB13000"/>
          <w:bCs/>
          <w:color w:val="auto"/>
          <w:kern w:val="0"/>
          <w:sz w:val="32"/>
          <w:szCs w:val="32"/>
          <w:highlight w:val="none"/>
          <w:lang w:eastAsia="zh-CN"/>
        </w:rPr>
        <w:t>（三）</w:t>
      </w:r>
      <w:r>
        <w:rPr>
          <w:rFonts w:hint="eastAsia" w:ascii="CESI楷体-GB13000" w:hAnsi="CESI楷体-GB13000" w:eastAsia="CESI楷体-GB13000" w:cs="CESI楷体-GB13000"/>
          <w:bCs/>
          <w:color w:val="auto"/>
          <w:kern w:val="0"/>
          <w:sz w:val="32"/>
          <w:szCs w:val="32"/>
          <w:highlight w:val="none"/>
          <w:lang w:val="en-US" w:eastAsia="zh-CN"/>
        </w:rPr>
        <w:t>支持城乡网络建设</w:t>
      </w:r>
    </w:p>
    <w:p>
      <w:pPr>
        <w:pStyle w:val="13"/>
        <w:spacing w:beforeLines="0" w:afterLines="0" w:line="579" w:lineRule="exact"/>
        <w:ind w:firstLine="642" w:firstLineChars="200"/>
        <w:jc w:val="both"/>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5.支持物流企业参与城乡配送网络建设，加快构建配送（分拨）中心</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经营面积不少于2000平方米，且年度物流服务营业额不低于500万元的城乡配送（分拨）中心，按不超过项目年度实际投资金额的15%给予一次性资助，每个项目最高不超过200万元。</w:t>
      </w:r>
    </w:p>
    <w:p>
      <w:pPr>
        <w:spacing w:beforeLines="0" w:afterLines="0" w:line="579" w:lineRule="exact"/>
        <w:ind w:firstLine="640" w:firstLineChars="200"/>
        <w:jc w:val="both"/>
        <w:rPr>
          <w:rFonts w:hint="eastAsia" w:ascii="CESI楷体-GB13000" w:hAnsi="CESI楷体-GB13000" w:eastAsia="CESI楷体-GB13000" w:cs="CESI楷体-GB13000"/>
          <w:bCs/>
          <w:color w:val="auto"/>
          <w:kern w:val="0"/>
          <w:sz w:val="32"/>
          <w:szCs w:val="32"/>
          <w:highlight w:val="none"/>
          <w:lang w:val="en-US" w:eastAsia="zh-CN"/>
        </w:rPr>
      </w:pPr>
      <w:r>
        <w:rPr>
          <w:rFonts w:hint="eastAsia" w:ascii="CESI楷体-GB13000" w:hAnsi="CESI楷体-GB13000" w:eastAsia="CESI楷体-GB13000" w:cs="CESI楷体-GB13000"/>
          <w:bCs/>
          <w:color w:val="auto"/>
          <w:kern w:val="0"/>
          <w:sz w:val="32"/>
          <w:szCs w:val="32"/>
          <w:highlight w:val="none"/>
          <w:lang w:val="en-US" w:eastAsia="zh-CN"/>
        </w:rPr>
        <w:t>（四）支持冷链物流发展</w:t>
      </w:r>
    </w:p>
    <w:p>
      <w:pPr>
        <w:pStyle w:val="13"/>
        <w:spacing w:beforeLines="0" w:afterLines="0" w:line="579" w:lineRule="exact"/>
        <w:ind w:firstLine="642" w:firstLineChars="200"/>
        <w:jc w:val="both"/>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6.支持冷链基础设施建设</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对冷链物流基础设施建设项目给予资助，公称容积（冷藏间或冰库的室内净面积乘以房间净高）5000立方米（含）以上，政策有效期内建成并投入使用的，按不超过实际投资金额的15%给予一次性资助，每个申报项目资助金额最高不超过500万元。</w:t>
      </w:r>
    </w:p>
    <w:p>
      <w:pPr>
        <w:pStyle w:val="13"/>
        <w:spacing w:beforeLines="0" w:afterLines="0" w:line="579" w:lineRule="exact"/>
        <w:ind w:firstLine="642" w:firstLineChars="200"/>
        <w:jc w:val="both"/>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7.支持购置冷链设备</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年度购置冷链设备200万元（含）以上的，按不超过年度实际投资金额的15%给予一次性资助，每个申报项目资助金额最高不超过200万元。</w:t>
      </w:r>
    </w:p>
    <w:p>
      <w:pPr>
        <w:spacing w:beforeLines="0" w:afterLines="0" w:line="579" w:lineRule="exact"/>
        <w:ind w:firstLine="640" w:firstLineChars="200"/>
        <w:jc w:val="both"/>
        <w:rPr>
          <w:rFonts w:hint="eastAsia" w:ascii="CESI楷体-GB13000" w:hAnsi="CESI楷体-GB13000" w:eastAsia="CESI楷体-GB13000" w:cs="CESI楷体-GB13000"/>
          <w:bCs/>
          <w:color w:val="auto"/>
          <w:kern w:val="0"/>
          <w:sz w:val="32"/>
          <w:szCs w:val="32"/>
          <w:highlight w:val="none"/>
          <w:lang w:val="en-US" w:eastAsia="zh-CN"/>
        </w:rPr>
      </w:pPr>
      <w:r>
        <w:rPr>
          <w:rFonts w:hint="eastAsia" w:ascii="CESI楷体-GB13000" w:hAnsi="CESI楷体-GB13000" w:eastAsia="CESI楷体-GB13000" w:cs="CESI楷体-GB13000"/>
          <w:bCs/>
          <w:color w:val="auto"/>
          <w:kern w:val="0"/>
          <w:sz w:val="32"/>
          <w:szCs w:val="32"/>
          <w:highlight w:val="none"/>
          <w:lang w:val="en-US" w:eastAsia="zh-CN"/>
        </w:rPr>
        <w:t>（五）推动智慧物流发展</w:t>
      </w:r>
    </w:p>
    <w:p>
      <w:pPr>
        <w:pStyle w:val="13"/>
        <w:spacing w:beforeLines="0" w:afterLines="0" w:line="579" w:lineRule="exact"/>
        <w:ind w:firstLine="642" w:firstLineChars="200"/>
        <w:jc w:val="both"/>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8.支持物流企业提升智能化水平</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_GB2312" w:hAnsi="仿宋_GB2312" w:eastAsia="仿宋_GB2312" w:cs="仿宋_GB2312"/>
          <w:b w:val="0"/>
          <w:bCs/>
          <w:color w:val="auto"/>
          <w:sz w:val="32"/>
          <w:szCs w:val="32"/>
          <w:u w:val="none"/>
          <w:lang w:val="en-US" w:eastAsia="zh-CN"/>
        </w:rPr>
      </w:pPr>
      <w:r>
        <w:rPr>
          <w:rFonts w:hint="eastAsia" w:ascii="仿宋" w:hAnsi="仿宋" w:eastAsia="仿宋" w:cs="仿宋"/>
          <w:b w:val="0"/>
          <w:bCs w:val="0"/>
          <w:color w:val="auto"/>
          <w:kern w:val="2"/>
          <w:sz w:val="32"/>
          <w:szCs w:val="32"/>
          <w:highlight w:val="none"/>
          <w:lang w:val="en-US" w:eastAsia="zh-CN" w:bidi="ar"/>
        </w:rPr>
        <w:t>鼓励物流企业购置自动化、智能化等现代化装备，提高仓储、运输、分拨配送等物流环节的自动化、智能化水平。年度购置设备不低于100万元，按不超过年度实际投资金额的20%给予一次性资助，每个申报项目资助金额最高不超过300万元。</w:t>
      </w:r>
    </w:p>
    <w:p>
      <w:pPr>
        <w:spacing w:before="295" w:beforeLines="50" w:after="0" w:afterLines="0" w:line="579"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二、</w:t>
      </w:r>
      <w:r>
        <w:rPr>
          <w:rFonts w:hint="eastAsia" w:ascii="方正黑体_GBK" w:hAnsi="方正黑体_GBK" w:eastAsia="方正黑体_GBK" w:cs="方正黑体_GBK"/>
          <w:color w:val="auto"/>
          <w:sz w:val="32"/>
          <w:szCs w:val="32"/>
        </w:rPr>
        <w:t>主管部门</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珠海市商务局</w:t>
      </w:r>
    </w:p>
    <w:p>
      <w:pPr>
        <w:spacing w:before="295" w:beforeLines="50" w:after="0" w:afterLines="0" w:line="579"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三、</w:t>
      </w:r>
      <w:r>
        <w:rPr>
          <w:rFonts w:hint="eastAsia" w:ascii="方正黑体_GBK" w:hAnsi="方正黑体_GBK" w:eastAsia="方正黑体_GBK" w:cs="方正黑体_GBK"/>
          <w:color w:val="auto"/>
          <w:sz w:val="32"/>
          <w:szCs w:val="32"/>
        </w:rPr>
        <w:t>办理依据</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《珠海市关于加快港珠澳大桥经贸新通道建设促进现代物流业高质量发展的政策措施》（珠商〔2023〕341号）</w:t>
      </w:r>
    </w:p>
    <w:p>
      <w:pPr>
        <w:widowControl/>
        <w:spacing w:before="295" w:beforeLines="50" w:after="0" w:afterLines="0" w:line="579" w:lineRule="exact"/>
        <w:ind w:firstLine="640" w:firstLineChars="200"/>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val="en-US" w:eastAsia="zh-CN"/>
        </w:rPr>
        <w:t>四、</w:t>
      </w:r>
      <w:r>
        <w:rPr>
          <w:rFonts w:hint="eastAsia" w:ascii="方正黑体_GBK" w:hAnsi="方正黑体_GBK" w:eastAsia="方正黑体_GBK" w:cs="方正黑体_GBK"/>
          <w:color w:val="auto"/>
          <w:sz w:val="32"/>
          <w:szCs w:val="32"/>
        </w:rPr>
        <w:t>受理条件</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（一）依法在我市（不含横琴粤澳深度合作区）商事登记、纳税和统计、具有独立法人资格、有固定办公营业场所且正常营业的企业。</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（二）具有开展物流相关业务的经营资质。</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三）申报及上一年度未在经营活动中有因违反有关安全生产、市场监管、生态环境、消防安全、税务、海关等方面法律、法规、规章而受到行政处罚，行政处罚事项属《广东省行政处罚听证程序实施办法》规定中纳入听证适用范围的。</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（四）申报及上一年度未被列入“珠海市财政惠企利民服务平台”、信用中国（广东珠海）严重失信主体名单。</w:t>
      </w:r>
    </w:p>
    <w:p>
      <w:pPr>
        <w:pStyle w:val="13"/>
        <w:spacing w:before="295" w:beforeLines="50" w:after="0" w:afterLines="0" w:line="579" w:lineRule="exact"/>
        <w:ind w:firstLine="640" w:firstLineChars="200"/>
        <w:rPr>
          <w:rFonts w:hint="eastAsia" w:ascii="方正黑体_GBK" w:hAnsi="方正黑体_GBK" w:eastAsia="方正黑体_GBK" w:cs="方正黑体_GBK"/>
          <w:color w:val="auto"/>
          <w:sz w:val="32"/>
          <w:szCs w:val="32"/>
          <w:u w:val="none"/>
        </w:rPr>
      </w:pPr>
      <w:r>
        <w:rPr>
          <w:rFonts w:hint="eastAsia" w:ascii="方正黑体_GBK" w:hAnsi="方正黑体_GBK" w:eastAsia="方正黑体_GBK" w:cs="方正黑体_GBK"/>
          <w:color w:val="auto"/>
          <w:sz w:val="32"/>
          <w:szCs w:val="32"/>
          <w:u w:val="none"/>
          <w:lang w:val="en-US" w:eastAsia="zh-CN"/>
        </w:rPr>
        <w:t>五、</w:t>
      </w:r>
      <w:r>
        <w:rPr>
          <w:rFonts w:hint="eastAsia" w:ascii="方正黑体_GBK" w:hAnsi="方正黑体_GBK" w:eastAsia="方正黑体_GBK" w:cs="方正黑体_GBK"/>
          <w:color w:val="auto"/>
          <w:sz w:val="32"/>
          <w:szCs w:val="32"/>
          <w:u w:val="none"/>
        </w:rPr>
        <w:t>办理材料</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企业按申报的具体项目准备材料，有关要求如下。</w:t>
      </w:r>
    </w:p>
    <w:p>
      <w:pPr>
        <w:keepNext w:val="0"/>
        <w:keepLines w:val="0"/>
        <w:pageBreakBefore w:val="0"/>
        <w:widowControl w:val="0"/>
        <w:kinsoku/>
        <w:wordWrap/>
        <w:overflowPunct/>
        <w:topLinePunct w:val="0"/>
        <w:autoSpaceDE/>
        <w:autoSpaceDN/>
        <w:bidi w:val="0"/>
        <w:snapToGrid/>
        <w:spacing w:afterLines="0" w:line="579" w:lineRule="exact"/>
        <w:ind w:firstLine="640" w:firstLineChars="200"/>
        <w:jc w:val="both"/>
        <w:textAlignment w:val="auto"/>
        <w:rPr>
          <w:rFonts w:hint="eastAsia" w:ascii="CESI楷体-GB13000" w:hAnsi="CESI楷体-GB13000" w:eastAsia="CESI楷体-GB13000" w:cs="CESI楷体-GB13000"/>
          <w:color w:val="auto"/>
          <w:sz w:val="32"/>
          <w:szCs w:val="32"/>
          <w:highlight w:val="none"/>
        </w:rPr>
      </w:pPr>
      <w:r>
        <w:rPr>
          <w:rFonts w:hint="eastAsia" w:ascii="CESI楷体-GB13000" w:hAnsi="CESI楷体-GB13000" w:eastAsia="CESI楷体-GB13000" w:cs="CESI楷体-GB13000"/>
          <w:color w:val="auto"/>
          <w:sz w:val="32"/>
          <w:szCs w:val="32"/>
          <w:highlight w:val="none"/>
        </w:rPr>
        <w:t>（一）申报材料要求</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1.申报材料均需加盖企业公章（除空白页），装订成册后盖骑缝公章。法人代表签名须手签，使用名章无效。</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2.申报材料统一使用A4规格纸打印，一式2份。材料按“申报项目材料清单”顺序排列，编制页码与目录，装订成册（建议使用牛皮纸封面胶装），报注册所在区</w:t>
      </w:r>
      <w:r>
        <w:rPr>
          <w:rFonts w:hint="eastAsia" w:ascii="仿宋" w:hAnsi="仿宋" w:eastAsia="仿宋" w:cs="仿宋"/>
          <w:b w:val="0"/>
          <w:bCs w:val="0"/>
          <w:color w:val="auto"/>
          <w:kern w:val="2"/>
          <w:sz w:val="32"/>
          <w:szCs w:val="32"/>
          <w:highlight w:val="none"/>
          <w:lang w:val="en" w:eastAsia="zh-CN" w:bidi="ar"/>
        </w:rPr>
        <w:t>商务主管部门审核汇总</w:t>
      </w:r>
      <w:r>
        <w:rPr>
          <w:rFonts w:hint="eastAsia" w:ascii="仿宋" w:hAnsi="仿宋" w:eastAsia="仿宋" w:cs="仿宋"/>
          <w:b w:val="0"/>
          <w:bCs w:val="0"/>
          <w:color w:val="auto"/>
          <w:kern w:val="2"/>
          <w:sz w:val="32"/>
          <w:szCs w:val="32"/>
          <w:highlight w:val="none"/>
          <w:lang w:val="en-US" w:eastAsia="zh-CN" w:bidi="ar"/>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3.同一企业申报多个项目的，每个项目须独立提供申报材料。同一发票已申报过市级财政资金支持的不可再次作为本次申报材料使用。不能重复使用同一发票申报项目。</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4.申报单位应确保申报材料的真实性和准确性，如发现造假行为，一律取消申报资格。</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val="0"/>
          <w:bCs w:val="0"/>
          <w:color w:val="auto"/>
          <w:kern w:val="2"/>
          <w:sz w:val="32"/>
          <w:szCs w:val="32"/>
          <w:highlight w:val="none"/>
          <w:lang w:val="en-US" w:eastAsia="zh-CN" w:bidi="ar"/>
        </w:rPr>
        <w:t>5.审计报告（含专项审计报告），须由第三方有资质的会计事务所出具，并加盖会计事务所公章。</w:t>
      </w:r>
    </w:p>
    <w:p>
      <w:pPr>
        <w:spacing w:afterLines="0" w:line="579" w:lineRule="exact"/>
        <w:ind w:firstLine="640" w:firstLineChars="200"/>
        <w:rPr>
          <w:rFonts w:hint="eastAsia" w:ascii="CESI楷体-GB13000" w:hAnsi="CESI楷体-GB13000" w:eastAsia="CESI楷体-GB13000" w:cs="CESI楷体-GB13000"/>
          <w:color w:val="auto"/>
          <w:sz w:val="32"/>
          <w:szCs w:val="32"/>
          <w:highlight w:val="none"/>
          <w:lang w:eastAsia="zh-CN"/>
        </w:rPr>
      </w:pPr>
    </w:p>
    <w:p>
      <w:pPr>
        <w:spacing w:afterLines="0" w:line="579" w:lineRule="exact"/>
        <w:ind w:firstLine="640" w:firstLineChars="200"/>
        <w:rPr>
          <w:rFonts w:hint="eastAsia" w:ascii="CESI楷体-GB13000" w:hAnsi="CESI楷体-GB13000" w:eastAsia="CESI楷体-GB13000" w:cs="CESI楷体-GB13000"/>
          <w:color w:val="auto"/>
          <w:sz w:val="32"/>
          <w:szCs w:val="32"/>
          <w:highlight w:val="none"/>
          <w:lang w:eastAsia="zh-CN"/>
        </w:rPr>
      </w:pPr>
    </w:p>
    <w:p>
      <w:pPr>
        <w:spacing w:afterLines="0" w:line="579" w:lineRule="exact"/>
        <w:ind w:firstLine="640" w:firstLineChars="200"/>
        <w:rPr>
          <w:rFonts w:hint="eastAsia" w:ascii="CESI楷体-GB13000" w:hAnsi="CESI楷体-GB13000" w:eastAsia="CESI楷体-GB13000" w:cs="CESI楷体-GB13000"/>
          <w:color w:val="auto"/>
          <w:sz w:val="32"/>
          <w:szCs w:val="32"/>
          <w:highlight w:val="none"/>
        </w:rPr>
      </w:pPr>
      <w:r>
        <w:rPr>
          <w:rFonts w:hint="eastAsia" w:ascii="CESI楷体-GB13000" w:hAnsi="CESI楷体-GB13000" w:eastAsia="CESI楷体-GB13000" w:cs="CESI楷体-GB13000"/>
          <w:color w:val="auto"/>
          <w:sz w:val="32"/>
          <w:szCs w:val="32"/>
          <w:highlight w:val="none"/>
          <w:lang w:eastAsia="zh-CN"/>
        </w:rPr>
        <w:t>（二）</w:t>
      </w:r>
      <w:r>
        <w:rPr>
          <w:rFonts w:hint="eastAsia" w:ascii="CESI楷体-GB13000" w:hAnsi="CESI楷体-GB13000" w:eastAsia="CESI楷体-GB13000" w:cs="CESI楷体-GB13000"/>
          <w:color w:val="auto"/>
          <w:sz w:val="32"/>
          <w:szCs w:val="32"/>
          <w:highlight w:val="none"/>
        </w:rPr>
        <w:t>区级商务主管部门需提交的材料</w:t>
      </w:r>
    </w:p>
    <w:tbl>
      <w:tblPr>
        <w:tblStyle w:val="21"/>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6288"/>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809"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rPr>
              <w:t>序</w:t>
            </w:r>
            <w:r>
              <w:rPr>
                <w:rFonts w:hint="eastAsia" w:ascii="方正黑体_GBK" w:hAnsi="方正黑体_GBK" w:eastAsia="方正黑体_GBK" w:cs="方正黑体_GBK"/>
                <w:color w:val="auto"/>
                <w:sz w:val="24"/>
                <w:szCs w:val="24"/>
                <w:highlight w:val="none"/>
                <w:lang w:eastAsia="zh-CN"/>
              </w:rPr>
              <w:t>号</w:t>
            </w:r>
          </w:p>
        </w:tc>
        <w:tc>
          <w:tcPr>
            <w:tcW w:w="6288"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t>附件名称</w:t>
            </w:r>
          </w:p>
        </w:tc>
        <w:tc>
          <w:tcPr>
            <w:tcW w:w="1722"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628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both"/>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推荐函。</w:t>
            </w:r>
          </w:p>
        </w:tc>
        <w:tc>
          <w:tcPr>
            <w:tcW w:w="17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both"/>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628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both"/>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 w:eastAsia="zh-CN" w:bidi="ar"/>
              </w:rPr>
              <w:t>资助</w:t>
            </w:r>
            <w:r>
              <w:rPr>
                <w:rFonts w:hint="eastAsia" w:ascii="仿宋" w:hAnsi="仿宋" w:eastAsia="仿宋" w:cs="仿宋"/>
                <w:b w:val="0"/>
                <w:bCs w:val="0"/>
                <w:color w:val="auto"/>
                <w:kern w:val="2"/>
                <w:sz w:val="24"/>
                <w:szCs w:val="24"/>
                <w:highlight w:val="none"/>
                <w:lang w:val="en-US" w:eastAsia="zh-CN" w:bidi="ar"/>
              </w:rPr>
              <w:t>项目汇总表。</w:t>
            </w:r>
          </w:p>
        </w:tc>
        <w:tc>
          <w:tcPr>
            <w:tcW w:w="17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both"/>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628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jc w:val="both"/>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企业提交的最终送审纸质申报材料。</w:t>
            </w:r>
          </w:p>
        </w:tc>
        <w:tc>
          <w:tcPr>
            <w:tcW w:w="17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480" w:firstLineChars="200"/>
              <w:jc w:val="both"/>
              <w:textAlignment w:val="auto"/>
              <w:rPr>
                <w:rFonts w:hint="eastAsia" w:ascii="仿宋" w:hAnsi="仿宋" w:eastAsia="仿宋" w:cs="仿宋"/>
                <w:b w:val="0"/>
                <w:bCs w:val="0"/>
                <w:color w:val="auto"/>
                <w:kern w:val="2"/>
                <w:sz w:val="24"/>
                <w:szCs w:val="24"/>
                <w:highlight w:val="none"/>
                <w:lang w:val="en-US" w:eastAsia="zh-CN" w:bidi="ar"/>
              </w:rPr>
            </w:pPr>
          </w:p>
        </w:tc>
      </w:tr>
    </w:tbl>
    <w:p>
      <w:pPr>
        <w:spacing w:afterLines="0" w:line="579" w:lineRule="exact"/>
        <w:ind w:firstLine="640" w:firstLineChars="200"/>
        <w:rPr>
          <w:rFonts w:hint="eastAsia" w:ascii="CESI楷体-GB13000" w:hAnsi="CESI楷体-GB13000" w:eastAsia="CESI楷体-GB13000" w:cs="CESI楷体-GB13000"/>
          <w:color w:val="auto"/>
          <w:sz w:val="32"/>
          <w:szCs w:val="32"/>
          <w:highlight w:val="none"/>
          <w:lang w:val="en-US" w:eastAsia="zh-CN"/>
        </w:rPr>
      </w:pPr>
      <w:r>
        <w:rPr>
          <w:rFonts w:hint="eastAsia" w:ascii="CESI楷体-GB13000" w:hAnsi="CESI楷体-GB13000" w:eastAsia="CESI楷体-GB13000" w:cs="CESI楷体-GB13000"/>
          <w:color w:val="auto"/>
          <w:sz w:val="32"/>
          <w:szCs w:val="32"/>
          <w:highlight w:val="none"/>
          <w:lang w:val="en-US" w:eastAsia="zh-CN"/>
        </w:rPr>
        <w:t>（三）企业申报项目材料清单</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1.支持港珠澳大桥跨境货运业务</w:t>
      </w:r>
    </w:p>
    <w:tbl>
      <w:tblPr>
        <w:tblStyle w:val="22"/>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6023"/>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9"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6023" w:type="dxa"/>
            <w:noWrap w:val="0"/>
            <w:vAlign w:val="center"/>
          </w:tcPr>
          <w:p>
            <w:pPr>
              <w:snapToGrid w:val="0"/>
              <w:spacing w:beforeLines="0" w:afterLines="0" w:line="240" w:lineRule="auto"/>
              <w:jc w:val="center"/>
              <w:outlineLvl w:val="0"/>
              <w:rPr>
                <w:rFonts w:hint="default"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1976"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w:t>
            </w:r>
          </w:p>
        </w:tc>
        <w:tc>
          <w:tcPr>
            <w:tcW w:w="1976"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19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1976"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1976"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19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w:t>
            </w:r>
          </w:p>
        </w:tc>
        <w:tc>
          <w:tcPr>
            <w:tcW w:w="1976"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2023年度的大桥货运申报核准表。</w:t>
            </w:r>
          </w:p>
        </w:tc>
        <w:tc>
          <w:tcPr>
            <w:tcW w:w="19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操作见附件7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759"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602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企业办公场所证明（1.办公现场照片。2.产权证明或涉及2023年度的租赁合同）。注册地址与实际办公地址不一致的，要提供“核准备案登记通知书”。</w:t>
            </w:r>
          </w:p>
        </w:tc>
        <w:tc>
          <w:tcPr>
            <w:tcW w:w="1976"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2.降低港珠澳大桥跨境物流仓储成本</w:t>
      </w:r>
    </w:p>
    <w:tbl>
      <w:tblPr>
        <w:tblStyle w:val="22"/>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5986"/>
        <w:gridCol w:w="1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5986"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1957"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w:t>
            </w:r>
          </w:p>
        </w:tc>
        <w:tc>
          <w:tcPr>
            <w:tcW w:w="195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195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195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195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195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2023年度财务审计报告，含2023年营收利税等情况。审计报告中要明确：经港珠澳大桥开展珠港跨境运输业务收入明细及其所占企业营业总收入比例。</w:t>
            </w:r>
          </w:p>
        </w:tc>
        <w:tc>
          <w:tcPr>
            <w:tcW w:w="195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出具上述审计报告所依据的经港珠澳大桥开展珠港跨境运输业务及该项收入的佐证材料。如：开展相应业务的合同、发票、支付凭证等相关佐证材料。</w:t>
            </w:r>
          </w:p>
        </w:tc>
        <w:tc>
          <w:tcPr>
            <w:tcW w:w="195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red"/>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企业办公场所证明（1.办公现场照片。2.产权证明或涉及2023年度的租赁合同）。注册地址与实际办公地址不一致的，要提供“核准备案登记通知书”。</w:t>
            </w:r>
          </w:p>
        </w:tc>
        <w:tc>
          <w:tcPr>
            <w:tcW w:w="195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9</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涉及2023年度的仓库租赁合同、租金发票、租金支付凭证；电费发票（单独电表）或物业公司的电费收据，如处于免租期无法提供租金发票的提供物业管理费发票。仓库年度实际经营时间不小于6个月，租赁合同签约期限至少1年。</w:t>
            </w:r>
          </w:p>
        </w:tc>
        <w:tc>
          <w:tcPr>
            <w:tcW w:w="195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场地证明材料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7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10</w:t>
            </w:r>
          </w:p>
        </w:tc>
        <w:tc>
          <w:tcPr>
            <w:tcW w:w="5986"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仓库的产权证明。</w:t>
            </w:r>
          </w:p>
        </w:tc>
        <w:tc>
          <w:tcPr>
            <w:tcW w:w="195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bCs/>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3.鼓励发展大型跨境综合物流服务设施</w:t>
      </w:r>
    </w:p>
    <w:tbl>
      <w:tblPr>
        <w:tblStyle w:val="22"/>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998"/>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774"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5998"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1967"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w:t>
            </w:r>
          </w:p>
        </w:tc>
        <w:tc>
          <w:tcPr>
            <w:tcW w:w="196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196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196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196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196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w:t>
            </w:r>
          </w:p>
        </w:tc>
        <w:tc>
          <w:tcPr>
            <w:tcW w:w="1967"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（1）租赁场地的：涉及2023年度的租赁合同、租金发票、租金支付凭证；所租场地的产权证明。其中，租赁合同签约期限至少3年（含）以上。</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（2）自有场地的：产权证明或其它场地使用证明材料。</w:t>
            </w:r>
          </w:p>
        </w:tc>
        <w:tc>
          <w:tcPr>
            <w:tcW w:w="196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场地证明材料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77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599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场地操作（接驳、集拼、吊柜等）车次达3000（含）车次以上及对应车次经港珠澳大桥公路口岸进出境的佐证材料。如：业务操作日期、港澳车辆车牌号码、操作类型（接驳、集拼、吊柜等）等信息；每车次操作的收费金额；收费对象（企业）名称。</w:t>
            </w:r>
          </w:p>
        </w:tc>
        <w:tc>
          <w:tcPr>
            <w:tcW w:w="1967"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见申报系统中的示例样本：《场地操作记录.xlsx》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74" w:type="dxa"/>
            <w:noWrap w:val="0"/>
            <w:vAlign w:val="center"/>
          </w:tcPr>
          <w:p>
            <w:pPr>
              <w:keepNext w:val="0"/>
              <w:keepLines w:val="0"/>
              <w:pageBreakBefore w:val="0"/>
              <w:widowControl/>
              <w:kinsoku/>
              <w:wordWrap/>
              <w:overflowPunct/>
              <w:topLinePunct w:val="0"/>
              <w:autoSpaceDE/>
              <w:autoSpaceDN/>
              <w:bidi w:val="0"/>
              <w:adjustRightInd/>
              <w:snapToGrid w:val="0"/>
              <w:spacing w:beforeLines="0" w:afterLines="0" w:line="240" w:lineRule="auto"/>
              <w:jc w:val="center"/>
              <w:textAlignment w:val="auto"/>
              <w:outlineLvl w:val="9"/>
              <w:rPr>
                <w:rFonts w:hint="eastAsia" w:ascii="华文仿宋" w:hAnsi="华文仿宋" w:eastAsia="华文仿宋" w:cs="华文仿宋"/>
                <w:color w:val="auto"/>
                <w:sz w:val="24"/>
                <w:szCs w:val="24"/>
                <w:highlight w:val="none"/>
                <w:vertAlign w:val="baseline"/>
                <w:lang w:val="en-US" w:eastAsia="zh-CN"/>
              </w:rPr>
            </w:pPr>
            <w:r>
              <w:rPr>
                <w:rFonts w:hint="eastAsia" w:ascii="华文仿宋" w:hAnsi="华文仿宋" w:eastAsia="华文仿宋" w:cs="华文仿宋"/>
                <w:color w:val="auto"/>
                <w:sz w:val="24"/>
                <w:szCs w:val="24"/>
                <w:highlight w:val="none"/>
                <w:vertAlign w:val="baseline"/>
                <w:lang w:val="en-US" w:eastAsia="zh-CN"/>
              </w:rPr>
              <w:t>9</w:t>
            </w:r>
          </w:p>
        </w:tc>
        <w:tc>
          <w:tcPr>
            <w:tcW w:w="5998" w:type="dxa"/>
            <w:noWrap w:val="0"/>
            <w:vAlign w:val="center"/>
          </w:tcPr>
          <w:p>
            <w:pPr>
              <w:snapToGrid w:val="0"/>
              <w:spacing w:beforeLines="0" w:afterLines="0" w:line="240" w:lineRule="auto"/>
              <w:jc w:val="both"/>
              <w:outlineLvl w:val="9"/>
              <w:rPr>
                <w:rFonts w:hint="eastAsia" w:ascii="华文仿宋" w:hAnsi="华文仿宋" w:eastAsia="华文仿宋" w:cs="华文仿宋"/>
                <w:color w:val="auto"/>
                <w:sz w:val="24"/>
                <w:szCs w:val="24"/>
                <w:highlight w:val="none"/>
                <w:lang w:eastAsia="zh-CN"/>
              </w:rPr>
            </w:pPr>
            <w:r>
              <w:rPr>
                <w:rFonts w:hint="eastAsia" w:ascii="华文仿宋" w:hAnsi="华文仿宋" w:eastAsia="华文仿宋" w:cs="华文仿宋"/>
                <w:color w:val="auto"/>
                <w:sz w:val="24"/>
                <w:szCs w:val="24"/>
                <w:highlight w:val="none"/>
                <w:lang w:eastAsia="zh-CN"/>
              </w:rPr>
              <w:t>业务收费的发票、支付凭证</w:t>
            </w:r>
            <w:r>
              <w:rPr>
                <w:rFonts w:hint="eastAsia" w:ascii="华文仿宋" w:hAnsi="华文仿宋" w:eastAsia="华文仿宋" w:cs="华文仿宋"/>
                <w:color w:val="auto"/>
                <w:sz w:val="24"/>
                <w:szCs w:val="24"/>
                <w:highlight w:val="none"/>
                <w:lang w:val="en-US" w:eastAsia="zh-CN"/>
              </w:rPr>
              <w:t>。</w:t>
            </w:r>
          </w:p>
        </w:tc>
        <w:tc>
          <w:tcPr>
            <w:tcW w:w="1967" w:type="dxa"/>
            <w:noWrap w:val="0"/>
            <w:vAlign w:val="center"/>
          </w:tcPr>
          <w:p>
            <w:pPr>
              <w:snapToGrid w:val="0"/>
              <w:spacing w:beforeLines="0" w:afterLines="0" w:line="240" w:lineRule="auto"/>
              <w:jc w:val="center"/>
              <w:outlineLvl w:val="9"/>
              <w:rPr>
                <w:rFonts w:hint="eastAsia" w:ascii="华文仿宋" w:hAnsi="华文仿宋" w:eastAsia="华文仿宋" w:cs="华文仿宋"/>
                <w:color w:val="auto"/>
                <w:sz w:val="24"/>
                <w:szCs w:val="24"/>
                <w:highlight w:val="none"/>
                <w:lang w:val="en-US" w:eastAsia="zh-CN"/>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4.支持物流基础设施建设</w:t>
      </w:r>
      <w:r>
        <w:rPr>
          <w:rFonts w:hint="eastAsia" w:ascii="仿宋" w:hAnsi="仿宋" w:eastAsia="仿宋" w:cs="仿宋"/>
          <w:b w:val="0"/>
          <w:bCs w:val="0"/>
          <w:color w:val="auto"/>
          <w:kern w:val="2"/>
          <w:sz w:val="32"/>
          <w:szCs w:val="32"/>
          <w:highlight w:val="none"/>
          <w:lang w:val="en-US" w:eastAsia="zh-CN" w:bidi="ar"/>
        </w:rPr>
        <w:t>（按实际投资金额核定）</w:t>
      </w:r>
    </w:p>
    <w:tbl>
      <w:tblPr>
        <w:tblStyle w:val="2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6022"/>
        <w:gridCol w:w="2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54"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6022"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2003"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申报书、项目申请表、申报承诺书、申报项目获得相关财政资金资助情况表。</w:t>
            </w:r>
          </w:p>
        </w:tc>
        <w:tc>
          <w:tcPr>
            <w:tcW w:w="2003"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附件2-1、附件2-2、附件2-3、附件2-4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2003"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2003"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2003"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20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w:t>
            </w:r>
          </w:p>
        </w:tc>
        <w:tc>
          <w:tcPr>
            <w:tcW w:w="2003"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（1）非基建项目。项目2023年度相应的业务合同、发票及支付凭证。</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基建项目。项目土地证或10年以上土地租赁合同、项目的建设许可文件及工程竣工验收报告（原件备查），并提供相关佐证材料（包括详细照片，建设用地规划许可证、建设工程规划许可证、施工许可证等）。项目相应的业务合同、发票及支付凭证。</w:t>
            </w:r>
          </w:p>
        </w:tc>
        <w:tc>
          <w:tcPr>
            <w:tcW w:w="20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项目佐证材料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申报项目2023年投入使用的相关证明材料（如场地、设备投入使用的照片；与客户签定的业务合同等）。</w:t>
            </w:r>
          </w:p>
        </w:tc>
        <w:tc>
          <w:tcPr>
            <w:tcW w:w="2003"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5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9</w:t>
            </w:r>
          </w:p>
        </w:tc>
        <w:tc>
          <w:tcPr>
            <w:tcW w:w="602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申报项目的专项审计报告。【审计报告中要明确：申报项目剔除不支持费用后的实际投资金额】</w:t>
            </w:r>
          </w:p>
        </w:tc>
        <w:tc>
          <w:tcPr>
            <w:tcW w:w="20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见附件5</w:t>
            </w: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5.支持城乡网络建设</w:t>
      </w:r>
      <w:r>
        <w:rPr>
          <w:rFonts w:hint="eastAsia" w:ascii="仿宋" w:hAnsi="仿宋" w:eastAsia="仿宋" w:cs="仿宋"/>
          <w:b w:val="0"/>
          <w:bCs w:val="0"/>
          <w:color w:val="auto"/>
          <w:kern w:val="2"/>
          <w:sz w:val="32"/>
          <w:szCs w:val="32"/>
          <w:highlight w:val="none"/>
          <w:lang w:val="en-US" w:eastAsia="zh-CN" w:bidi="ar"/>
        </w:rPr>
        <w:t>（按实际投资金额核定）</w:t>
      </w:r>
    </w:p>
    <w:tbl>
      <w:tblPr>
        <w:tblStyle w:val="22"/>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5994"/>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48"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5994"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2000"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申报书、项目申请表、申报承诺书、申报项目获得相关财政资金资助情况表。</w:t>
            </w:r>
          </w:p>
        </w:tc>
        <w:tc>
          <w:tcPr>
            <w:tcW w:w="2000"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附件2-1、附件2-2、附件2-3、附件2-4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2000"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2000"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2000"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20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w:t>
            </w:r>
          </w:p>
        </w:tc>
        <w:tc>
          <w:tcPr>
            <w:tcW w:w="2000"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both"/>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（1）非基建项目。项目2023年度相应的业务合同、发票及支付凭证。租赁场地的：涉及2023年度的租赁合同、租金发票、租金支付凭证，所租场地的产权证明。自有场地的：产权证明或其它场地使用证明材料。</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both"/>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基建项目。项目土地证或10年以上土地租赁合同、项目的建设许可文件及工程竣工验收报告（原件备查），并提供相关佐证材料（包括详细照片，建设用地规划许可证、建设工程规划许可证、施工许可证等）。项目相应的业务合同、发票及支付凭证。</w:t>
            </w:r>
          </w:p>
        </w:tc>
        <w:tc>
          <w:tcPr>
            <w:tcW w:w="20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项目佐证材料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申报项目2023年投入使用的相关证明材料（如场地、设备投入使用的照片；与客户签定的业务合同等）。</w:t>
            </w:r>
          </w:p>
        </w:tc>
        <w:tc>
          <w:tcPr>
            <w:tcW w:w="2000"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9</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涉及2023年度的城乡配送运输合同。</w:t>
            </w:r>
          </w:p>
        </w:tc>
        <w:tc>
          <w:tcPr>
            <w:tcW w:w="2000"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4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10</w:t>
            </w:r>
          </w:p>
        </w:tc>
        <w:tc>
          <w:tcPr>
            <w:tcW w:w="5994"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申报项目的专项审计报告。【审计报告中要明确：申报项目剔除不支持费用后的实际投资金额】</w:t>
            </w:r>
          </w:p>
        </w:tc>
        <w:tc>
          <w:tcPr>
            <w:tcW w:w="20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见附件5</w:t>
            </w: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6.支持冷链基础设施建设</w:t>
      </w:r>
      <w:r>
        <w:rPr>
          <w:rFonts w:hint="eastAsia" w:ascii="仿宋" w:hAnsi="仿宋" w:eastAsia="仿宋" w:cs="仿宋"/>
          <w:b w:val="0"/>
          <w:bCs w:val="0"/>
          <w:color w:val="auto"/>
          <w:kern w:val="2"/>
          <w:sz w:val="32"/>
          <w:szCs w:val="32"/>
          <w:highlight w:val="none"/>
          <w:lang w:val="en-US" w:eastAsia="zh-CN" w:bidi="ar"/>
        </w:rPr>
        <w:t>（按实际投资金额核定）</w:t>
      </w:r>
    </w:p>
    <w:tbl>
      <w:tblPr>
        <w:tblStyle w:val="22"/>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5950"/>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00" w:type="dxa"/>
            <w:noWrap w:val="0"/>
            <w:vAlign w:val="center"/>
          </w:tcPr>
          <w:p>
            <w:pPr>
              <w:shd w:val="clear" w:color="auto" w:fill="auto"/>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5950" w:type="dxa"/>
            <w:noWrap w:val="0"/>
            <w:vAlign w:val="center"/>
          </w:tcPr>
          <w:p>
            <w:pPr>
              <w:shd w:val="clear" w:color="auto" w:fill="auto"/>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2008" w:type="dxa"/>
            <w:noWrap w:val="0"/>
            <w:vAlign w:val="center"/>
          </w:tcPr>
          <w:p>
            <w:pPr>
              <w:shd w:val="clear" w:color="auto" w:fill="auto"/>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申报书、项目申请表、申报承诺书、申报项目获得相关财政资金资助情况表。</w:t>
            </w:r>
          </w:p>
        </w:tc>
        <w:tc>
          <w:tcPr>
            <w:tcW w:w="2008"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附件2-1、附件2-2、附件2-3、附件2-4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2008"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2008"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2008"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200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w:t>
            </w:r>
          </w:p>
        </w:tc>
        <w:tc>
          <w:tcPr>
            <w:tcW w:w="2008"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项目土地证或10年以上土地租赁合同、项目的建设许可文件及工程竣工验收报告（原件备查），并提供相关佐证材料（包括详细照片，建设用地规划许可证、建设工程规划许可证、施工许可证等）。项目相应的业务合同、发票及支付凭证。</w:t>
            </w:r>
          </w:p>
        </w:tc>
        <w:tc>
          <w:tcPr>
            <w:tcW w:w="200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项目佐证材料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申报项目2023年投入使用的相关证明材料（如场地、设备投入使用的照片；与客户签定的业务合同等）。</w:t>
            </w:r>
          </w:p>
        </w:tc>
        <w:tc>
          <w:tcPr>
            <w:tcW w:w="2008"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0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9</w:t>
            </w:r>
          </w:p>
        </w:tc>
        <w:tc>
          <w:tcPr>
            <w:tcW w:w="5950"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申报项目的专项审计报告。【审计报告中要明确：申报项目剔除不支持费用后的实际投资金额】。</w:t>
            </w:r>
          </w:p>
        </w:tc>
        <w:tc>
          <w:tcPr>
            <w:tcW w:w="2008"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见附件5</w:t>
            </w: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7.支持购置冷链设备</w:t>
      </w:r>
      <w:r>
        <w:rPr>
          <w:rFonts w:hint="eastAsia" w:ascii="仿宋" w:hAnsi="仿宋" w:eastAsia="仿宋" w:cs="仿宋"/>
          <w:b w:val="0"/>
          <w:bCs w:val="0"/>
          <w:color w:val="auto"/>
          <w:kern w:val="2"/>
          <w:sz w:val="32"/>
          <w:szCs w:val="32"/>
          <w:highlight w:val="none"/>
          <w:lang w:val="en-US" w:eastAsia="zh-CN" w:bidi="ar"/>
        </w:rPr>
        <w:t>（按实际投资金额核定）</w:t>
      </w:r>
    </w:p>
    <w:tbl>
      <w:tblPr>
        <w:tblStyle w:val="22"/>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5995"/>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11"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5995"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2032"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申报书、项目申请表、申报承诺书、申报项目获得相关财政资金资助情况表。</w:t>
            </w:r>
          </w:p>
        </w:tc>
        <w:tc>
          <w:tcPr>
            <w:tcW w:w="203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附件2-1、附件2-2、附件2-3、附件2-4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203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203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203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203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w:t>
            </w:r>
          </w:p>
        </w:tc>
        <w:tc>
          <w:tcPr>
            <w:tcW w:w="203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项目2023年度相应的业务合同、发票及支付凭证。</w:t>
            </w:r>
          </w:p>
        </w:tc>
        <w:tc>
          <w:tcPr>
            <w:tcW w:w="203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申报项目2023年投入使用的相关证明材料（如设备投入使用的照片等）。</w:t>
            </w:r>
          </w:p>
        </w:tc>
        <w:tc>
          <w:tcPr>
            <w:tcW w:w="203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9</w:t>
            </w:r>
          </w:p>
        </w:tc>
        <w:tc>
          <w:tcPr>
            <w:tcW w:w="5995"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申报项目的专项审计报告。【审计报告中要明确：申报项目剔除不支持费用后的实际投资金额】</w:t>
            </w:r>
          </w:p>
        </w:tc>
        <w:tc>
          <w:tcPr>
            <w:tcW w:w="203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见附件5</w:t>
            </w: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leftChars="0" w:firstLine="642" w:firstLineChars="200"/>
        <w:jc w:val="both"/>
        <w:textAlignment w:val="auto"/>
        <w:rPr>
          <w:rFonts w:hint="eastAsia" w:ascii="仿宋" w:hAnsi="仿宋" w:eastAsia="仿宋" w:cs="仿宋"/>
          <w:b w:val="0"/>
          <w:bCs w:val="0"/>
          <w:color w:val="auto"/>
          <w:kern w:val="2"/>
          <w:sz w:val="32"/>
          <w:szCs w:val="32"/>
          <w:highlight w:val="none"/>
          <w:lang w:val="en-US" w:eastAsia="zh-CN" w:bidi="ar"/>
        </w:rPr>
      </w:pPr>
      <w:r>
        <w:rPr>
          <w:rFonts w:hint="eastAsia" w:ascii="仿宋" w:hAnsi="仿宋" w:eastAsia="仿宋" w:cs="仿宋"/>
          <w:b/>
          <w:bCs/>
          <w:color w:val="auto"/>
          <w:kern w:val="2"/>
          <w:sz w:val="32"/>
          <w:szCs w:val="32"/>
          <w:highlight w:val="none"/>
          <w:lang w:val="en-US" w:eastAsia="zh-CN" w:bidi="ar"/>
        </w:rPr>
        <w:t>8.推动智慧物流发展</w:t>
      </w:r>
      <w:r>
        <w:rPr>
          <w:rFonts w:hint="eastAsia" w:ascii="仿宋" w:hAnsi="仿宋" w:eastAsia="仿宋" w:cs="仿宋"/>
          <w:b w:val="0"/>
          <w:bCs w:val="0"/>
          <w:color w:val="auto"/>
          <w:kern w:val="2"/>
          <w:sz w:val="32"/>
          <w:szCs w:val="32"/>
          <w:highlight w:val="none"/>
          <w:lang w:val="en-US" w:eastAsia="zh-CN" w:bidi="ar"/>
        </w:rPr>
        <w:t>（按实际投资金额核定）</w:t>
      </w:r>
    </w:p>
    <w:tbl>
      <w:tblPr>
        <w:tblStyle w:val="22"/>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5953"/>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03"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eastAsia="zh-CN"/>
              </w:rPr>
            </w:pPr>
            <w:r>
              <w:rPr>
                <w:rFonts w:hint="eastAsia" w:ascii="方正黑体_GBK" w:hAnsi="方正黑体_GBK" w:eastAsia="方正黑体_GBK" w:cs="方正黑体_GBK"/>
                <w:color w:val="auto"/>
                <w:sz w:val="24"/>
                <w:szCs w:val="24"/>
                <w:highlight w:val="none"/>
                <w:lang w:eastAsia="zh-CN"/>
              </w:rPr>
              <w:t>序号</w:t>
            </w:r>
          </w:p>
        </w:tc>
        <w:tc>
          <w:tcPr>
            <w:tcW w:w="5953"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所需材料清单（扫描件）</w:t>
            </w:r>
          </w:p>
        </w:tc>
        <w:tc>
          <w:tcPr>
            <w:tcW w:w="1982" w:type="dxa"/>
            <w:noWrap w:val="0"/>
            <w:vAlign w:val="center"/>
          </w:tcPr>
          <w:p>
            <w:pPr>
              <w:snapToGrid w:val="0"/>
              <w:spacing w:beforeLines="0" w:afterLines="0" w:line="240" w:lineRule="auto"/>
              <w:jc w:val="center"/>
              <w:outlineLvl w:val="0"/>
              <w:rPr>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1</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申报书、项目申请表、申报承诺书、申报项目获得相关财政资金资助情况表。</w:t>
            </w:r>
          </w:p>
        </w:tc>
        <w:tc>
          <w:tcPr>
            <w:tcW w:w="198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附件2-1、附件2-2、附件2-3、附件2-4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法定代表人身份证、《营业执照》【（未三证合一的单位还需提供《组织机构代码证》以及《税务登记证》）】。</w:t>
            </w:r>
          </w:p>
        </w:tc>
        <w:tc>
          <w:tcPr>
            <w:tcW w:w="198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3</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2023年度的纳税证明。</w:t>
            </w:r>
          </w:p>
        </w:tc>
        <w:tc>
          <w:tcPr>
            <w:tcW w:w="198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4</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2023年度的社保缴纳证明。</w:t>
            </w:r>
          </w:p>
        </w:tc>
        <w:tc>
          <w:tcPr>
            <w:tcW w:w="198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5</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开展物流业务的相关经营资质。</w:t>
            </w:r>
          </w:p>
        </w:tc>
        <w:tc>
          <w:tcPr>
            <w:tcW w:w="198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6</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2023年度财务审计报告，含2023年营收利税等情况。</w:t>
            </w:r>
          </w:p>
        </w:tc>
        <w:tc>
          <w:tcPr>
            <w:tcW w:w="198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7</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项目2023年度相应的业务合同、发票及支付凭证。</w:t>
            </w:r>
          </w:p>
        </w:tc>
        <w:tc>
          <w:tcPr>
            <w:tcW w:w="198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8</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申报项目2023年投入使用的相关证明材料（如设备投入使用的照片等）。</w:t>
            </w:r>
          </w:p>
        </w:tc>
        <w:tc>
          <w:tcPr>
            <w:tcW w:w="1982" w:type="dxa"/>
            <w:noWrap w:val="0"/>
            <w:vAlign w:val="top"/>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0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center"/>
              <w:textAlignment w:val="auto"/>
              <w:rPr>
                <w:rFonts w:hint="default"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9</w:t>
            </w:r>
          </w:p>
        </w:tc>
        <w:tc>
          <w:tcPr>
            <w:tcW w:w="5953"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申报项目的专项审计报告。【审计报告中要明确：申报项目剔除不支持费用后的实际投资金额】</w:t>
            </w:r>
          </w:p>
        </w:tc>
        <w:tc>
          <w:tcPr>
            <w:tcW w:w="1982" w:type="dxa"/>
            <w:noWrap w:val="0"/>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jc w:val="left"/>
              <w:textAlignment w:val="auto"/>
              <w:rPr>
                <w:rFonts w:hint="eastAsia" w:ascii="仿宋" w:hAnsi="仿宋" w:eastAsia="仿宋" w:cs="仿宋"/>
                <w:b w:val="0"/>
                <w:bCs w:val="0"/>
                <w:color w:val="auto"/>
                <w:kern w:val="2"/>
                <w:sz w:val="24"/>
                <w:szCs w:val="24"/>
                <w:highlight w:val="none"/>
                <w:lang w:val="en-US" w:eastAsia="zh-CN" w:bidi="ar"/>
              </w:rPr>
            </w:pPr>
            <w:r>
              <w:rPr>
                <w:rFonts w:hint="eastAsia" w:ascii="仿宋" w:hAnsi="仿宋" w:eastAsia="仿宋" w:cs="仿宋"/>
                <w:b w:val="0"/>
                <w:bCs w:val="0"/>
                <w:color w:val="auto"/>
                <w:kern w:val="2"/>
                <w:sz w:val="24"/>
                <w:szCs w:val="24"/>
                <w:highlight w:val="none"/>
                <w:lang w:val="en-US" w:eastAsia="zh-CN" w:bidi="ar"/>
              </w:rPr>
              <w:t>见附件5</w:t>
            </w:r>
          </w:p>
        </w:tc>
      </w:tr>
    </w:tbl>
    <w:p>
      <w:pPr>
        <w:pStyle w:val="11"/>
        <w:keepNext w:val="0"/>
        <w:keepLines w:val="0"/>
        <w:pageBreakBefore w:val="0"/>
        <w:numPr>
          <w:ilvl w:val="0"/>
          <w:numId w:val="0"/>
        </w:numPr>
        <w:kinsoku/>
        <w:wordWrap/>
        <w:overflowPunct/>
        <w:topLinePunct w:val="0"/>
        <w:bidi w:val="0"/>
        <w:snapToGrid/>
        <w:spacing w:before="295" w:beforeLines="50" w:after="0" w:afterLines="0" w:line="579" w:lineRule="exact"/>
        <w:ind w:left="0" w:leftChars="0" w:firstLine="640" w:firstLineChars="200"/>
        <w:jc w:val="both"/>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六、</w:t>
      </w:r>
      <w:r>
        <w:rPr>
          <w:rFonts w:hint="eastAsia" w:ascii="方正黑体_GBK" w:hAnsi="方正黑体_GBK" w:eastAsia="方正黑体_GBK" w:cs="方正黑体_GBK"/>
          <w:color w:val="auto"/>
          <w:sz w:val="32"/>
          <w:szCs w:val="32"/>
        </w:rPr>
        <w:t>办理流程</w:t>
      </w:r>
      <w:r>
        <w:rPr>
          <w:rFonts w:hint="eastAsia" w:ascii="方正黑体_GBK" w:hAnsi="方正黑体_GBK" w:eastAsia="方正黑体_GBK" w:cs="方正黑体_GBK"/>
          <w:color w:val="auto"/>
          <w:sz w:val="32"/>
          <w:szCs w:val="32"/>
          <w:lang w:eastAsia="zh-CN"/>
        </w:rPr>
        <w:t>与办理时限</w:t>
      </w:r>
    </w:p>
    <w:p>
      <w:pPr>
        <w:keepNext w:val="0"/>
        <w:keepLines w:val="0"/>
        <w:pageBreakBefore w:val="0"/>
        <w:widowControl w:val="0"/>
        <w:kinsoku/>
        <w:wordWrap/>
        <w:overflowPunct/>
        <w:topLinePunct w:val="0"/>
        <w:autoSpaceDE/>
        <w:autoSpaceDN/>
        <w:bidi w:val="0"/>
        <w:adjustRightInd/>
        <w:snapToGrid/>
        <w:spacing w:afterLines="0" w:line="579"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（一）网上申报</w:t>
      </w:r>
    </w:p>
    <w:p>
      <w:pPr>
        <w:spacing w:beforeLines="0" w:afterLines="0" w:line="579" w:lineRule="exact"/>
        <w:ind w:firstLine="642"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申报时间：20</w:t>
      </w:r>
      <w:r>
        <w:rPr>
          <w:rFonts w:hint="eastAsia" w:ascii="仿宋" w:hAnsi="仿宋" w:eastAsia="仿宋" w:cs="仿宋"/>
          <w:b/>
          <w:color w:val="auto"/>
          <w:sz w:val="32"/>
          <w:szCs w:val="32"/>
          <w:highlight w:val="none"/>
          <w:u w:val="none"/>
        </w:rPr>
        <w:t>2</w:t>
      </w:r>
      <w:r>
        <w:rPr>
          <w:rFonts w:hint="eastAsia" w:ascii="仿宋" w:hAnsi="仿宋" w:eastAsia="仿宋" w:cs="仿宋"/>
          <w:b/>
          <w:color w:val="auto"/>
          <w:sz w:val="32"/>
          <w:szCs w:val="32"/>
          <w:highlight w:val="none"/>
          <w:u w:val="none"/>
          <w:lang w:val="en-US" w:eastAsia="zh-CN"/>
        </w:rPr>
        <w:t>4</w:t>
      </w:r>
      <w:r>
        <w:rPr>
          <w:rFonts w:hint="eastAsia" w:ascii="仿宋" w:hAnsi="仿宋" w:eastAsia="仿宋" w:cs="仿宋"/>
          <w:b/>
          <w:color w:val="auto"/>
          <w:sz w:val="32"/>
          <w:szCs w:val="32"/>
          <w:highlight w:val="none"/>
          <w:u w:val="none"/>
          <w:shd w:val="clear" w:color="auto" w:fill="auto"/>
        </w:rPr>
        <w:t>年</w:t>
      </w:r>
      <w:r>
        <w:rPr>
          <w:rFonts w:hint="eastAsia" w:ascii="仿宋" w:hAnsi="仿宋" w:eastAsia="仿宋" w:cs="仿宋"/>
          <w:b/>
          <w:color w:val="auto"/>
          <w:sz w:val="32"/>
          <w:szCs w:val="32"/>
          <w:highlight w:val="none"/>
          <w:u w:val="none"/>
          <w:shd w:val="clear" w:color="auto" w:fill="auto"/>
          <w:lang w:val="en-US" w:eastAsia="zh-CN"/>
        </w:rPr>
        <w:t>4</w:t>
      </w:r>
      <w:r>
        <w:rPr>
          <w:rFonts w:hint="eastAsia" w:ascii="仿宋" w:hAnsi="仿宋" w:eastAsia="仿宋" w:cs="仿宋"/>
          <w:b/>
          <w:color w:val="auto"/>
          <w:sz w:val="32"/>
          <w:szCs w:val="32"/>
          <w:highlight w:val="none"/>
          <w:u w:val="none"/>
          <w:shd w:val="clear" w:color="auto" w:fill="auto"/>
        </w:rPr>
        <w:t>月</w:t>
      </w:r>
      <w:r>
        <w:rPr>
          <w:rFonts w:hint="eastAsia" w:ascii="仿宋" w:hAnsi="仿宋" w:eastAsia="仿宋" w:cs="仿宋"/>
          <w:b/>
          <w:color w:val="auto"/>
          <w:sz w:val="32"/>
          <w:szCs w:val="32"/>
          <w:highlight w:val="none"/>
          <w:u w:val="none"/>
          <w:shd w:val="clear" w:color="auto" w:fill="auto"/>
          <w:lang w:val="en-US" w:eastAsia="zh-CN"/>
        </w:rPr>
        <w:t>7</w:t>
      </w:r>
      <w:r>
        <w:rPr>
          <w:rFonts w:hint="eastAsia" w:ascii="仿宋" w:hAnsi="仿宋" w:eastAsia="仿宋" w:cs="仿宋"/>
          <w:b/>
          <w:color w:val="auto"/>
          <w:sz w:val="32"/>
          <w:szCs w:val="32"/>
          <w:highlight w:val="none"/>
          <w:u w:val="none"/>
          <w:shd w:val="clear" w:color="auto" w:fill="auto"/>
        </w:rPr>
        <w:t>日</w:t>
      </w:r>
      <w:r>
        <w:rPr>
          <w:rFonts w:hint="eastAsia" w:ascii="仿宋" w:hAnsi="仿宋" w:eastAsia="仿宋" w:cs="仿宋"/>
          <w:b/>
          <w:color w:val="auto"/>
          <w:sz w:val="32"/>
          <w:szCs w:val="32"/>
          <w:highlight w:val="none"/>
          <w:u w:val="none"/>
          <w:shd w:val="clear" w:color="auto" w:fill="auto"/>
          <w:lang w:val="en-US" w:eastAsia="zh-CN"/>
        </w:rPr>
        <w:t>0</w:t>
      </w:r>
      <w:r>
        <w:rPr>
          <w:rFonts w:hint="eastAsia" w:ascii="仿宋" w:hAnsi="仿宋" w:eastAsia="仿宋" w:cs="仿宋"/>
          <w:b/>
          <w:color w:val="auto"/>
          <w:sz w:val="32"/>
          <w:szCs w:val="32"/>
          <w:highlight w:val="none"/>
          <w:u w:val="none"/>
          <w:shd w:val="clear" w:color="auto" w:fill="auto"/>
        </w:rPr>
        <w:t>9:00</w:t>
      </w:r>
      <w:r>
        <w:rPr>
          <w:rFonts w:hint="eastAsia" w:ascii="仿宋" w:hAnsi="仿宋" w:eastAsia="仿宋" w:cs="仿宋"/>
          <w:b/>
          <w:color w:val="auto"/>
          <w:sz w:val="32"/>
          <w:szCs w:val="32"/>
          <w:highlight w:val="none"/>
          <w:u w:val="none"/>
          <w:shd w:val="clear" w:color="auto" w:fill="auto"/>
          <w:lang w:eastAsia="zh-CN"/>
        </w:rPr>
        <w:t>—</w:t>
      </w:r>
      <w:r>
        <w:rPr>
          <w:rFonts w:hint="eastAsia" w:ascii="仿宋" w:hAnsi="仿宋" w:eastAsia="仿宋" w:cs="仿宋"/>
          <w:b/>
          <w:color w:val="auto"/>
          <w:sz w:val="32"/>
          <w:szCs w:val="32"/>
          <w:highlight w:val="none"/>
          <w:u w:val="none"/>
          <w:shd w:val="clear" w:color="auto" w:fill="auto"/>
        </w:rPr>
        <w:t>5月</w:t>
      </w:r>
      <w:r>
        <w:rPr>
          <w:rFonts w:hint="eastAsia" w:ascii="仿宋" w:hAnsi="仿宋" w:eastAsia="仿宋" w:cs="仿宋"/>
          <w:b/>
          <w:color w:val="auto"/>
          <w:sz w:val="32"/>
          <w:szCs w:val="32"/>
          <w:highlight w:val="none"/>
          <w:u w:val="none"/>
          <w:shd w:val="clear" w:color="auto" w:fill="auto"/>
          <w:lang w:val="en-US" w:eastAsia="zh-CN"/>
        </w:rPr>
        <w:t>11</w:t>
      </w:r>
      <w:r>
        <w:rPr>
          <w:rFonts w:hint="eastAsia" w:ascii="仿宋" w:hAnsi="仿宋" w:eastAsia="仿宋" w:cs="仿宋"/>
          <w:b/>
          <w:color w:val="auto"/>
          <w:sz w:val="32"/>
          <w:szCs w:val="32"/>
          <w:highlight w:val="none"/>
          <w:u w:val="none"/>
          <w:shd w:val="clear" w:color="auto" w:fill="auto"/>
        </w:rPr>
        <w:t>日</w:t>
      </w:r>
      <w:r>
        <w:rPr>
          <w:rFonts w:hint="eastAsia" w:ascii="仿宋" w:hAnsi="仿宋" w:eastAsia="仿宋" w:cs="仿宋"/>
          <w:b/>
          <w:color w:val="auto"/>
          <w:sz w:val="32"/>
          <w:szCs w:val="32"/>
          <w:highlight w:val="none"/>
          <w:u w:val="none"/>
          <w:shd w:val="clear" w:color="auto" w:fill="auto"/>
          <w:lang w:val="en-US" w:eastAsia="zh-CN"/>
        </w:rPr>
        <w:t>23</w:t>
      </w:r>
      <w:r>
        <w:rPr>
          <w:rFonts w:hint="eastAsia" w:ascii="仿宋" w:hAnsi="仿宋" w:eastAsia="仿宋" w:cs="仿宋"/>
          <w:b/>
          <w:color w:val="auto"/>
          <w:sz w:val="32"/>
          <w:szCs w:val="32"/>
          <w:highlight w:val="none"/>
          <w:u w:val="none"/>
          <w:shd w:val="clear" w:color="auto" w:fill="auto"/>
        </w:rPr>
        <w:t>:</w:t>
      </w:r>
      <w:r>
        <w:rPr>
          <w:rFonts w:hint="eastAsia" w:ascii="仿宋" w:hAnsi="仿宋" w:eastAsia="仿宋" w:cs="仿宋"/>
          <w:b/>
          <w:color w:val="auto"/>
          <w:sz w:val="32"/>
          <w:szCs w:val="32"/>
          <w:highlight w:val="none"/>
          <w:u w:val="none"/>
          <w:shd w:val="clear" w:color="auto" w:fill="auto"/>
          <w:lang w:val="en-US" w:eastAsia="zh-CN"/>
        </w:rPr>
        <w:t>59</w:t>
      </w:r>
      <w:r>
        <w:rPr>
          <w:rFonts w:hint="eastAsia" w:ascii="仿宋" w:hAnsi="仿宋" w:eastAsia="仿宋" w:cs="仿宋"/>
          <w:color w:val="auto"/>
          <w:sz w:val="32"/>
          <w:szCs w:val="32"/>
          <w:highlight w:val="none"/>
          <w:u w:val="none"/>
          <w:shd w:val="clear" w:color="auto" w:fill="auto"/>
        </w:rPr>
        <w:t>。</w:t>
      </w:r>
      <w:r>
        <w:rPr>
          <w:rFonts w:hint="eastAsia" w:ascii="仿宋" w:hAnsi="仿宋" w:eastAsia="仿宋" w:cs="仿宋"/>
          <w:b/>
          <w:color w:val="auto"/>
          <w:sz w:val="32"/>
          <w:szCs w:val="32"/>
          <w:highlight w:val="none"/>
          <w:u w:val="none"/>
          <w:shd w:val="clear" w:color="auto" w:fill="auto"/>
        </w:rPr>
        <w:t>逾期</w:t>
      </w:r>
      <w:r>
        <w:rPr>
          <w:rFonts w:hint="eastAsia" w:ascii="仿宋" w:hAnsi="仿宋" w:eastAsia="仿宋" w:cs="仿宋"/>
          <w:b/>
          <w:color w:val="auto"/>
          <w:sz w:val="32"/>
          <w:szCs w:val="32"/>
          <w:highlight w:val="none"/>
        </w:rPr>
        <w:t>不予受理，同时视为企业（机构）放弃申报。</w:t>
      </w:r>
    </w:p>
    <w:p>
      <w:pPr>
        <w:keepNext w:val="0"/>
        <w:keepLines w:val="0"/>
        <w:pageBreakBefore w:val="0"/>
        <w:widowControl w:val="0"/>
        <w:kinsoku/>
        <w:wordWrap/>
        <w:overflowPunct/>
        <w:topLinePunct w:val="0"/>
        <w:autoSpaceDE/>
        <w:autoSpaceDN/>
        <w:bidi w:val="0"/>
        <w:adjustRightInd/>
        <w:spacing w:beforeLines="0" w:afterLines="0" w:line="579"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申报单位登录</w:t>
      </w:r>
      <w:r>
        <w:rPr>
          <w:rFonts w:hint="eastAsia" w:ascii="仿宋" w:hAnsi="仿宋" w:eastAsia="仿宋" w:cs="仿宋"/>
          <w:b w:val="0"/>
          <w:bCs w:val="0"/>
          <w:color w:val="auto"/>
          <w:spacing w:val="0"/>
          <w:sz w:val="32"/>
          <w:szCs w:val="21"/>
          <w:highlight w:val="none"/>
          <w:lang w:val="en-US" w:eastAsia="zh-CN"/>
        </w:rPr>
        <w:t>“珠海市财政惠企利民服务平台”（https://113.106.103.75/#/home）</w:t>
      </w:r>
      <w:r>
        <w:rPr>
          <w:rFonts w:hint="eastAsia" w:ascii="仿宋" w:hAnsi="仿宋" w:eastAsia="仿宋" w:cs="仿宋"/>
          <w:color w:val="auto"/>
          <w:kern w:val="0"/>
          <w:sz w:val="32"/>
          <w:szCs w:val="32"/>
          <w:highlight w:val="none"/>
          <w:u w:val="none"/>
        </w:rPr>
        <w:t>在线填报</w:t>
      </w:r>
      <w:r>
        <w:rPr>
          <w:rFonts w:hint="eastAsia" w:ascii="仿宋" w:hAnsi="仿宋" w:eastAsia="仿宋" w:cs="仿宋"/>
          <w:color w:val="auto"/>
          <w:kern w:val="0"/>
          <w:sz w:val="32"/>
          <w:szCs w:val="32"/>
          <w:highlight w:val="none"/>
          <w:u w:val="none"/>
          <w:lang w:eastAsia="zh-CN"/>
        </w:rPr>
        <w:t>相关材料、上传有关附件（详细操作见：附件</w:t>
      </w:r>
      <w:r>
        <w:rPr>
          <w:rFonts w:hint="eastAsia" w:ascii="仿宋" w:hAnsi="仿宋" w:eastAsia="仿宋" w:cs="仿宋"/>
          <w:color w:val="auto"/>
          <w:kern w:val="0"/>
          <w:sz w:val="32"/>
          <w:szCs w:val="32"/>
          <w:highlight w:val="none"/>
          <w:u w:val="none"/>
          <w:lang w:val="en-US" w:eastAsia="zh-CN"/>
        </w:rPr>
        <w:t>6</w:t>
      </w:r>
      <w:r>
        <w:rPr>
          <w:rFonts w:hint="eastAsia" w:ascii="仿宋" w:hAnsi="仿宋" w:eastAsia="仿宋" w:cs="仿宋"/>
          <w:color w:val="auto"/>
          <w:kern w:val="0"/>
          <w:sz w:val="32"/>
          <w:szCs w:val="32"/>
          <w:highlight w:val="none"/>
          <w:u w:val="none"/>
          <w:lang w:eastAsia="zh-CN"/>
        </w:rPr>
        <w:t>）。</w:t>
      </w:r>
      <w:r>
        <w:rPr>
          <w:rFonts w:hint="eastAsia" w:ascii="仿宋" w:hAnsi="仿宋" w:eastAsia="仿宋" w:cs="仿宋"/>
          <w:strike w:val="0"/>
          <w:dstrike w:val="0"/>
          <w:color w:val="auto"/>
          <w:sz w:val="32"/>
          <w:szCs w:val="32"/>
          <w:highlight w:val="none"/>
          <w:u w:val="none"/>
          <w:lang w:eastAsia="zh-CN"/>
        </w:rPr>
        <w:t>申报材料提交后，将由</w:t>
      </w:r>
      <w:r>
        <w:rPr>
          <w:rFonts w:hint="eastAsia" w:ascii="仿宋" w:hAnsi="仿宋" w:eastAsia="仿宋" w:cs="仿宋"/>
          <w:color w:val="auto"/>
          <w:sz w:val="32"/>
          <w:szCs w:val="32"/>
          <w:highlight w:val="none"/>
        </w:rPr>
        <w:t>区商务主管部门（联系方式见</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附件</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）进行</w:t>
      </w:r>
      <w:r>
        <w:rPr>
          <w:rFonts w:hint="eastAsia" w:ascii="仿宋" w:hAnsi="仿宋" w:eastAsia="仿宋" w:cs="仿宋"/>
          <w:color w:val="auto"/>
          <w:sz w:val="32"/>
          <w:szCs w:val="32"/>
          <w:highlight w:val="none"/>
          <w:lang w:eastAsia="zh-CN"/>
        </w:rPr>
        <w:t>网上预</w:t>
      </w:r>
      <w:r>
        <w:rPr>
          <w:rFonts w:hint="eastAsia" w:ascii="仿宋" w:hAnsi="仿宋" w:eastAsia="仿宋" w:cs="仿宋"/>
          <w:color w:val="auto"/>
          <w:sz w:val="32"/>
          <w:szCs w:val="32"/>
          <w:highlight w:val="none"/>
        </w:rPr>
        <w:t>审。</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79"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strike w:val="0"/>
          <w:dstrike w:val="0"/>
          <w:color w:val="auto"/>
          <w:sz w:val="32"/>
          <w:szCs w:val="32"/>
          <w:highlight w:val="none"/>
          <w:lang w:eastAsia="zh-CN"/>
        </w:rPr>
        <w:t>未注册的单位应先注册。其中“法人注册”对应单位账号，“个人注册”对应经办人个人账号。</w:t>
      </w:r>
      <w:r>
        <w:rPr>
          <w:rFonts w:hint="eastAsia" w:ascii="仿宋" w:hAnsi="仿宋" w:eastAsia="仿宋" w:cs="仿宋"/>
          <w:strike w:val="0"/>
          <w:dstrike w:val="0"/>
          <w:color w:val="auto"/>
          <w:sz w:val="32"/>
          <w:szCs w:val="32"/>
          <w:highlight w:val="none"/>
          <w:lang w:val="en-US" w:eastAsia="zh-CN"/>
        </w:rPr>
        <w:t>如已有单位账号，可以在省统一身份认证平台上用单位账号绑定对应的个人账号作为单位经办人。</w:t>
      </w:r>
      <w:r>
        <w:rPr>
          <w:rFonts w:hint="eastAsia" w:ascii="仿宋" w:hAnsi="仿宋" w:eastAsia="仿宋" w:cs="仿宋"/>
          <w:b/>
          <w:bCs/>
          <w:color w:val="auto"/>
          <w:sz w:val="32"/>
          <w:szCs w:val="32"/>
          <w:highlight w:val="none"/>
          <w:lang w:eastAsia="zh-CN"/>
        </w:rPr>
        <w:t>为方便申报，经办人也可只进行“法人注册”开设单位账号，经办人用单位账号即可完成后续申报</w:t>
      </w:r>
      <w:r>
        <w:rPr>
          <w:rFonts w:hint="eastAsia" w:ascii="仿宋" w:hAnsi="仿宋" w:eastAsia="仿宋" w:cs="仿宋"/>
          <w:color w:val="auto"/>
          <w:sz w:val="32"/>
          <w:szCs w:val="32"/>
          <w:highlight w:val="none"/>
          <w:lang w:eastAsia="zh-CN"/>
        </w:rPr>
        <w:t>（账号注册及系统使用见：附件</w:t>
      </w: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lang w:eastAsia="zh-CN"/>
        </w:rPr>
        <w:t>）。</w:t>
      </w:r>
    </w:p>
    <w:p>
      <w:pPr>
        <w:pStyle w:val="11"/>
        <w:snapToGrid w:val="0"/>
        <w:spacing w:beforeLines="0" w:afterLines="0" w:line="579" w:lineRule="exact"/>
        <w:ind w:firstLineChars="200"/>
        <w:jc w:val="both"/>
        <w:rPr>
          <w:rFonts w:hint="eastAsia" w:ascii="仿宋" w:hAnsi="仿宋" w:eastAsia="仿宋" w:cs="仿宋"/>
          <w:color w:val="auto"/>
          <w:sz w:val="32"/>
          <w:szCs w:val="32"/>
          <w:highlight w:val="none"/>
        </w:rPr>
      </w:pPr>
      <w:r>
        <w:rPr>
          <w:rFonts w:hint="eastAsia" w:ascii="楷体_GB2312" w:hAnsi="楷体_GB2312" w:eastAsia="楷体_GB2312" w:cs="楷体_GB2312"/>
          <w:color w:val="auto"/>
          <w:sz w:val="32"/>
          <w:szCs w:val="32"/>
          <w:lang w:val="en-US" w:eastAsia="zh-CN"/>
        </w:rPr>
        <w:t>（二）初审</w:t>
      </w:r>
    </w:p>
    <w:p>
      <w:pPr>
        <w:pStyle w:val="11"/>
        <w:snapToGrid w:val="0"/>
        <w:spacing w:beforeLines="0" w:afterLines="0" w:line="579" w:lineRule="exact"/>
        <w:ind w:firstLineChars="200"/>
        <w:jc w:val="both"/>
        <w:rPr>
          <w:rFonts w:hint="eastAsia" w:ascii="仿宋" w:hAnsi="仿宋" w:eastAsia="仿宋" w:cs="仿宋"/>
          <w:color w:val="auto"/>
          <w:sz w:val="32"/>
          <w:szCs w:val="32"/>
          <w:highlight w:val="none"/>
          <w:shd w:val="clear" w:color="auto" w:fill="auto"/>
          <w:lang w:eastAsia="zh-CN"/>
        </w:rPr>
      </w:pPr>
      <w:r>
        <w:rPr>
          <w:rFonts w:hint="eastAsia" w:ascii="仿宋" w:hAnsi="仿宋" w:eastAsia="仿宋" w:cs="仿宋"/>
          <w:color w:val="auto"/>
          <w:sz w:val="32"/>
          <w:szCs w:val="32"/>
          <w:highlight w:val="none"/>
        </w:rPr>
        <w:t>各区商务主管部门及时通过申报系统对网上申报材料进行</w:t>
      </w:r>
      <w:r>
        <w:rPr>
          <w:rFonts w:hint="eastAsia" w:ascii="仿宋" w:hAnsi="仿宋" w:eastAsia="仿宋" w:cs="仿宋"/>
          <w:color w:val="auto"/>
          <w:sz w:val="32"/>
          <w:szCs w:val="32"/>
          <w:highlight w:val="none"/>
          <w:lang w:eastAsia="zh-CN"/>
        </w:rPr>
        <w:t>初</w:t>
      </w:r>
      <w:r>
        <w:rPr>
          <w:rFonts w:hint="eastAsia" w:ascii="仿宋" w:hAnsi="仿宋" w:eastAsia="仿宋" w:cs="仿宋"/>
          <w:color w:val="auto"/>
          <w:sz w:val="32"/>
          <w:szCs w:val="32"/>
          <w:highlight w:val="none"/>
        </w:rPr>
        <w:t>审，</w:t>
      </w:r>
      <w:r>
        <w:rPr>
          <w:rFonts w:hint="eastAsia" w:ascii="仿宋" w:hAnsi="仿宋" w:eastAsia="仿宋" w:cs="仿宋"/>
          <w:color w:val="auto"/>
          <w:sz w:val="32"/>
          <w:szCs w:val="32"/>
          <w:highlight w:val="none"/>
          <w:lang w:eastAsia="zh-CN"/>
        </w:rPr>
        <w:t>初</w:t>
      </w:r>
      <w:r>
        <w:rPr>
          <w:rFonts w:hint="eastAsia" w:ascii="仿宋" w:hAnsi="仿宋" w:eastAsia="仿宋" w:cs="仿宋"/>
          <w:color w:val="auto"/>
          <w:sz w:val="32"/>
          <w:szCs w:val="32"/>
          <w:highlight w:val="none"/>
        </w:rPr>
        <w:t>审通过的提交市商务局</w:t>
      </w:r>
      <w:r>
        <w:rPr>
          <w:rFonts w:hint="eastAsia" w:ascii="仿宋" w:hAnsi="仿宋" w:eastAsia="仿宋" w:cs="仿宋"/>
          <w:color w:val="auto"/>
          <w:sz w:val="32"/>
          <w:szCs w:val="32"/>
          <w:highlight w:val="none"/>
          <w:shd w:val="clear" w:color="auto" w:fill="auto"/>
        </w:rPr>
        <w:t>审核</w:t>
      </w:r>
      <w:r>
        <w:rPr>
          <w:rFonts w:hint="eastAsia" w:ascii="仿宋" w:hAnsi="仿宋" w:eastAsia="仿宋" w:cs="仿宋"/>
          <w:color w:val="auto"/>
          <w:sz w:val="32"/>
          <w:szCs w:val="32"/>
          <w:highlight w:val="none"/>
          <w:shd w:val="clear" w:color="auto" w:fill="auto"/>
          <w:lang w:eastAsia="zh-CN"/>
        </w:rPr>
        <w:t>。</w:t>
      </w:r>
      <w:r>
        <w:rPr>
          <w:rFonts w:hint="eastAsia" w:ascii="仿宋" w:hAnsi="仿宋" w:eastAsia="仿宋" w:cs="仿宋"/>
          <w:b/>
          <w:color w:val="auto"/>
          <w:sz w:val="32"/>
          <w:szCs w:val="32"/>
          <w:highlight w:val="none"/>
          <w:shd w:val="clear" w:color="auto" w:fill="auto"/>
        </w:rPr>
        <w:t>完成时间：202</w:t>
      </w:r>
      <w:r>
        <w:rPr>
          <w:rFonts w:hint="eastAsia" w:ascii="仿宋" w:hAnsi="仿宋" w:eastAsia="仿宋" w:cs="仿宋"/>
          <w:b/>
          <w:color w:val="auto"/>
          <w:sz w:val="32"/>
          <w:szCs w:val="32"/>
          <w:highlight w:val="none"/>
          <w:shd w:val="clear" w:color="auto" w:fill="auto"/>
          <w:lang w:val="en-US" w:eastAsia="zh-CN"/>
        </w:rPr>
        <w:t>4</w:t>
      </w:r>
      <w:r>
        <w:rPr>
          <w:rFonts w:hint="eastAsia" w:ascii="仿宋" w:hAnsi="仿宋" w:eastAsia="仿宋" w:cs="仿宋"/>
          <w:b/>
          <w:color w:val="auto"/>
          <w:sz w:val="32"/>
          <w:szCs w:val="32"/>
          <w:highlight w:val="none"/>
          <w:shd w:val="clear" w:color="auto" w:fill="auto"/>
        </w:rPr>
        <w:t>年5月</w:t>
      </w:r>
      <w:r>
        <w:rPr>
          <w:rFonts w:hint="eastAsia" w:ascii="仿宋" w:hAnsi="仿宋" w:eastAsia="仿宋" w:cs="仿宋"/>
          <w:b/>
          <w:color w:val="auto"/>
          <w:sz w:val="32"/>
          <w:szCs w:val="32"/>
          <w:highlight w:val="none"/>
          <w:shd w:val="clear" w:color="auto" w:fill="auto"/>
          <w:lang w:val="en-US" w:eastAsia="zh-CN"/>
        </w:rPr>
        <w:t>15</w:t>
      </w:r>
      <w:r>
        <w:rPr>
          <w:rFonts w:hint="eastAsia" w:ascii="仿宋" w:hAnsi="仿宋" w:eastAsia="仿宋" w:cs="仿宋"/>
          <w:b/>
          <w:color w:val="auto"/>
          <w:sz w:val="32"/>
          <w:szCs w:val="32"/>
          <w:highlight w:val="none"/>
          <w:shd w:val="clear" w:color="auto" w:fill="auto"/>
        </w:rPr>
        <w:t>日</w:t>
      </w:r>
      <w:r>
        <w:rPr>
          <w:rFonts w:hint="eastAsia" w:ascii="仿宋" w:hAnsi="仿宋" w:eastAsia="仿宋" w:cs="仿宋"/>
          <w:b/>
          <w:color w:val="auto"/>
          <w:sz w:val="32"/>
          <w:szCs w:val="32"/>
          <w:highlight w:val="none"/>
          <w:shd w:val="clear" w:color="auto" w:fill="auto"/>
          <w:lang w:val="en-US" w:eastAsia="zh-CN"/>
        </w:rPr>
        <w:t>23</w:t>
      </w:r>
      <w:r>
        <w:rPr>
          <w:rFonts w:hint="eastAsia" w:ascii="仿宋" w:hAnsi="仿宋" w:eastAsia="仿宋" w:cs="仿宋"/>
          <w:b/>
          <w:color w:val="auto"/>
          <w:sz w:val="32"/>
          <w:szCs w:val="32"/>
          <w:highlight w:val="none"/>
          <w:shd w:val="clear" w:color="auto" w:fill="auto"/>
        </w:rPr>
        <w:t>:</w:t>
      </w:r>
      <w:r>
        <w:rPr>
          <w:rFonts w:hint="eastAsia" w:ascii="仿宋" w:hAnsi="仿宋" w:eastAsia="仿宋" w:cs="仿宋"/>
          <w:b/>
          <w:color w:val="auto"/>
          <w:sz w:val="32"/>
          <w:szCs w:val="32"/>
          <w:highlight w:val="none"/>
          <w:shd w:val="clear" w:color="auto" w:fill="auto"/>
          <w:lang w:val="en-US" w:eastAsia="zh-CN"/>
        </w:rPr>
        <w:t>59</w:t>
      </w:r>
      <w:r>
        <w:rPr>
          <w:rFonts w:hint="eastAsia" w:ascii="仿宋" w:hAnsi="仿宋" w:eastAsia="仿宋" w:cs="仿宋"/>
          <w:color w:val="auto"/>
          <w:sz w:val="32"/>
          <w:szCs w:val="32"/>
          <w:highlight w:val="none"/>
          <w:shd w:val="clear" w:color="auto" w:fill="auto"/>
          <w:lang w:eastAsia="zh-CN"/>
        </w:rPr>
        <w:t>。</w:t>
      </w:r>
    </w:p>
    <w:p>
      <w:pPr>
        <w:pStyle w:val="11"/>
        <w:snapToGrid w:val="0"/>
        <w:spacing w:beforeLines="0" w:afterLines="0" w:line="579" w:lineRule="exact"/>
        <w:ind w:firstLine="640" w:firstLineChars="200"/>
        <w:jc w:val="both"/>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（三）业务主管部门审核</w:t>
      </w:r>
    </w:p>
    <w:p>
      <w:pPr>
        <w:snapToGrid w:val="0"/>
        <w:spacing w:beforeLines="0" w:afterLines="0" w:line="579" w:lineRule="exact"/>
        <w:ind w:firstLine="642" w:firstLineChars="200"/>
        <w:jc w:val="both"/>
        <w:rPr>
          <w:rFonts w:hint="eastAsia" w:ascii="仿宋" w:hAnsi="仿宋" w:eastAsia="仿宋" w:cs="仿宋"/>
          <w:color w:val="auto"/>
          <w:sz w:val="32"/>
          <w:szCs w:val="32"/>
          <w:highlight w:val="none"/>
          <w:u w:val="none"/>
        </w:rPr>
      </w:pPr>
      <w:r>
        <w:rPr>
          <w:rFonts w:hint="eastAsia" w:ascii="仿宋" w:hAnsi="仿宋" w:eastAsia="仿宋" w:cs="仿宋"/>
          <w:b/>
          <w:bCs/>
          <w:color w:val="auto"/>
          <w:sz w:val="32"/>
          <w:szCs w:val="32"/>
          <w:highlight w:val="none"/>
          <w:u w:val="none"/>
          <w:lang w:val="en-US" w:eastAsia="zh-CN"/>
        </w:rPr>
        <w:t>1.</w:t>
      </w:r>
      <w:r>
        <w:rPr>
          <w:rFonts w:hint="eastAsia" w:ascii="仿宋" w:hAnsi="仿宋" w:eastAsia="仿宋" w:cs="仿宋"/>
          <w:b/>
          <w:bCs/>
          <w:color w:val="auto"/>
          <w:sz w:val="32"/>
          <w:szCs w:val="32"/>
          <w:highlight w:val="none"/>
          <w:u w:val="none"/>
        </w:rPr>
        <w:t>市商务局对申报系统上的申报材料进行</w:t>
      </w:r>
      <w:r>
        <w:rPr>
          <w:rFonts w:hint="eastAsia" w:ascii="仿宋" w:hAnsi="仿宋" w:eastAsia="仿宋" w:cs="仿宋"/>
          <w:b/>
          <w:bCs/>
          <w:color w:val="auto"/>
          <w:sz w:val="32"/>
          <w:szCs w:val="32"/>
          <w:highlight w:val="none"/>
          <w:u w:val="none"/>
          <w:lang w:eastAsia="zh-CN"/>
        </w:rPr>
        <w:t>审</w:t>
      </w:r>
      <w:r>
        <w:rPr>
          <w:rFonts w:hint="eastAsia" w:ascii="仿宋" w:hAnsi="仿宋" w:eastAsia="仿宋" w:cs="仿宋"/>
          <w:b/>
          <w:bCs/>
          <w:color w:val="auto"/>
          <w:sz w:val="32"/>
          <w:szCs w:val="32"/>
          <w:highlight w:val="none"/>
          <w:u w:val="none"/>
        </w:rPr>
        <w:t>核，并提出</w:t>
      </w:r>
      <w:r>
        <w:rPr>
          <w:rFonts w:hint="eastAsia" w:ascii="仿宋" w:hAnsi="仿宋" w:eastAsia="仿宋" w:cs="仿宋"/>
          <w:b/>
          <w:bCs/>
          <w:color w:val="auto"/>
          <w:sz w:val="32"/>
          <w:szCs w:val="32"/>
          <w:highlight w:val="none"/>
          <w:u w:val="none"/>
          <w:lang w:eastAsia="zh-CN"/>
        </w:rPr>
        <w:t>审</w:t>
      </w:r>
      <w:r>
        <w:rPr>
          <w:rFonts w:hint="eastAsia" w:ascii="仿宋" w:hAnsi="仿宋" w:eastAsia="仿宋" w:cs="仿宋"/>
          <w:b/>
          <w:bCs/>
          <w:color w:val="auto"/>
          <w:sz w:val="32"/>
          <w:szCs w:val="32"/>
          <w:highlight w:val="none"/>
          <w:u w:val="none"/>
        </w:rPr>
        <w:t>核意见。</w:t>
      </w:r>
      <w:r>
        <w:rPr>
          <w:rFonts w:hint="eastAsia" w:ascii="仿宋" w:hAnsi="仿宋" w:eastAsia="仿宋" w:cs="仿宋"/>
          <w:color w:val="auto"/>
          <w:sz w:val="32"/>
          <w:szCs w:val="32"/>
          <w:highlight w:val="none"/>
          <w:u w:val="none"/>
        </w:rPr>
        <w:t>申报单位</w:t>
      </w:r>
      <w:r>
        <w:rPr>
          <w:rFonts w:hint="eastAsia" w:ascii="仿宋" w:hAnsi="仿宋" w:eastAsia="仿宋" w:cs="仿宋"/>
          <w:color w:val="auto"/>
          <w:sz w:val="32"/>
          <w:szCs w:val="32"/>
          <w:highlight w:val="none"/>
          <w:u w:val="none"/>
          <w:lang w:eastAsia="zh-CN"/>
        </w:rPr>
        <w:t>可</w:t>
      </w:r>
      <w:r>
        <w:rPr>
          <w:rFonts w:hint="eastAsia" w:ascii="仿宋" w:hAnsi="仿宋" w:eastAsia="仿宋" w:cs="仿宋"/>
          <w:color w:val="auto"/>
          <w:sz w:val="32"/>
          <w:szCs w:val="32"/>
          <w:highlight w:val="none"/>
          <w:u w:val="none"/>
        </w:rPr>
        <w:t>随时通过申报系统</w:t>
      </w:r>
      <w:r>
        <w:rPr>
          <w:rFonts w:hint="eastAsia" w:ascii="仿宋" w:hAnsi="仿宋" w:eastAsia="仿宋" w:cs="仿宋"/>
          <w:color w:val="auto"/>
          <w:sz w:val="32"/>
          <w:szCs w:val="32"/>
          <w:highlight w:val="none"/>
          <w:u w:val="none"/>
          <w:lang w:eastAsia="zh-CN"/>
        </w:rPr>
        <w:t>查看</w:t>
      </w:r>
      <w:r>
        <w:rPr>
          <w:rFonts w:hint="eastAsia" w:ascii="仿宋" w:hAnsi="仿宋" w:eastAsia="仿宋" w:cs="仿宋"/>
          <w:color w:val="auto"/>
          <w:sz w:val="32"/>
          <w:szCs w:val="32"/>
          <w:highlight w:val="none"/>
          <w:u w:val="none"/>
        </w:rPr>
        <w:t>项目的当前进度</w:t>
      </w:r>
      <w:r>
        <w:rPr>
          <w:rFonts w:hint="eastAsia" w:ascii="仿宋" w:hAnsi="仿宋" w:eastAsia="仿宋" w:cs="仿宋"/>
          <w:color w:val="auto"/>
          <w:sz w:val="32"/>
          <w:szCs w:val="32"/>
          <w:highlight w:val="none"/>
          <w:u w:val="none"/>
          <w:lang w:eastAsia="zh-CN"/>
        </w:rPr>
        <w:t>，初</w:t>
      </w:r>
      <w:r>
        <w:rPr>
          <w:rFonts w:hint="eastAsia" w:ascii="仿宋" w:hAnsi="仿宋" w:eastAsia="仿宋" w:cs="仿宋"/>
          <w:color w:val="auto"/>
          <w:sz w:val="32"/>
          <w:szCs w:val="32"/>
          <w:highlight w:val="none"/>
          <w:u w:val="none"/>
        </w:rPr>
        <w:t>审或</w:t>
      </w:r>
      <w:r>
        <w:rPr>
          <w:rFonts w:hint="eastAsia" w:ascii="仿宋" w:hAnsi="仿宋" w:eastAsia="仿宋" w:cs="仿宋"/>
          <w:color w:val="auto"/>
          <w:sz w:val="32"/>
          <w:szCs w:val="32"/>
          <w:highlight w:val="none"/>
          <w:u w:val="none"/>
          <w:lang w:eastAsia="zh-CN"/>
        </w:rPr>
        <w:t>审核</w:t>
      </w:r>
      <w:r>
        <w:rPr>
          <w:rFonts w:hint="eastAsia" w:ascii="仿宋" w:hAnsi="仿宋" w:eastAsia="仿宋" w:cs="仿宋"/>
          <w:color w:val="auto"/>
          <w:sz w:val="32"/>
          <w:szCs w:val="32"/>
          <w:highlight w:val="none"/>
          <w:u w:val="none"/>
        </w:rPr>
        <w:t>不通过的项目可按要求修改、补充申报</w:t>
      </w:r>
      <w:r>
        <w:rPr>
          <w:rFonts w:hint="eastAsia" w:ascii="仿宋" w:hAnsi="仿宋" w:eastAsia="仿宋" w:cs="仿宋"/>
          <w:color w:val="auto"/>
          <w:sz w:val="32"/>
          <w:szCs w:val="32"/>
          <w:highlight w:val="none"/>
          <w:u w:val="none"/>
          <w:lang w:eastAsia="zh-CN"/>
        </w:rPr>
        <w:t>材料</w:t>
      </w:r>
      <w:r>
        <w:rPr>
          <w:rFonts w:hint="eastAsia" w:ascii="仿宋" w:hAnsi="仿宋" w:eastAsia="仿宋" w:cs="仿宋"/>
          <w:color w:val="auto"/>
          <w:sz w:val="32"/>
          <w:szCs w:val="32"/>
          <w:highlight w:val="none"/>
          <w:u w:val="none"/>
        </w:rPr>
        <w:t>并重新提交审核</w:t>
      </w:r>
      <w:r>
        <w:rPr>
          <w:rFonts w:hint="eastAsia" w:ascii="仿宋" w:hAnsi="仿宋" w:eastAsia="仿宋" w:cs="仿宋"/>
          <w:color w:val="auto"/>
          <w:sz w:val="32"/>
          <w:szCs w:val="32"/>
          <w:highlight w:val="none"/>
          <w:u w:val="none"/>
          <w:lang w:eastAsia="zh-CN"/>
        </w:rPr>
        <w:t>。</w:t>
      </w:r>
      <w:r>
        <w:rPr>
          <w:rFonts w:hint="eastAsia" w:ascii="仿宋" w:hAnsi="仿宋" w:eastAsia="仿宋" w:cs="仿宋"/>
          <w:b/>
          <w:color w:val="auto"/>
          <w:sz w:val="32"/>
          <w:szCs w:val="32"/>
          <w:highlight w:val="none"/>
          <w:u w:val="none"/>
        </w:rPr>
        <w:t>完成时间：202</w:t>
      </w:r>
      <w:r>
        <w:rPr>
          <w:rFonts w:hint="eastAsia" w:ascii="仿宋" w:hAnsi="仿宋" w:eastAsia="仿宋" w:cs="仿宋"/>
          <w:b/>
          <w:color w:val="auto"/>
          <w:sz w:val="32"/>
          <w:szCs w:val="32"/>
          <w:highlight w:val="none"/>
          <w:u w:val="none"/>
          <w:lang w:val="en-US" w:eastAsia="zh-CN"/>
        </w:rPr>
        <w:t>4</w:t>
      </w:r>
      <w:r>
        <w:rPr>
          <w:rFonts w:hint="eastAsia" w:ascii="仿宋" w:hAnsi="仿宋" w:eastAsia="仿宋" w:cs="仿宋"/>
          <w:b/>
          <w:color w:val="auto"/>
          <w:sz w:val="32"/>
          <w:szCs w:val="32"/>
          <w:highlight w:val="none"/>
          <w:u w:val="none"/>
        </w:rPr>
        <w:t>年5月</w:t>
      </w:r>
      <w:r>
        <w:rPr>
          <w:rFonts w:hint="eastAsia" w:ascii="仿宋" w:hAnsi="仿宋" w:eastAsia="仿宋" w:cs="仿宋"/>
          <w:b/>
          <w:color w:val="auto"/>
          <w:sz w:val="32"/>
          <w:szCs w:val="32"/>
          <w:highlight w:val="none"/>
          <w:u w:val="none"/>
          <w:lang w:val="en-US" w:eastAsia="zh-CN"/>
        </w:rPr>
        <w:t>17</w:t>
      </w:r>
      <w:r>
        <w:rPr>
          <w:rFonts w:hint="eastAsia" w:ascii="仿宋" w:hAnsi="仿宋" w:eastAsia="仿宋" w:cs="仿宋"/>
          <w:b/>
          <w:color w:val="auto"/>
          <w:sz w:val="32"/>
          <w:szCs w:val="32"/>
          <w:highlight w:val="none"/>
          <w:u w:val="none"/>
        </w:rPr>
        <w:t>日</w:t>
      </w:r>
      <w:r>
        <w:rPr>
          <w:rFonts w:hint="eastAsia" w:ascii="仿宋" w:hAnsi="仿宋" w:eastAsia="仿宋" w:cs="仿宋"/>
          <w:b/>
          <w:color w:val="auto"/>
          <w:sz w:val="32"/>
          <w:szCs w:val="32"/>
          <w:highlight w:val="none"/>
          <w:u w:val="none"/>
          <w:lang w:val="en-US" w:eastAsia="zh-CN"/>
        </w:rPr>
        <w:t>18</w:t>
      </w:r>
      <w:r>
        <w:rPr>
          <w:rFonts w:hint="eastAsia" w:ascii="仿宋" w:hAnsi="仿宋" w:eastAsia="仿宋" w:cs="仿宋"/>
          <w:b/>
          <w:color w:val="auto"/>
          <w:sz w:val="32"/>
          <w:szCs w:val="32"/>
          <w:highlight w:val="none"/>
          <w:u w:val="none"/>
        </w:rPr>
        <w:t>:00</w:t>
      </w:r>
      <w:r>
        <w:rPr>
          <w:rFonts w:hint="eastAsia" w:ascii="仿宋" w:hAnsi="仿宋" w:eastAsia="仿宋" w:cs="仿宋"/>
          <w:color w:val="auto"/>
          <w:sz w:val="32"/>
          <w:szCs w:val="32"/>
          <w:highlight w:val="none"/>
          <w:u w:val="none"/>
        </w:rPr>
        <w:t>。</w:t>
      </w:r>
    </w:p>
    <w:p>
      <w:pPr>
        <w:spacing w:beforeLines="0" w:afterLines="0" w:line="579" w:lineRule="exact"/>
        <w:ind w:firstLine="642" w:firstLineChars="200"/>
        <w:jc w:val="both"/>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u w:val="none"/>
          <w:lang w:val="en-US" w:eastAsia="zh-CN"/>
        </w:rPr>
        <w:t>2.打印</w:t>
      </w:r>
      <w:r>
        <w:rPr>
          <w:rFonts w:hint="eastAsia" w:ascii="仿宋" w:hAnsi="仿宋" w:eastAsia="仿宋" w:cs="仿宋"/>
          <w:b/>
          <w:bCs/>
          <w:color w:val="auto"/>
          <w:kern w:val="0"/>
          <w:sz w:val="32"/>
          <w:szCs w:val="32"/>
          <w:highlight w:val="none"/>
          <w:u w:val="none"/>
        </w:rPr>
        <w:t>递交</w:t>
      </w:r>
      <w:r>
        <w:rPr>
          <w:rFonts w:hint="eastAsia" w:ascii="仿宋" w:hAnsi="仿宋" w:eastAsia="仿宋" w:cs="仿宋"/>
          <w:b/>
          <w:bCs/>
          <w:color w:val="auto"/>
          <w:kern w:val="0"/>
          <w:sz w:val="32"/>
          <w:szCs w:val="32"/>
          <w:highlight w:val="none"/>
          <w:u w:val="none"/>
          <w:lang w:eastAsia="zh-CN"/>
        </w:rPr>
        <w:t>纸质</w:t>
      </w:r>
      <w:r>
        <w:rPr>
          <w:rFonts w:hint="eastAsia" w:ascii="仿宋" w:hAnsi="仿宋" w:eastAsia="仿宋" w:cs="仿宋"/>
          <w:b/>
          <w:bCs/>
          <w:color w:val="auto"/>
          <w:kern w:val="0"/>
          <w:sz w:val="32"/>
          <w:szCs w:val="32"/>
          <w:highlight w:val="none"/>
          <w:u w:val="none"/>
        </w:rPr>
        <w:t>材料</w:t>
      </w:r>
      <w:r>
        <w:rPr>
          <w:rFonts w:hint="eastAsia" w:ascii="仿宋" w:hAnsi="仿宋" w:eastAsia="仿宋" w:cs="仿宋"/>
          <w:b/>
          <w:bCs/>
          <w:color w:val="auto"/>
          <w:kern w:val="0"/>
          <w:sz w:val="32"/>
          <w:szCs w:val="32"/>
          <w:highlight w:val="none"/>
          <w:u w:val="none"/>
          <w:lang w:eastAsia="zh-CN"/>
        </w:rPr>
        <w:t>。</w:t>
      </w:r>
      <w:r>
        <w:rPr>
          <w:rFonts w:hint="eastAsia" w:ascii="仿宋" w:hAnsi="仿宋" w:eastAsia="仿宋" w:cs="仿宋"/>
          <w:color w:val="auto"/>
          <w:sz w:val="32"/>
          <w:szCs w:val="32"/>
          <w:highlight w:val="none"/>
          <w:u w:val="none"/>
        </w:rPr>
        <w:t>市商务局</w:t>
      </w:r>
      <w:r>
        <w:rPr>
          <w:rFonts w:hint="eastAsia" w:ascii="仿宋" w:hAnsi="仿宋" w:eastAsia="仿宋" w:cs="仿宋"/>
          <w:color w:val="auto"/>
          <w:sz w:val="32"/>
          <w:szCs w:val="32"/>
          <w:highlight w:val="none"/>
          <w:u w:val="none"/>
          <w:lang w:eastAsia="zh-CN"/>
        </w:rPr>
        <w:t>网上</w:t>
      </w:r>
      <w:r>
        <w:rPr>
          <w:rFonts w:hint="eastAsia" w:ascii="仿宋" w:hAnsi="仿宋" w:eastAsia="仿宋" w:cs="仿宋"/>
          <w:color w:val="auto"/>
          <w:sz w:val="32"/>
          <w:szCs w:val="32"/>
          <w:highlight w:val="none"/>
          <w:u w:val="none"/>
        </w:rPr>
        <w:t>审核通</w:t>
      </w:r>
      <w:r>
        <w:rPr>
          <w:rFonts w:hint="eastAsia" w:ascii="仿宋" w:hAnsi="仿宋" w:eastAsia="仿宋" w:cs="仿宋"/>
          <w:color w:val="auto"/>
          <w:sz w:val="32"/>
          <w:szCs w:val="32"/>
          <w:highlight w:val="none"/>
        </w:rPr>
        <w:t>过后，</w:t>
      </w:r>
      <w:r>
        <w:rPr>
          <w:rFonts w:hint="eastAsia" w:ascii="仿宋" w:hAnsi="仿宋" w:eastAsia="仿宋" w:cs="仿宋"/>
          <w:color w:val="auto"/>
          <w:sz w:val="32"/>
          <w:szCs w:val="32"/>
          <w:highlight w:val="none"/>
          <w:lang w:eastAsia="zh-CN"/>
        </w:rPr>
        <w:t>通知</w:t>
      </w:r>
      <w:r>
        <w:rPr>
          <w:rFonts w:hint="eastAsia" w:ascii="仿宋" w:hAnsi="仿宋" w:eastAsia="仿宋" w:cs="仿宋"/>
          <w:color w:val="auto"/>
          <w:sz w:val="32"/>
          <w:szCs w:val="32"/>
          <w:highlight w:val="none"/>
        </w:rPr>
        <w:t>企业</w:t>
      </w:r>
      <w:r>
        <w:rPr>
          <w:rFonts w:hint="eastAsia" w:ascii="仿宋" w:hAnsi="仿宋" w:eastAsia="仿宋" w:cs="仿宋"/>
          <w:color w:val="auto"/>
          <w:sz w:val="32"/>
          <w:szCs w:val="32"/>
          <w:highlight w:val="none"/>
          <w:lang w:eastAsia="zh-CN"/>
        </w:rPr>
        <w:t>打印</w:t>
      </w:r>
      <w:r>
        <w:rPr>
          <w:rFonts w:hint="eastAsia" w:ascii="仿宋" w:hAnsi="仿宋" w:eastAsia="仿宋" w:cs="仿宋"/>
          <w:color w:val="auto"/>
          <w:sz w:val="32"/>
          <w:szCs w:val="32"/>
          <w:highlight w:val="none"/>
        </w:rPr>
        <w:t>申报</w:t>
      </w:r>
      <w:r>
        <w:rPr>
          <w:rFonts w:hint="eastAsia" w:ascii="仿宋" w:hAnsi="仿宋" w:eastAsia="仿宋" w:cs="仿宋"/>
          <w:color w:val="auto"/>
          <w:sz w:val="32"/>
          <w:szCs w:val="32"/>
          <w:highlight w:val="none"/>
          <w:lang w:eastAsia="zh-CN"/>
        </w:rPr>
        <w:t>材料。企业将申报材料</w:t>
      </w:r>
      <w:r>
        <w:rPr>
          <w:rFonts w:hint="eastAsia" w:ascii="仿宋" w:hAnsi="仿宋" w:eastAsia="仿宋" w:cs="仿宋"/>
          <w:color w:val="auto"/>
          <w:sz w:val="32"/>
          <w:szCs w:val="32"/>
          <w:highlight w:val="none"/>
        </w:rPr>
        <w:t>装订成册（一式</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份）</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报送所在区商务主管部门</w:t>
      </w:r>
      <w:r>
        <w:rPr>
          <w:rFonts w:hint="eastAsia" w:ascii="仿宋" w:hAnsi="仿宋" w:eastAsia="仿宋" w:cs="仿宋"/>
          <w:color w:val="auto"/>
          <w:sz w:val="32"/>
          <w:szCs w:val="32"/>
          <w:highlight w:val="none"/>
          <w:lang w:eastAsia="zh-CN"/>
        </w:rPr>
        <w:t>（</w:t>
      </w:r>
      <w:r>
        <w:rPr>
          <w:rFonts w:hint="eastAsia" w:ascii="仿宋" w:hAnsi="仿宋" w:eastAsia="仿宋" w:cs="仿宋"/>
          <w:b/>
          <w:color w:val="auto"/>
          <w:sz w:val="32"/>
          <w:szCs w:val="32"/>
          <w:highlight w:val="none"/>
        </w:rPr>
        <w:t>截止时间：202</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5</w:t>
      </w:r>
      <w:r>
        <w:rPr>
          <w:rFonts w:hint="eastAsia" w:ascii="仿宋" w:hAnsi="仿宋" w:eastAsia="仿宋" w:cs="仿宋"/>
          <w:b/>
          <w:color w:val="auto"/>
          <w:sz w:val="32"/>
          <w:szCs w:val="32"/>
          <w:highlight w:val="none"/>
        </w:rPr>
        <w:t>月</w:t>
      </w:r>
      <w:r>
        <w:rPr>
          <w:rFonts w:hint="eastAsia" w:ascii="仿宋" w:hAnsi="仿宋" w:eastAsia="仿宋" w:cs="仿宋"/>
          <w:b/>
          <w:color w:val="auto"/>
          <w:sz w:val="32"/>
          <w:szCs w:val="32"/>
          <w:highlight w:val="none"/>
          <w:lang w:val="en-US" w:eastAsia="zh-CN"/>
        </w:rPr>
        <w:t>22</w:t>
      </w:r>
      <w:r>
        <w:rPr>
          <w:rFonts w:hint="eastAsia" w:ascii="仿宋" w:hAnsi="仿宋" w:eastAsia="仿宋" w:cs="仿宋"/>
          <w:b/>
          <w:color w:val="auto"/>
          <w:sz w:val="32"/>
          <w:szCs w:val="32"/>
          <w:highlight w:val="none"/>
        </w:rPr>
        <w:t>日1</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rPr>
        <w:t>:00，逾期不予受理</w:t>
      </w:r>
      <w:r>
        <w:rPr>
          <w:rFonts w:hint="eastAsia" w:ascii="仿宋" w:hAnsi="仿宋" w:eastAsia="仿宋" w:cs="仿宋"/>
          <w:color w:val="auto"/>
          <w:sz w:val="32"/>
          <w:szCs w:val="32"/>
          <w:highlight w:val="none"/>
        </w:rPr>
        <w:t>）。区商务主管部门汇总相关项目申</w:t>
      </w:r>
      <w:r>
        <w:rPr>
          <w:rFonts w:hint="eastAsia" w:ascii="仿宋" w:hAnsi="仿宋" w:eastAsia="仿宋" w:cs="仿宋"/>
          <w:color w:val="auto"/>
          <w:kern w:val="0"/>
          <w:sz w:val="32"/>
          <w:szCs w:val="32"/>
          <w:highlight w:val="none"/>
        </w:rPr>
        <w:t>报材料</w:t>
      </w:r>
      <w:r>
        <w:rPr>
          <w:rFonts w:hint="eastAsia" w:ascii="仿宋" w:hAnsi="仿宋" w:eastAsia="仿宋" w:cs="仿宋"/>
          <w:color w:val="auto"/>
          <w:sz w:val="32"/>
          <w:szCs w:val="32"/>
          <w:highlight w:val="none"/>
        </w:rPr>
        <w:t>提交市商务局</w:t>
      </w:r>
      <w:r>
        <w:rPr>
          <w:rFonts w:hint="eastAsia" w:ascii="仿宋" w:hAnsi="仿宋" w:eastAsia="仿宋" w:cs="仿宋"/>
          <w:b/>
          <w:bCs/>
          <w:color w:val="auto"/>
          <w:sz w:val="32"/>
          <w:szCs w:val="32"/>
          <w:highlight w:val="none"/>
        </w:rPr>
        <w:t>（截止时间：202</w:t>
      </w:r>
      <w:r>
        <w:rPr>
          <w:rFonts w:hint="eastAsia" w:ascii="仿宋" w:hAnsi="仿宋" w:eastAsia="仿宋" w:cs="仿宋"/>
          <w:b/>
          <w:bCs/>
          <w:color w:val="auto"/>
          <w:sz w:val="32"/>
          <w:szCs w:val="32"/>
          <w:highlight w:val="none"/>
          <w:lang w:val="en-US" w:eastAsia="zh-CN"/>
        </w:rPr>
        <w:t>4</w:t>
      </w:r>
      <w:r>
        <w:rPr>
          <w:rFonts w:hint="eastAsia" w:ascii="仿宋" w:hAnsi="仿宋" w:eastAsia="仿宋" w:cs="仿宋"/>
          <w:b/>
          <w:bCs/>
          <w:color w:val="auto"/>
          <w:sz w:val="32"/>
          <w:szCs w:val="32"/>
          <w:highlight w:val="none"/>
        </w:rPr>
        <w:t>年5月</w:t>
      </w:r>
      <w:r>
        <w:rPr>
          <w:rFonts w:hint="eastAsia" w:ascii="仿宋" w:hAnsi="仿宋" w:eastAsia="仿宋" w:cs="仿宋"/>
          <w:b/>
          <w:bCs/>
          <w:color w:val="auto"/>
          <w:sz w:val="32"/>
          <w:szCs w:val="32"/>
          <w:highlight w:val="none"/>
          <w:lang w:val="en-US" w:eastAsia="zh-CN"/>
        </w:rPr>
        <w:t>24</w:t>
      </w:r>
      <w:r>
        <w:rPr>
          <w:rFonts w:hint="eastAsia" w:ascii="仿宋" w:hAnsi="仿宋" w:eastAsia="仿宋" w:cs="仿宋"/>
          <w:b/>
          <w:bCs/>
          <w:color w:val="auto"/>
          <w:sz w:val="32"/>
          <w:szCs w:val="32"/>
          <w:highlight w:val="none"/>
        </w:rPr>
        <w:t>日1</w:t>
      </w:r>
      <w:r>
        <w:rPr>
          <w:rFonts w:hint="eastAsia" w:ascii="仿宋" w:hAnsi="仿宋" w:eastAsia="仿宋" w:cs="仿宋"/>
          <w:b/>
          <w:bCs/>
          <w:color w:val="auto"/>
          <w:sz w:val="32"/>
          <w:szCs w:val="32"/>
          <w:highlight w:val="none"/>
          <w:lang w:val="en-US" w:eastAsia="zh-CN"/>
        </w:rPr>
        <w:t>8</w:t>
      </w:r>
      <w:r>
        <w:rPr>
          <w:rFonts w:hint="eastAsia" w:ascii="仿宋" w:hAnsi="仿宋" w:eastAsia="仿宋" w:cs="仿宋"/>
          <w:b/>
          <w:bCs/>
          <w:color w:val="auto"/>
          <w:sz w:val="32"/>
          <w:szCs w:val="32"/>
          <w:highlight w:val="none"/>
        </w:rPr>
        <w:t>:00）</w:t>
      </w:r>
      <w:r>
        <w:rPr>
          <w:rFonts w:hint="eastAsia" w:ascii="仿宋" w:hAnsi="仿宋" w:eastAsia="仿宋" w:cs="仿宋"/>
          <w:color w:val="auto"/>
          <w:sz w:val="32"/>
          <w:szCs w:val="32"/>
          <w:highlight w:val="none"/>
        </w:rPr>
        <w:t>。珠海市商务局接收</w:t>
      </w:r>
      <w:r>
        <w:rPr>
          <w:rFonts w:hint="eastAsia" w:ascii="仿宋" w:hAnsi="仿宋" w:eastAsia="仿宋" w:cs="仿宋"/>
          <w:color w:val="auto"/>
          <w:sz w:val="32"/>
          <w:szCs w:val="32"/>
          <w:highlight w:val="none"/>
          <w:lang w:eastAsia="zh-CN"/>
        </w:rPr>
        <w:t>材料</w:t>
      </w:r>
      <w:r>
        <w:rPr>
          <w:rFonts w:hint="eastAsia" w:ascii="仿宋" w:hAnsi="仿宋" w:eastAsia="仿宋" w:cs="仿宋"/>
          <w:color w:val="auto"/>
          <w:sz w:val="32"/>
          <w:szCs w:val="32"/>
          <w:highlight w:val="none"/>
        </w:rPr>
        <w:t>地址：珠海市香洲区</w:t>
      </w:r>
      <w:r>
        <w:rPr>
          <w:rFonts w:hint="eastAsia" w:ascii="仿宋" w:hAnsi="仿宋" w:eastAsia="仿宋" w:cs="仿宋"/>
          <w:color w:val="auto"/>
          <w:sz w:val="32"/>
          <w:szCs w:val="32"/>
          <w:highlight w:val="none"/>
          <w:lang w:eastAsia="zh-CN"/>
        </w:rPr>
        <w:t>人民东路</w:t>
      </w:r>
      <w:r>
        <w:rPr>
          <w:rFonts w:hint="eastAsia" w:ascii="仿宋" w:hAnsi="仿宋" w:eastAsia="仿宋" w:cs="仿宋"/>
          <w:color w:val="auto"/>
          <w:sz w:val="32"/>
          <w:szCs w:val="32"/>
          <w:highlight w:val="none"/>
          <w:lang w:val="en-US" w:eastAsia="zh-CN"/>
        </w:rPr>
        <w:t>125号</w:t>
      </w:r>
      <w:r>
        <w:rPr>
          <w:rFonts w:hint="eastAsia" w:ascii="仿宋" w:hAnsi="仿宋" w:eastAsia="仿宋" w:cs="仿宋"/>
          <w:color w:val="auto"/>
          <w:sz w:val="32"/>
          <w:szCs w:val="32"/>
          <w:highlight w:val="none"/>
        </w:rPr>
        <w:t>工商大厦主楼16楼西座市贸易服务中心</w:t>
      </w:r>
      <w:r>
        <w:rPr>
          <w:rFonts w:hint="eastAsia" w:ascii="仿宋" w:hAnsi="仿宋" w:eastAsia="仿宋" w:cs="仿宋"/>
          <w:color w:val="auto"/>
          <w:sz w:val="32"/>
          <w:szCs w:val="32"/>
          <w:highlight w:val="none"/>
          <w:lang w:val="en-US" w:eastAsia="zh-CN"/>
        </w:rPr>
        <w:t>1611</w:t>
      </w:r>
      <w:r>
        <w:rPr>
          <w:rFonts w:hint="eastAsia" w:ascii="仿宋" w:hAnsi="仿宋" w:eastAsia="仿宋" w:cs="仿宋"/>
          <w:color w:val="auto"/>
          <w:sz w:val="32"/>
          <w:szCs w:val="32"/>
          <w:highlight w:val="none"/>
        </w:rPr>
        <w:t>室。</w:t>
      </w:r>
    </w:p>
    <w:p>
      <w:pPr>
        <w:spacing w:beforeLines="0" w:afterLines="0" w:line="579" w:lineRule="exact"/>
        <w:ind w:firstLine="642"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rPr>
        <w:t>项目评审</w:t>
      </w:r>
      <w:r>
        <w:rPr>
          <w:rFonts w:hint="eastAsia" w:ascii="仿宋" w:hAnsi="仿宋" w:eastAsia="仿宋" w:cs="仿宋"/>
          <w:b/>
          <w:bCs/>
          <w:color w:val="auto"/>
          <w:sz w:val="32"/>
          <w:szCs w:val="32"/>
          <w:highlight w:val="none"/>
          <w:lang w:eastAsia="zh-CN"/>
        </w:rPr>
        <w:t>。</w:t>
      </w:r>
      <w:r>
        <w:rPr>
          <w:rFonts w:hint="eastAsia" w:ascii="仿宋" w:hAnsi="仿宋" w:eastAsia="仿宋" w:cs="仿宋"/>
          <w:color w:val="auto"/>
          <w:sz w:val="32"/>
          <w:szCs w:val="32"/>
          <w:highlight w:val="none"/>
        </w:rPr>
        <w:t>市商务局委托第三方</w:t>
      </w:r>
      <w:r>
        <w:rPr>
          <w:rFonts w:hint="eastAsia" w:ascii="仿宋" w:hAnsi="仿宋" w:eastAsia="仿宋" w:cs="仿宋"/>
          <w:color w:val="auto"/>
          <w:sz w:val="32"/>
          <w:szCs w:val="32"/>
          <w:highlight w:val="none"/>
          <w:lang w:eastAsia="zh-CN"/>
        </w:rPr>
        <w:t>机构</w:t>
      </w:r>
      <w:r>
        <w:rPr>
          <w:rFonts w:hint="eastAsia" w:ascii="仿宋" w:hAnsi="仿宋" w:eastAsia="仿宋" w:cs="仿宋"/>
          <w:color w:val="auto"/>
          <w:sz w:val="32"/>
          <w:szCs w:val="32"/>
          <w:highlight w:val="none"/>
        </w:rPr>
        <w:t>开展项目评审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视申报实际情况决定是否邀请相关行业专家组成评审组）</w:t>
      </w:r>
      <w:r>
        <w:rPr>
          <w:rFonts w:hint="eastAsia" w:ascii="仿宋" w:hAnsi="仿宋" w:eastAsia="仿宋" w:cs="仿宋"/>
          <w:color w:val="auto"/>
          <w:sz w:val="32"/>
          <w:szCs w:val="32"/>
          <w:highlight w:val="none"/>
        </w:rPr>
        <w:t>，根据评审结果并征集有关部门意见</w:t>
      </w:r>
      <w:r>
        <w:rPr>
          <w:rFonts w:hint="eastAsia" w:ascii="仿宋" w:hAnsi="仿宋" w:eastAsia="仿宋" w:cs="仿宋"/>
          <w:color w:val="auto"/>
          <w:sz w:val="32"/>
          <w:szCs w:val="32"/>
          <w:highlight w:val="none"/>
          <w:lang w:eastAsia="zh-CN"/>
        </w:rPr>
        <w:t>后，</w:t>
      </w:r>
      <w:r>
        <w:rPr>
          <w:rFonts w:hint="eastAsia" w:ascii="仿宋" w:hAnsi="仿宋" w:eastAsia="仿宋" w:cs="仿宋"/>
          <w:color w:val="auto"/>
          <w:sz w:val="32"/>
          <w:szCs w:val="32"/>
          <w:highlight w:val="none"/>
        </w:rPr>
        <w:t>报市商务局局长办公会议集体审议</w:t>
      </w:r>
      <w:r>
        <w:rPr>
          <w:rFonts w:hint="eastAsia" w:ascii="仿宋" w:hAnsi="仿宋" w:eastAsia="仿宋" w:cs="仿宋"/>
          <w:color w:val="auto"/>
          <w:sz w:val="32"/>
          <w:szCs w:val="32"/>
          <w:highlight w:val="none"/>
          <w:lang w:eastAsia="zh-CN"/>
        </w:rPr>
        <w:t>并形成资金初步分配方案</w:t>
      </w:r>
      <w:r>
        <w:rPr>
          <w:rFonts w:hint="eastAsia" w:ascii="仿宋" w:hAnsi="仿宋" w:eastAsia="仿宋" w:cs="仿宋"/>
          <w:color w:val="auto"/>
          <w:sz w:val="32"/>
          <w:szCs w:val="32"/>
          <w:highlight w:val="none"/>
        </w:rPr>
        <w:t>。</w:t>
      </w:r>
      <w:r>
        <w:rPr>
          <w:rFonts w:hint="eastAsia" w:ascii="仿宋" w:hAnsi="仿宋" w:eastAsia="仿宋" w:cs="仿宋"/>
          <w:b/>
          <w:bCs/>
          <w:color w:val="auto"/>
          <w:sz w:val="32"/>
          <w:szCs w:val="32"/>
          <w:highlight w:val="none"/>
        </w:rPr>
        <w:t>完成时间：</w:t>
      </w:r>
      <w:r>
        <w:rPr>
          <w:rFonts w:hint="eastAsia" w:ascii="仿宋" w:hAnsi="仿宋" w:eastAsia="仿宋" w:cs="仿宋"/>
          <w:b/>
          <w:bCs/>
          <w:color w:val="auto"/>
          <w:sz w:val="32"/>
          <w:szCs w:val="32"/>
          <w:highlight w:val="none"/>
          <w:lang w:val="en-US" w:eastAsia="zh-CN"/>
        </w:rPr>
        <w:t>2025年</w:t>
      </w:r>
      <w:r>
        <w:rPr>
          <w:rFonts w:hint="eastAsia" w:ascii="仿宋" w:hAnsi="仿宋" w:eastAsia="仿宋" w:cs="仿宋"/>
          <w:b/>
          <w:bCs/>
          <w:color w:val="auto"/>
          <w:sz w:val="32"/>
          <w:szCs w:val="32"/>
          <w:highlight w:val="none"/>
          <w:lang w:eastAsia="zh-CN"/>
        </w:rPr>
        <w:t>第一季度。</w:t>
      </w:r>
    </w:p>
    <w:p>
      <w:pPr>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79"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（四）公示</w:t>
      </w:r>
    </w:p>
    <w:p>
      <w:pPr>
        <w:spacing w:beforeLines="0" w:afterLines="0" w:line="579" w:lineRule="exact"/>
        <w:ind w:firstLine="640" w:firstLineChars="200"/>
        <w:jc w:val="both"/>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eastAsia="zh-CN"/>
        </w:rPr>
        <w:t>将资金初步分配方案（含项目名称、用款单位和拟分配金额）在市商务局网站和“珠海市财政惠企利民服务平台”进行公示，公示期不少于</w:t>
      </w:r>
      <w:r>
        <w:rPr>
          <w:rFonts w:hint="eastAsia" w:ascii="仿宋" w:hAnsi="仿宋" w:eastAsia="仿宋" w:cs="仿宋"/>
          <w:color w:val="auto"/>
          <w:sz w:val="32"/>
          <w:szCs w:val="32"/>
          <w:highlight w:val="none"/>
          <w:lang w:val="en-US" w:eastAsia="zh-CN"/>
        </w:rPr>
        <w:t>7天。</w:t>
      </w:r>
      <w:r>
        <w:rPr>
          <w:rFonts w:hint="eastAsia" w:ascii="仿宋" w:hAnsi="仿宋" w:eastAsia="仿宋" w:cs="仿宋"/>
          <w:b/>
          <w:bCs/>
          <w:color w:val="auto"/>
          <w:sz w:val="32"/>
          <w:szCs w:val="32"/>
          <w:highlight w:val="none"/>
          <w:lang w:eastAsia="zh-CN"/>
        </w:rPr>
        <w:t>完成时间：</w:t>
      </w:r>
      <w:r>
        <w:rPr>
          <w:rFonts w:hint="eastAsia" w:ascii="仿宋" w:hAnsi="仿宋" w:eastAsia="仿宋" w:cs="仿宋"/>
          <w:b/>
          <w:bCs/>
          <w:color w:val="auto"/>
          <w:sz w:val="32"/>
          <w:szCs w:val="32"/>
          <w:highlight w:val="none"/>
          <w:lang w:val="en-US" w:eastAsia="zh-CN"/>
        </w:rPr>
        <w:t>2025年第一季度。</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（五）报批</w:t>
      </w:r>
    </w:p>
    <w:p>
      <w:pPr>
        <w:spacing w:beforeLines="0" w:afterLines="0" w:line="579" w:lineRule="exact"/>
        <w:ind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公示期结束无异议后报市政府审批。有异议的项目由市商务局组织核查，情况属实的根据核查结果调整支持金额。完成</w:t>
      </w:r>
      <w:r>
        <w:rPr>
          <w:rFonts w:hint="eastAsia" w:ascii="仿宋" w:hAnsi="仿宋" w:eastAsia="仿宋" w:cs="仿宋"/>
          <w:b/>
          <w:bCs/>
          <w:color w:val="auto"/>
          <w:sz w:val="32"/>
          <w:szCs w:val="32"/>
          <w:highlight w:val="none"/>
          <w:lang w:eastAsia="zh-CN"/>
        </w:rPr>
        <w:t>时间：</w:t>
      </w:r>
      <w:r>
        <w:rPr>
          <w:rFonts w:hint="eastAsia" w:ascii="仿宋" w:hAnsi="仿宋" w:eastAsia="仿宋" w:cs="仿宋"/>
          <w:b/>
          <w:bCs/>
          <w:color w:val="auto"/>
          <w:sz w:val="32"/>
          <w:szCs w:val="32"/>
          <w:highlight w:val="none"/>
          <w:lang w:val="en-US" w:eastAsia="zh-CN"/>
        </w:rPr>
        <w:t>2025年第一季度。</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9"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（六）资金拨付</w:t>
      </w:r>
    </w:p>
    <w:p>
      <w:pPr>
        <w:spacing w:beforeLines="0" w:afterLines="0" w:line="579" w:lineRule="exact"/>
        <w:ind w:firstLine="640" w:firstLineChars="200"/>
        <w:jc w:val="both"/>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eastAsia="zh-CN"/>
        </w:rPr>
        <w:t>市商务局根据市政府批复的资金分配方案，起草下达文件，并报市财政局备案。</w:t>
      </w:r>
      <w:r>
        <w:rPr>
          <w:rFonts w:hint="eastAsia" w:ascii="仿宋" w:hAnsi="仿宋" w:eastAsia="仿宋" w:cs="仿宋"/>
          <w:color w:val="auto"/>
          <w:sz w:val="32"/>
          <w:szCs w:val="32"/>
          <w:highlight w:val="none"/>
          <w:lang w:val="en-US" w:eastAsia="zh-CN"/>
        </w:rPr>
        <w:t>本政策所涉及扶持资金由市财政承担，实际扶持金额以当年财政预算安排数为准，资金总额超出当年度预算安排的，扶持标准将在应发资金中同比例降低执行。</w:t>
      </w:r>
      <w:r>
        <w:rPr>
          <w:rFonts w:hint="eastAsia" w:ascii="仿宋" w:hAnsi="仿宋" w:eastAsia="仿宋" w:cs="仿宋"/>
          <w:b/>
          <w:bCs/>
          <w:color w:val="auto"/>
          <w:sz w:val="32"/>
          <w:szCs w:val="32"/>
          <w:highlight w:val="none"/>
          <w:lang w:val="en-US" w:eastAsia="zh-CN"/>
        </w:rPr>
        <w:t>完成时间：2025年第二季度。</w:t>
      </w:r>
    </w:p>
    <w:p>
      <w:pPr>
        <w:pStyle w:val="11"/>
        <w:keepNext w:val="0"/>
        <w:keepLines w:val="0"/>
        <w:pageBreakBefore w:val="0"/>
        <w:numPr>
          <w:ilvl w:val="0"/>
          <w:numId w:val="0"/>
        </w:numPr>
        <w:kinsoku/>
        <w:wordWrap/>
        <w:overflowPunct/>
        <w:topLinePunct w:val="0"/>
        <w:bidi w:val="0"/>
        <w:snapToGrid/>
        <w:spacing w:before="295" w:beforeLines="50" w:after="0" w:afterLines="0" w:line="579" w:lineRule="exact"/>
        <w:ind w:leftChars="0" w:firstLine="640" w:firstLineChars="200"/>
        <w:jc w:val="both"/>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eastAsia="zh-CN"/>
        </w:rPr>
        <w:t>七、</w:t>
      </w:r>
      <w:r>
        <w:rPr>
          <w:rFonts w:hint="eastAsia" w:ascii="方正黑体_GBK" w:hAnsi="方正黑体_GBK" w:eastAsia="方正黑体_GBK" w:cs="方正黑体_GBK"/>
          <w:color w:val="auto"/>
          <w:sz w:val="32"/>
          <w:szCs w:val="32"/>
        </w:rPr>
        <w:t>服务信息</w:t>
      </w:r>
    </w:p>
    <w:p>
      <w:pPr>
        <w:pStyle w:val="11"/>
        <w:keepNext w:val="0"/>
        <w:keepLines w:val="0"/>
        <w:pageBreakBefore w:val="0"/>
        <w:numPr>
          <w:ilvl w:val="0"/>
          <w:numId w:val="0"/>
        </w:numPr>
        <w:kinsoku/>
        <w:wordWrap/>
        <w:overflowPunct/>
        <w:topLinePunct w:val="0"/>
        <w:bidi w:val="0"/>
        <w:snapToGrid/>
        <w:spacing w:beforeLines="0" w:afterLines="0" w:line="579" w:lineRule="exact"/>
        <w:ind w:firstLine="640" w:firstLineChars="200"/>
        <w:jc w:val="both"/>
        <w:rPr>
          <w:rFonts w:hint="eastAsia" w:ascii="楷体_GB2312" w:hAnsi="楷体_GB2312" w:eastAsia="楷体_GB2312" w:cs="楷体_GB2312"/>
          <w:color w:val="auto"/>
          <w:kern w:val="0"/>
          <w:sz w:val="32"/>
          <w:szCs w:val="32"/>
          <w:lang w:val="en-US" w:eastAsia="zh-CN" w:bidi="zh-CN"/>
        </w:rPr>
      </w:pPr>
      <w:r>
        <w:rPr>
          <w:rFonts w:hint="eastAsia" w:ascii="楷体_GB2312" w:hAnsi="楷体_GB2312" w:eastAsia="楷体_GB2312" w:cs="楷体_GB2312"/>
          <w:color w:val="auto"/>
          <w:kern w:val="0"/>
          <w:sz w:val="32"/>
          <w:szCs w:val="32"/>
          <w:lang w:val="en-US" w:eastAsia="zh-CN" w:bidi="zh-CN"/>
        </w:rPr>
        <w:t>（一）办公地址</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珠海市香洲区人民东路125号珠海工商大厦主楼16楼西座。</w:t>
      </w:r>
    </w:p>
    <w:p>
      <w:pPr>
        <w:pStyle w:val="11"/>
        <w:keepNext w:val="0"/>
        <w:keepLines w:val="0"/>
        <w:pageBreakBefore w:val="0"/>
        <w:numPr>
          <w:ilvl w:val="0"/>
          <w:numId w:val="0"/>
        </w:numPr>
        <w:kinsoku/>
        <w:wordWrap/>
        <w:overflowPunct/>
        <w:topLinePunct w:val="0"/>
        <w:bidi w:val="0"/>
        <w:snapToGrid/>
        <w:spacing w:beforeLines="0" w:afterLines="0" w:line="579" w:lineRule="exact"/>
        <w:ind w:firstLine="640" w:firstLineChars="200"/>
        <w:jc w:val="both"/>
        <w:rPr>
          <w:rFonts w:hint="eastAsia" w:ascii="楷体_GB2312" w:hAnsi="楷体_GB2312" w:eastAsia="楷体_GB2312" w:cs="楷体_GB2312"/>
          <w:color w:val="auto"/>
          <w:kern w:val="0"/>
          <w:sz w:val="32"/>
          <w:szCs w:val="32"/>
          <w:lang w:val="en-US" w:eastAsia="zh-CN" w:bidi="zh-CN"/>
        </w:rPr>
      </w:pPr>
      <w:r>
        <w:rPr>
          <w:rFonts w:hint="eastAsia" w:ascii="楷体_GB2312" w:hAnsi="楷体_GB2312" w:eastAsia="楷体_GB2312" w:cs="楷体_GB2312"/>
          <w:color w:val="auto"/>
          <w:kern w:val="0"/>
          <w:sz w:val="32"/>
          <w:szCs w:val="32"/>
          <w:lang w:val="en-US" w:eastAsia="zh-CN" w:bidi="zh-CN"/>
        </w:rPr>
        <w:t>（二）工作时间</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工作日09:00—12:00    14:00—18:00</w:t>
      </w:r>
    </w:p>
    <w:p>
      <w:pPr>
        <w:pStyle w:val="11"/>
        <w:keepNext w:val="0"/>
        <w:keepLines w:val="0"/>
        <w:pageBreakBefore w:val="0"/>
        <w:numPr>
          <w:ilvl w:val="0"/>
          <w:numId w:val="0"/>
        </w:numPr>
        <w:kinsoku/>
        <w:wordWrap/>
        <w:overflowPunct/>
        <w:topLinePunct w:val="0"/>
        <w:bidi w:val="0"/>
        <w:snapToGrid/>
        <w:spacing w:beforeLines="0" w:afterLines="0" w:line="579" w:lineRule="exact"/>
        <w:ind w:firstLine="640" w:firstLineChars="200"/>
        <w:jc w:val="both"/>
        <w:rPr>
          <w:rFonts w:hint="eastAsia" w:ascii="楷体_GB2312" w:hAnsi="楷体_GB2312" w:eastAsia="楷体_GB2312" w:cs="楷体_GB2312"/>
          <w:color w:val="auto"/>
          <w:kern w:val="0"/>
          <w:sz w:val="32"/>
          <w:szCs w:val="32"/>
          <w:lang w:bidi="zh-CN"/>
        </w:rPr>
      </w:pPr>
      <w:r>
        <w:rPr>
          <w:rFonts w:hint="eastAsia" w:ascii="楷体_GB2312" w:hAnsi="楷体_GB2312" w:eastAsia="楷体_GB2312" w:cs="楷体_GB2312"/>
          <w:color w:val="auto"/>
          <w:kern w:val="0"/>
          <w:sz w:val="32"/>
          <w:szCs w:val="32"/>
          <w:lang w:val="en-US" w:eastAsia="zh-CN" w:bidi="zh-CN"/>
        </w:rPr>
        <w:t>（三）</w:t>
      </w:r>
      <w:r>
        <w:rPr>
          <w:rFonts w:hint="eastAsia" w:ascii="楷体_GB2312" w:hAnsi="楷体_GB2312" w:eastAsia="楷体_GB2312" w:cs="楷体_GB2312"/>
          <w:color w:val="auto"/>
          <w:kern w:val="0"/>
          <w:sz w:val="32"/>
          <w:szCs w:val="32"/>
          <w:lang w:bidi="zh-CN"/>
        </w:rPr>
        <w:t>咨询投诉</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张永幸2605615        邓超2605675</w:t>
      </w:r>
    </w:p>
    <w:p>
      <w:pPr>
        <w:pStyle w:val="11"/>
        <w:keepNext w:val="0"/>
        <w:keepLines w:val="0"/>
        <w:pageBreakBefore w:val="0"/>
        <w:numPr>
          <w:ilvl w:val="0"/>
          <w:numId w:val="0"/>
        </w:numPr>
        <w:kinsoku/>
        <w:wordWrap/>
        <w:overflowPunct/>
        <w:topLinePunct w:val="0"/>
        <w:bidi w:val="0"/>
        <w:snapToGrid/>
        <w:spacing w:before="295" w:beforeLines="50" w:after="0" w:afterLines="0" w:line="579" w:lineRule="exact"/>
        <w:ind w:leftChars="0" w:firstLine="640" w:firstLineChars="200"/>
        <w:jc w:val="both"/>
        <w:rPr>
          <w:rFonts w:hint="eastAsia" w:ascii="楷体_GB2312" w:hAnsi="楷体_GB2312" w:eastAsia="楷体_GB2312" w:cs="楷体_GB2312"/>
          <w:color w:val="auto"/>
          <w:kern w:val="0"/>
          <w:sz w:val="32"/>
          <w:szCs w:val="32"/>
          <w:highlight w:val="none"/>
          <w:lang w:val="en-US" w:eastAsia="zh-CN" w:bidi="zh-CN"/>
        </w:rPr>
      </w:pPr>
      <w:r>
        <w:rPr>
          <w:rFonts w:hint="eastAsia" w:ascii="方正黑体_GBK" w:hAnsi="方正黑体_GBK" w:eastAsia="方正黑体_GBK" w:cs="方正黑体_GBK"/>
          <w:color w:val="auto"/>
          <w:sz w:val="32"/>
          <w:szCs w:val="32"/>
          <w:highlight w:val="none"/>
          <w:lang w:eastAsia="zh-CN"/>
        </w:rPr>
        <w:t>八、</w:t>
      </w:r>
      <w:r>
        <w:rPr>
          <w:rFonts w:hint="eastAsia" w:ascii="方正黑体_GBK" w:hAnsi="方正黑体_GBK" w:eastAsia="方正黑体_GBK" w:cs="方正黑体_GBK"/>
          <w:color w:val="auto"/>
          <w:sz w:val="32"/>
          <w:szCs w:val="32"/>
          <w:highlight w:val="none"/>
        </w:rPr>
        <w:t>特别说明</w:t>
      </w:r>
    </w:p>
    <w:p>
      <w:pPr>
        <w:pStyle w:val="44"/>
        <w:keepNext w:val="0"/>
        <w:keepLines w:val="0"/>
        <w:pageBreakBefore w:val="0"/>
        <w:widowControl w:val="0"/>
        <w:kinsoku/>
        <w:wordWrap/>
        <w:overflowPunct/>
        <w:topLinePunct w:val="0"/>
        <w:autoSpaceDE/>
        <w:autoSpaceDN/>
        <w:bidi w:val="0"/>
        <w:adjustRightInd/>
        <w:snapToGrid w:val="0"/>
        <w:spacing w:beforeLines="0" w:afterLines="0" w:line="579" w:lineRule="exact"/>
        <w:ind w:firstLine="640" w:firstLineChars="200"/>
        <w:jc w:val="both"/>
        <w:textAlignment w:val="auto"/>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一）申报项目须发生在2023年1月1日—2023年12月31日期间。其中，按实际投资金额核定申请资助的项目须在此期间投入运营。按实际投资金额核定申请资助的项目，投资金额不含土地使用成本、企业注册资本金、办公楼、宿舍、办公装修、招待等费用（不支持费用清单详见：附件5）。</w:t>
      </w:r>
    </w:p>
    <w:p>
      <w:pPr>
        <w:pStyle w:val="44"/>
        <w:keepNext w:val="0"/>
        <w:keepLines w:val="0"/>
        <w:pageBreakBefore w:val="0"/>
        <w:widowControl w:val="0"/>
        <w:kinsoku/>
        <w:wordWrap/>
        <w:overflowPunct/>
        <w:topLinePunct w:val="0"/>
        <w:autoSpaceDE/>
        <w:autoSpaceDN/>
        <w:bidi w:val="0"/>
        <w:adjustRightInd/>
        <w:snapToGrid w:val="0"/>
        <w:spacing w:beforeLines="0" w:afterLines="0" w:line="579" w:lineRule="exact"/>
        <w:ind w:firstLine="640" w:firstLineChars="200"/>
        <w:jc w:val="both"/>
        <w:textAlignment w:val="auto"/>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（二）项目核心内容相同、申报依据相同的视为同一项目。同一申报主体的同一项目符合多项条款支持的，由申报主体择一申报，不能叠加享受支持。</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（三）对同时符合市级同类型扶持资金申报要求的，由企业自行选择申报，不予重复资助。对获得“综合货运枢纽补链强链”中央资金奖励的项目，不予重复资助。获得扶持资金的涉税支出由企业或个人承担。</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（四）各有关单位收到专项资金后，应按照财务制度规定作相应的财务及会计处理，建立完善的项目和财务档案管理制度，自觉接受市商务局、市财政局和市审计局对专项资金使用情况的监督和检查。</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五）任何单位和个人不得挤占、截留、挪用或擅自改变专项资金用途。对违反财经纪律、出具虚假材料、凭证，骗取专项资金的单位，将收回财政资助资金、取消其以后5年的申请资格，并按照相关规定进行处理。触犯法律的移交司法机关，依法追究刑事责任。</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（六）本政策中资助标准与资助金额的货币单位为“人民币元”。</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r>
        <w:rPr>
          <w:rFonts w:hint="eastAsia" w:ascii="仿宋" w:hAnsi="仿宋" w:eastAsia="仿宋" w:cs="仿宋"/>
          <w:color w:val="auto"/>
          <w:kern w:val="0"/>
          <w:sz w:val="32"/>
          <w:szCs w:val="32"/>
          <w:highlight w:val="none"/>
          <w:u w:val="none"/>
          <w:shd w:val="clear" w:color="auto" w:fill="auto"/>
          <w:lang w:val="en-US" w:eastAsia="zh-CN" w:bidi="ar"/>
        </w:rPr>
        <w:t>本申报指南自印发之日起执行，由珠海市商务局负责解释。</w:t>
      </w:r>
    </w:p>
    <w:p>
      <w:pPr>
        <w:pStyle w:val="44"/>
        <w:spacing w:beforeLines="0" w:afterLines="0" w:line="579" w:lineRule="exact"/>
        <w:ind w:firstLine="640" w:firstLineChars="200"/>
        <w:jc w:val="both"/>
        <w:rPr>
          <w:rFonts w:hint="eastAsia" w:ascii="仿宋" w:hAnsi="仿宋" w:eastAsia="仿宋" w:cs="仿宋"/>
          <w:color w:val="auto"/>
          <w:kern w:val="0"/>
          <w:sz w:val="32"/>
          <w:szCs w:val="32"/>
          <w:highlight w:val="none"/>
          <w:u w:val="none"/>
          <w:shd w:val="clear" w:color="auto" w:fill="auto"/>
          <w:lang w:val="en-US" w:eastAsia="zh-CN" w:bidi="ar"/>
        </w:rPr>
      </w:pPr>
    </w:p>
    <w:p>
      <w:pPr>
        <w:spacing w:beforeLines="0" w:afterLines="0" w:line="579" w:lineRule="exact"/>
        <w:ind w:firstLine="640" w:firstLineChars="200"/>
        <w:jc w:val="both"/>
        <w:outlineLvl w:val="0"/>
        <w:rPr>
          <w:rFonts w:hint="eastAsia" w:ascii="仿宋" w:hAnsi="仿宋" w:eastAsia="仿宋" w:cs="仿宋"/>
          <w:color w:val="auto"/>
          <w:kern w:val="0"/>
          <w:sz w:val="32"/>
          <w:szCs w:val="32"/>
          <w:highlight w:val="none"/>
        </w:rPr>
      </w:pPr>
      <w:r>
        <w:rPr>
          <w:rFonts w:hint="eastAsia" w:ascii="仿宋" w:hAnsi="仿宋" w:eastAsia="仿宋" w:cs="仿宋"/>
          <w:color w:val="auto"/>
          <w:sz w:val="32"/>
          <w:szCs w:val="32"/>
          <w:highlight w:val="none"/>
        </w:rPr>
        <w:t>附件：</w:t>
      </w:r>
      <w:r>
        <w:rPr>
          <w:rFonts w:hint="eastAsia" w:ascii="仿宋" w:hAnsi="仿宋" w:eastAsia="仿宋" w:cs="仿宋"/>
          <w:color w:val="auto"/>
          <w:kern w:val="0"/>
          <w:sz w:val="32"/>
          <w:szCs w:val="32"/>
          <w:highlight w:val="none"/>
        </w:rPr>
        <w:t>1</w:t>
      </w:r>
      <w:r>
        <w:rPr>
          <w:rFonts w:hint="eastAsia" w:ascii="仿宋" w:hAnsi="仿宋" w:eastAsia="仿宋" w:cs="仿宋"/>
          <w:color w:val="auto"/>
          <w:kern w:val="0"/>
          <w:sz w:val="32"/>
          <w:szCs w:val="32"/>
          <w:highlight w:val="none"/>
          <w:lang w:val="en-US" w:eastAsia="zh-CN"/>
        </w:rPr>
        <w:t>.</w:t>
      </w:r>
      <w:r>
        <w:rPr>
          <w:rFonts w:hint="eastAsia" w:ascii="仿宋" w:hAnsi="仿宋" w:eastAsia="仿宋" w:cs="仿宋"/>
          <w:color w:val="auto"/>
          <w:kern w:val="0"/>
          <w:sz w:val="32"/>
          <w:szCs w:val="32"/>
          <w:highlight w:val="none"/>
          <w:lang w:val="en"/>
        </w:rPr>
        <w:t>推荐函</w:t>
      </w:r>
    </w:p>
    <w:p>
      <w:pPr>
        <w:spacing w:beforeLines="0" w:afterLines="0" w:line="579" w:lineRule="exact"/>
        <w:ind w:left="0" w:leftChars="0" w:firstLine="1600" w:firstLineChars="500"/>
        <w:jc w:val="both"/>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w:t>
      </w:r>
      <w:r>
        <w:rPr>
          <w:rFonts w:hint="eastAsia" w:ascii="仿宋" w:hAnsi="仿宋" w:eastAsia="仿宋" w:cs="仿宋"/>
          <w:color w:val="auto"/>
          <w:kern w:val="0"/>
          <w:sz w:val="32"/>
          <w:szCs w:val="32"/>
          <w:highlight w:val="none"/>
          <w:lang w:val="en-US" w:eastAsia="zh-CN"/>
        </w:rPr>
        <w:t>.</w:t>
      </w:r>
      <w:r>
        <w:rPr>
          <w:rFonts w:hint="eastAsia" w:ascii="仿宋" w:hAnsi="仿宋" w:eastAsia="仿宋" w:cs="仿宋"/>
          <w:color w:val="auto"/>
          <w:kern w:val="0"/>
          <w:sz w:val="32"/>
          <w:szCs w:val="32"/>
          <w:highlight w:val="none"/>
          <w:lang w:eastAsia="zh-CN"/>
        </w:rPr>
        <w:t>申报书</w:t>
      </w:r>
    </w:p>
    <w:p>
      <w:pPr>
        <w:snapToGrid/>
        <w:spacing w:beforeLines="0" w:afterLines="0" w:line="579" w:lineRule="exact"/>
        <w:ind w:right="0" w:rightChars="0" w:firstLine="1600" w:firstLineChars="500"/>
        <w:jc w:val="both"/>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3</w:t>
      </w:r>
      <w:r>
        <w:rPr>
          <w:rFonts w:hint="eastAsia" w:ascii="仿宋" w:hAnsi="仿宋" w:eastAsia="仿宋" w:cs="仿宋"/>
          <w:color w:val="auto"/>
          <w:kern w:val="0"/>
          <w:sz w:val="32"/>
          <w:szCs w:val="32"/>
          <w:highlight w:val="none"/>
          <w:lang w:val="en-US" w:eastAsia="zh-CN"/>
        </w:rPr>
        <w:t>.</w:t>
      </w:r>
      <w:r>
        <w:rPr>
          <w:rFonts w:hint="eastAsia" w:ascii="仿宋" w:hAnsi="仿宋" w:eastAsia="仿宋" w:cs="仿宋"/>
          <w:color w:val="auto"/>
          <w:kern w:val="0"/>
          <w:sz w:val="32"/>
          <w:szCs w:val="32"/>
          <w:highlight w:val="none"/>
          <w:lang w:eastAsia="zh-CN"/>
        </w:rPr>
        <w:t>开展物流业务的相关经营资质</w:t>
      </w:r>
    </w:p>
    <w:p>
      <w:pPr>
        <w:spacing w:beforeLines="0" w:afterLines="0" w:line="579" w:lineRule="exact"/>
        <w:ind w:left="0" w:leftChars="0" w:firstLine="1600" w:firstLineChars="500"/>
        <w:jc w:val="both"/>
        <w:rPr>
          <w:rFonts w:hint="eastAsia" w:ascii="仿宋" w:hAnsi="仿宋" w:eastAsia="仿宋" w:cs="仿宋"/>
          <w:color w:val="auto"/>
          <w:kern w:val="0"/>
          <w:sz w:val="32"/>
          <w:szCs w:val="32"/>
          <w:highlight w:val="none"/>
          <w:lang w:val="en"/>
        </w:rPr>
      </w:pPr>
      <w:r>
        <w:rPr>
          <w:rFonts w:hint="eastAsia" w:ascii="仿宋" w:hAnsi="仿宋" w:eastAsia="仿宋" w:cs="仿宋"/>
          <w:color w:val="auto"/>
          <w:kern w:val="0"/>
          <w:sz w:val="32"/>
          <w:szCs w:val="32"/>
          <w:highlight w:val="none"/>
          <w:lang w:val="en-US" w:eastAsia="zh-CN"/>
        </w:rPr>
        <w:t>4.</w:t>
      </w:r>
      <w:r>
        <w:rPr>
          <w:rFonts w:hint="eastAsia" w:ascii="仿宋" w:hAnsi="仿宋" w:eastAsia="仿宋" w:cs="仿宋"/>
          <w:color w:val="auto"/>
          <w:kern w:val="0"/>
          <w:sz w:val="32"/>
          <w:szCs w:val="32"/>
          <w:highlight w:val="none"/>
        </w:rPr>
        <w:t>各区申报受理机构及联系方式</w:t>
      </w:r>
    </w:p>
    <w:p>
      <w:pPr>
        <w:spacing w:beforeLines="0" w:afterLines="0" w:line="579" w:lineRule="exact"/>
        <w:ind w:left="0" w:leftChars="0" w:firstLine="1600" w:firstLineChars="500"/>
        <w:jc w:val="both"/>
        <w:outlineLvl w:val="0"/>
        <w:rPr>
          <w:rFonts w:hint="eastAsia" w:ascii="仿宋" w:hAnsi="仿宋" w:eastAsia="仿宋" w:cs="仿宋"/>
          <w:strike w:val="0"/>
          <w:dstrike w:val="0"/>
          <w:color w:val="auto"/>
          <w:kern w:val="0"/>
          <w:sz w:val="32"/>
          <w:szCs w:val="32"/>
          <w:highlight w:val="none"/>
        </w:rPr>
      </w:pPr>
      <w:r>
        <w:rPr>
          <w:rFonts w:hint="eastAsia" w:ascii="仿宋" w:hAnsi="仿宋" w:eastAsia="仿宋" w:cs="仿宋"/>
          <w:color w:val="auto"/>
          <w:kern w:val="0"/>
          <w:sz w:val="32"/>
          <w:szCs w:val="32"/>
          <w:highlight w:val="none"/>
          <w:lang w:val="en-US" w:eastAsia="zh-CN"/>
        </w:rPr>
        <w:t>5.</w:t>
      </w:r>
      <w:r>
        <w:rPr>
          <w:rFonts w:hint="eastAsia" w:ascii="仿宋" w:hAnsi="仿宋" w:eastAsia="仿宋" w:cs="仿宋"/>
          <w:color w:val="auto"/>
          <w:kern w:val="0"/>
          <w:sz w:val="32"/>
          <w:szCs w:val="32"/>
          <w:highlight w:val="none"/>
        </w:rPr>
        <w:t>不支持费用清单</w:t>
      </w:r>
    </w:p>
    <w:p>
      <w:pPr>
        <w:keepNext w:val="0"/>
        <w:keepLines w:val="0"/>
        <w:pageBreakBefore w:val="0"/>
        <w:widowControl w:val="0"/>
        <w:kinsoku/>
        <w:wordWrap/>
        <w:overflowPunct/>
        <w:topLinePunct w:val="0"/>
        <w:autoSpaceDE/>
        <w:autoSpaceDN/>
        <w:bidi w:val="0"/>
        <w:adjustRightInd/>
        <w:snapToGrid/>
        <w:spacing w:before="0" w:beforeLines="0" w:afterLines="0" w:line="579" w:lineRule="exact"/>
        <w:ind w:left="3196" w:leftChars="760" w:hanging="1600" w:hangingChars="500"/>
        <w:jc w:val="both"/>
        <w:textAlignment w:val="auto"/>
        <w:outlineLvl w:val="0"/>
        <w:rPr>
          <w:rFonts w:hint="eastAsia" w:ascii="仿宋" w:hAnsi="仿宋" w:eastAsia="仿宋" w:cs="仿宋"/>
          <w:b w:val="0"/>
          <w:bCs w:val="0"/>
          <w:i w:val="0"/>
          <w:iCs w:val="0"/>
          <w:color w:val="auto"/>
          <w:spacing w:val="0"/>
          <w:kern w:val="0"/>
          <w:sz w:val="32"/>
          <w:szCs w:val="32"/>
          <w:highlight w:val="none"/>
          <w:u w:val="none"/>
          <w:lang w:val="en-US" w:eastAsia="zh-CN"/>
        </w:rPr>
      </w:pPr>
      <w:r>
        <w:rPr>
          <w:rFonts w:hint="eastAsia" w:ascii="仿宋" w:hAnsi="仿宋" w:eastAsia="仿宋" w:cs="仿宋"/>
          <w:color w:val="auto"/>
          <w:kern w:val="0"/>
          <w:sz w:val="32"/>
          <w:szCs w:val="32"/>
          <w:highlight w:val="none"/>
          <w:lang w:val="en-US" w:eastAsia="zh-CN"/>
        </w:rPr>
        <w:t>6.</w:t>
      </w:r>
      <w:r>
        <w:rPr>
          <w:rFonts w:hint="eastAsia" w:ascii="仿宋" w:hAnsi="仿宋" w:eastAsia="仿宋" w:cs="仿宋"/>
          <w:b w:val="0"/>
          <w:bCs w:val="0"/>
          <w:i w:val="0"/>
          <w:iCs w:val="0"/>
          <w:color w:val="auto"/>
          <w:spacing w:val="0"/>
          <w:kern w:val="0"/>
          <w:sz w:val="32"/>
          <w:szCs w:val="32"/>
          <w:highlight w:val="none"/>
          <w:u w:val="none"/>
          <w:lang w:val="en-US" w:eastAsia="zh-CN"/>
        </w:rPr>
        <w:t>珠海市财政惠企利民服务平台（</w:t>
      </w:r>
      <w:r>
        <w:rPr>
          <w:rFonts w:hint="eastAsia" w:ascii="仿宋" w:hAnsi="仿宋" w:eastAsia="仿宋" w:cs="仿宋"/>
          <w:color w:val="auto"/>
          <w:kern w:val="0"/>
          <w:sz w:val="32"/>
          <w:szCs w:val="32"/>
          <w:highlight w:val="none"/>
          <w:u w:val="none"/>
        </w:rPr>
        <w:t>企业</w:t>
      </w:r>
      <w:r>
        <w:rPr>
          <w:rFonts w:hint="eastAsia" w:ascii="仿宋" w:hAnsi="仿宋" w:eastAsia="仿宋" w:cs="仿宋"/>
          <w:color w:val="auto"/>
          <w:kern w:val="0"/>
          <w:sz w:val="32"/>
          <w:szCs w:val="32"/>
          <w:highlight w:val="none"/>
          <w:u w:val="none"/>
          <w:lang w:val="en-US" w:eastAsia="zh-CN"/>
        </w:rPr>
        <w:t>/</w:t>
      </w:r>
      <w:r>
        <w:rPr>
          <w:rFonts w:hint="eastAsia" w:ascii="仿宋" w:hAnsi="仿宋" w:eastAsia="仿宋" w:cs="仿宋"/>
          <w:color w:val="auto"/>
          <w:kern w:val="0"/>
          <w:sz w:val="32"/>
          <w:szCs w:val="32"/>
          <w:highlight w:val="none"/>
          <w:u w:val="none"/>
        </w:rPr>
        <w:t>个人</w:t>
      </w:r>
      <w:r>
        <w:rPr>
          <w:rFonts w:hint="eastAsia" w:ascii="仿宋" w:hAnsi="仿宋" w:eastAsia="仿宋" w:cs="仿宋"/>
          <w:b w:val="0"/>
          <w:bCs w:val="0"/>
          <w:i w:val="0"/>
          <w:iCs w:val="0"/>
          <w:color w:val="auto"/>
          <w:spacing w:val="0"/>
          <w:kern w:val="0"/>
          <w:sz w:val="32"/>
          <w:szCs w:val="32"/>
          <w:highlight w:val="none"/>
          <w:u w:val="none"/>
          <w:lang w:val="en-US" w:eastAsia="zh-CN"/>
        </w:rPr>
        <w:t>）操作</w:t>
      </w:r>
    </w:p>
    <w:p>
      <w:pPr>
        <w:keepNext w:val="0"/>
        <w:keepLines w:val="0"/>
        <w:pageBreakBefore w:val="0"/>
        <w:widowControl w:val="0"/>
        <w:kinsoku/>
        <w:wordWrap/>
        <w:overflowPunct/>
        <w:topLinePunct w:val="0"/>
        <w:autoSpaceDE/>
        <w:autoSpaceDN/>
        <w:bidi w:val="0"/>
        <w:adjustRightInd/>
        <w:snapToGrid/>
        <w:spacing w:before="0" w:beforeLines="0" w:afterLines="0" w:line="579" w:lineRule="exact"/>
        <w:ind w:left="0" w:leftChars="0" w:firstLine="1840" w:firstLineChars="575"/>
        <w:jc w:val="both"/>
        <w:textAlignment w:val="auto"/>
        <w:outlineLvl w:val="0"/>
        <w:rPr>
          <w:rFonts w:hint="eastAsia" w:ascii="仿宋" w:hAnsi="仿宋" w:eastAsia="仿宋" w:cs="仿宋"/>
          <w:color w:val="auto"/>
          <w:kern w:val="0"/>
          <w:sz w:val="32"/>
          <w:szCs w:val="32"/>
          <w:highlight w:val="none"/>
        </w:rPr>
      </w:pPr>
      <w:r>
        <w:rPr>
          <w:rFonts w:hint="eastAsia" w:ascii="仿宋" w:hAnsi="仿宋" w:eastAsia="仿宋" w:cs="仿宋"/>
          <w:b w:val="0"/>
          <w:bCs w:val="0"/>
          <w:i w:val="0"/>
          <w:iCs w:val="0"/>
          <w:color w:val="auto"/>
          <w:spacing w:val="0"/>
          <w:kern w:val="0"/>
          <w:sz w:val="32"/>
          <w:szCs w:val="32"/>
          <w:highlight w:val="none"/>
          <w:u w:val="none"/>
          <w:lang w:val="en-US" w:eastAsia="zh-CN"/>
        </w:rPr>
        <w:t>指引</w:t>
      </w:r>
    </w:p>
    <w:p>
      <w:pPr>
        <w:spacing w:beforeLines="0" w:afterLines="0" w:line="579" w:lineRule="exact"/>
        <w:ind w:left="0" w:leftChars="0" w:firstLine="1600" w:firstLineChars="500"/>
        <w:jc w:val="both"/>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7.</w:t>
      </w:r>
      <w:r>
        <w:rPr>
          <w:rFonts w:hint="eastAsia" w:ascii="仿宋" w:hAnsi="仿宋" w:eastAsia="仿宋" w:cs="仿宋"/>
          <w:color w:val="auto"/>
          <w:kern w:val="0"/>
          <w:sz w:val="32"/>
          <w:szCs w:val="32"/>
          <w:highlight w:val="none"/>
        </w:rPr>
        <w:t>港珠澳大桥货运物流业务申报操作指</w:t>
      </w:r>
      <w:r>
        <w:rPr>
          <w:rFonts w:hint="eastAsia" w:ascii="仿宋" w:hAnsi="仿宋" w:eastAsia="仿宋" w:cs="仿宋"/>
          <w:color w:val="auto"/>
          <w:kern w:val="0"/>
          <w:sz w:val="32"/>
          <w:szCs w:val="32"/>
          <w:highlight w:val="none"/>
          <w:lang w:eastAsia="zh-CN"/>
        </w:rPr>
        <w:t>引</w:t>
      </w:r>
    </w:p>
    <w:p>
      <w:pPr>
        <w:spacing w:beforeLines="0" w:afterLines="0" w:line="579" w:lineRule="exact"/>
        <w:ind w:left="0" w:leftChars="0" w:firstLine="1600" w:firstLineChars="500"/>
        <w:jc w:val="both"/>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8.园区布局示意图</w:t>
      </w:r>
    </w:p>
    <w:p>
      <w:pPr>
        <w:spacing w:beforeLines="0" w:afterLines="0" w:line="579" w:lineRule="exact"/>
        <w:ind w:firstLine="0" w:firstLineChars="0"/>
        <w:jc w:val="both"/>
        <w:rPr>
          <w:rFonts w:hint="eastAsia" w:ascii="黑体" w:hAnsi="黑体" w:eastAsia="黑体" w:cs="黑体"/>
          <w:color w:val="auto"/>
          <w:kern w:val="0"/>
          <w:sz w:val="32"/>
          <w:szCs w:val="32"/>
          <w:highlight w:val="none"/>
          <w:lang w:val="en-US" w:eastAsia="zh-CN"/>
        </w:rPr>
      </w:pPr>
      <w:r>
        <w:rPr>
          <w:rFonts w:hint="eastAsia" w:ascii="仿宋" w:hAnsi="仿宋" w:eastAsia="仿宋" w:cs="仿宋"/>
          <w:color w:val="auto"/>
          <w:kern w:val="0"/>
          <w:sz w:val="32"/>
          <w:szCs w:val="32"/>
          <w:highlight w:val="none"/>
        </w:rPr>
        <w:br w:type="page"/>
      </w:r>
      <w:r>
        <w:rPr>
          <w:rFonts w:hint="eastAsia" w:ascii="黑体" w:hAnsi="黑体" w:eastAsia="黑体" w:cs="黑体"/>
          <w:color w:val="auto"/>
          <w:kern w:val="0"/>
          <w:sz w:val="32"/>
          <w:szCs w:val="32"/>
          <w:highlight w:val="none"/>
        </w:rPr>
        <w:t>附件</w:t>
      </w:r>
      <w:r>
        <w:rPr>
          <w:rFonts w:hint="eastAsia" w:ascii="黑体" w:hAnsi="黑体" w:eastAsia="黑体" w:cs="黑体"/>
          <w:color w:val="auto"/>
          <w:kern w:val="0"/>
          <w:sz w:val="32"/>
          <w:szCs w:val="32"/>
          <w:highlight w:val="none"/>
          <w:lang w:val="en-US" w:eastAsia="zh-CN"/>
        </w:rPr>
        <w:t>1-1</w:t>
      </w:r>
    </w:p>
    <w:p>
      <w:pPr>
        <w:spacing w:beforeLines="0" w:afterLines="0" w:line="579" w:lineRule="exact"/>
        <w:ind w:firstLine="0" w:firstLineChars="0"/>
        <w:jc w:val="left"/>
        <w:rPr>
          <w:rFonts w:hint="default" w:ascii="黑体" w:hAnsi="黑体" w:eastAsia="黑体" w:cs="黑体"/>
          <w:color w:val="auto"/>
          <w:kern w:val="0"/>
          <w:sz w:val="32"/>
          <w:szCs w:val="32"/>
          <w:highlight w:val="none"/>
          <w:lang w:val="en-US" w:eastAsia="zh-CN"/>
        </w:rPr>
      </w:pPr>
    </w:p>
    <w:p>
      <w:pPr>
        <w:spacing w:beforeLines="0" w:afterLines="0" w:line="579" w:lineRule="exact"/>
        <w:jc w:val="center"/>
        <w:rPr>
          <w:rFonts w:hint="eastAsia" w:ascii="方正小标宋简体" w:hAnsi="华文仿宋" w:eastAsia="方正小标宋简体"/>
          <w:color w:val="auto"/>
          <w:sz w:val="44"/>
          <w:szCs w:val="44"/>
          <w:highlight w:val="none"/>
        </w:rPr>
      </w:pPr>
      <w:r>
        <w:rPr>
          <w:rFonts w:hint="eastAsia" w:ascii="方正小标宋简体" w:hAnsi="华文仿宋" w:eastAsia="方正小标宋简体"/>
          <w:color w:val="auto"/>
          <w:sz w:val="44"/>
          <w:szCs w:val="44"/>
          <w:highlight w:val="none"/>
        </w:rPr>
        <w:t>推荐函</w:t>
      </w:r>
    </w:p>
    <w:p>
      <w:pPr>
        <w:spacing w:beforeLines="0" w:afterLines="0" w:line="579" w:lineRule="exact"/>
        <w:jc w:val="both"/>
        <w:rPr>
          <w:rFonts w:hint="eastAsia" w:ascii="仿宋" w:hAnsi="仿宋" w:eastAsia="仿宋" w:cs="仿宋"/>
          <w:color w:val="auto"/>
          <w:sz w:val="32"/>
          <w:szCs w:val="32"/>
          <w:highlight w:val="none"/>
        </w:rPr>
      </w:pPr>
    </w:p>
    <w:p>
      <w:pPr>
        <w:spacing w:beforeLines="0" w:afterLines="0" w:line="579" w:lineRule="exact"/>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市商务局：</w:t>
      </w:r>
    </w:p>
    <w:p>
      <w:pPr>
        <w:spacing w:beforeLines="0" w:afterLines="0" w:line="579" w:lineRule="exact"/>
        <w:ind w:firstLine="640" w:firstLineChars="200"/>
        <w:jc w:val="both"/>
        <w:outlineLvl w:val="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根据</w:t>
      </w:r>
      <w:r>
        <w:rPr>
          <w:rFonts w:hint="eastAsia" w:ascii="仿宋" w:hAnsi="仿宋" w:eastAsia="仿宋" w:cs="仿宋"/>
          <w:color w:val="auto"/>
          <w:sz w:val="32"/>
          <w:szCs w:val="32"/>
          <w:highlight w:val="none"/>
          <w:u w:val="none"/>
        </w:rPr>
        <w:t>《关于印发珠海市内外经贸发展专项资金</w:t>
      </w:r>
      <w:r>
        <w:rPr>
          <w:rFonts w:hint="eastAsia" w:ascii="仿宋" w:hAnsi="仿宋" w:eastAsia="仿宋" w:cs="仿宋"/>
          <w:bCs w:val="0"/>
          <w:color w:val="auto"/>
          <w:sz w:val="32"/>
          <w:szCs w:val="32"/>
          <w:highlight w:val="none"/>
        </w:rPr>
        <w:t>（</w:t>
      </w:r>
      <w:r>
        <w:rPr>
          <w:rFonts w:hint="eastAsia" w:ascii="仿宋" w:hAnsi="仿宋" w:eastAsia="仿宋" w:cs="仿宋"/>
          <w:color w:val="auto"/>
          <w:sz w:val="32"/>
          <w:szCs w:val="32"/>
          <w:highlight w:val="none"/>
        </w:rPr>
        <w:t>加快港珠澳大桥经贸新通道建设促进现代物流业高质量发展</w:t>
      </w:r>
      <w:r>
        <w:rPr>
          <w:rFonts w:hint="eastAsia" w:ascii="仿宋" w:hAnsi="仿宋" w:eastAsia="仿宋" w:cs="仿宋"/>
          <w:bCs w:val="0"/>
          <w:color w:val="auto"/>
          <w:sz w:val="32"/>
          <w:szCs w:val="32"/>
          <w:highlight w:val="none"/>
        </w:rPr>
        <w:t>事项）</w:t>
      </w:r>
      <w:r>
        <w:rPr>
          <w:rFonts w:hint="eastAsia" w:ascii="仿宋" w:hAnsi="仿宋" w:eastAsia="仿宋" w:cs="仿宋"/>
          <w:color w:val="auto"/>
          <w:sz w:val="32"/>
          <w:szCs w:val="32"/>
          <w:highlight w:val="none"/>
          <w:u w:val="none"/>
        </w:rPr>
        <w:t>申报指南》通知的</w:t>
      </w:r>
      <w:r>
        <w:rPr>
          <w:rFonts w:hint="eastAsia" w:ascii="仿宋" w:hAnsi="仿宋" w:eastAsia="仿宋" w:cs="仿宋"/>
          <w:color w:val="auto"/>
          <w:sz w:val="32"/>
          <w:szCs w:val="32"/>
          <w:highlight w:val="none"/>
        </w:rPr>
        <w:t>有关要求，我局对辖区有关申报项目进行</w:t>
      </w:r>
      <w:r>
        <w:rPr>
          <w:rFonts w:hint="eastAsia" w:ascii="仿宋" w:hAnsi="仿宋" w:eastAsia="仿宋" w:cs="仿宋"/>
          <w:color w:val="auto"/>
          <w:sz w:val="32"/>
          <w:szCs w:val="32"/>
          <w:highlight w:val="none"/>
          <w:lang w:eastAsia="zh-CN"/>
        </w:rPr>
        <w:t>了</w:t>
      </w:r>
      <w:r>
        <w:rPr>
          <w:rFonts w:hint="eastAsia" w:ascii="仿宋" w:hAnsi="仿宋" w:eastAsia="仿宋" w:cs="仿宋"/>
          <w:color w:val="auto"/>
          <w:sz w:val="32"/>
          <w:szCs w:val="32"/>
          <w:highlight w:val="none"/>
        </w:rPr>
        <w:t>初审，现推荐XXX等共X个项目作为我市202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年物流发展支持项目，合计申请资助总金额XX</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XX</w:t>
      </w:r>
      <w:r>
        <w:rPr>
          <w:rFonts w:hint="eastAsia" w:ascii="仿宋" w:hAnsi="仿宋" w:eastAsia="仿宋" w:cs="仿宋"/>
          <w:color w:val="auto"/>
          <w:sz w:val="32"/>
          <w:szCs w:val="32"/>
          <w:highlight w:val="none"/>
          <w:lang w:val="en-US" w:eastAsia="zh-CN"/>
        </w:rPr>
        <w:t>XXXX</w:t>
      </w:r>
      <w:r>
        <w:rPr>
          <w:rFonts w:hint="eastAsia" w:ascii="仿宋" w:hAnsi="仿宋" w:eastAsia="仿宋" w:cs="仿宋"/>
          <w:color w:val="auto"/>
          <w:sz w:val="32"/>
          <w:szCs w:val="32"/>
          <w:highlight w:val="none"/>
          <w:lang w:eastAsia="zh-CN"/>
        </w:rPr>
        <w:t>万</w:t>
      </w:r>
      <w:r>
        <w:rPr>
          <w:rFonts w:hint="eastAsia" w:ascii="仿宋" w:hAnsi="仿宋" w:eastAsia="仿宋" w:cs="仿宋"/>
          <w:color w:val="auto"/>
          <w:sz w:val="32"/>
          <w:szCs w:val="32"/>
          <w:highlight w:val="none"/>
        </w:rPr>
        <w:t>元。</w:t>
      </w:r>
    </w:p>
    <w:p>
      <w:pPr>
        <w:spacing w:beforeLines="0" w:afterLines="0" w:line="579" w:lineRule="exact"/>
        <w:ind w:firstLine="640" w:firstLineChars="200"/>
        <w:jc w:val="both"/>
        <w:outlineLvl w:val="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专此致函。</w:t>
      </w:r>
    </w:p>
    <w:p>
      <w:pPr>
        <w:spacing w:beforeLines="0" w:afterLines="0" w:line="579" w:lineRule="exact"/>
        <w:ind w:left="960" w:leftChars="0" w:hanging="960" w:hangingChars="300"/>
        <w:jc w:val="both"/>
        <w:rPr>
          <w:rFonts w:hint="eastAsia" w:ascii="仿宋" w:hAnsi="仿宋" w:eastAsia="仿宋" w:cs="仿宋"/>
          <w:color w:val="auto"/>
          <w:kern w:val="0"/>
          <w:sz w:val="32"/>
          <w:szCs w:val="32"/>
          <w:highlight w:val="none"/>
          <w:lang w:val="zh-CN"/>
        </w:rPr>
      </w:pPr>
    </w:p>
    <w:p>
      <w:pPr>
        <w:spacing w:beforeLines="0" w:afterLines="0" w:line="579" w:lineRule="exact"/>
        <w:ind w:left="319" w:leftChars="152" w:firstLine="320" w:firstLineChars="100"/>
        <w:jc w:val="both"/>
        <w:rPr>
          <w:rFonts w:hint="eastAsia" w:ascii="仿宋" w:hAnsi="仿宋" w:eastAsia="仿宋" w:cs="仿宋"/>
          <w:color w:val="auto"/>
          <w:kern w:val="0"/>
          <w:sz w:val="32"/>
          <w:szCs w:val="32"/>
          <w:highlight w:val="none"/>
          <w:lang w:val="zh-CN"/>
        </w:rPr>
      </w:pPr>
      <w:r>
        <w:rPr>
          <w:rFonts w:hint="eastAsia" w:ascii="仿宋" w:hAnsi="仿宋" w:eastAsia="仿宋" w:cs="仿宋"/>
          <w:color w:val="auto"/>
          <w:kern w:val="0"/>
          <w:sz w:val="32"/>
          <w:szCs w:val="32"/>
          <w:highlight w:val="none"/>
          <w:lang w:val="zh-CN"/>
        </w:rPr>
        <w:t>附件：</w:t>
      </w:r>
      <w:r>
        <w:rPr>
          <w:rFonts w:hint="eastAsia" w:ascii="仿宋" w:hAnsi="仿宋" w:eastAsia="仿宋" w:cs="仿宋"/>
          <w:color w:val="auto"/>
          <w:kern w:val="0"/>
          <w:sz w:val="32"/>
          <w:szCs w:val="32"/>
          <w:highlight w:val="none"/>
        </w:rPr>
        <w:t>资助项目汇总表</w:t>
      </w:r>
    </w:p>
    <w:p>
      <w:pPr>
        <w:spacing w:beforeLines="0" w:afterLines="0" w:line="579" w:lineRule="exact"/>
        <w:jc w:val="both"/>
        <w:rPr>
          <w:rFonts w:hint="eastAsia" w:ascii="仿宋" w:hAnsi="仿宋" w:eastAsia="仿宋" w:cs="仿宋"/>
          <w:color w:val="auto"/>
          <w:kern w:val="0"/>
          <w:sz w:val="32"/>
          <w:szCs w:val="32"/>
          <w:highlight w:val="none"/>
          <w:lang w:val="zh-CN"/>
        </w:rPr>
      </w:pPr>
    </w:p>
    <w:p>
      <w:pPr>
        <w:wordWrap/>
        <w:spacing w:beforeLines="0" w:afterLines="0" w:line="579" w:lineRule="exact"/>
        <w:jc w:val="both"/>
        <w:rPr>
          <w:rFonts w:hint="eastAsia" w:ascii="仿宋" w:hAnsi="仿宋" w:eastAsia="仿宋" w:cs="仿宋"/>
          <w:color w:val="auto"/>
          <w:kern w:val="2"/>
          <w:sz w:val="32"/>
          <w:szCs w:val="32"/>
          <w:highlight w:val="none"/>
          <w:lang w:val="en-US" w:eastAsia="zh-CN"/>
        </w:rPr>
      </w:pPr>
    </w:p>
    <w:p>
      <w:pPr>
        <w:wordWrap/>
        <w:spacing w:beforeLines="0" w:afterLines="0" w:line="579" w:lineRule="exact"/>
        <w:ind w:firstLine="4800" w:firstLineChars="1500"/>
        <w:jc w:val="both"/>
        <w:rPr>
          <w:rFonts w:hint="eastAsia" w:ascii="仿宋" w:hAnsi="仿宋" w:eastAsia="仿宋" w:cs="仿宋"/>
          <w:color w:val="auto"/>
          <w:kern w:val="0"/>
          <w:sz w:val="32"/>
          <w:szCs w:val="32"/>
          <w:highlight w:val="none"/>
          <w:lang w:val="zh-CN"/>
        </w:rPr>
      </w:pPr>
      <w:r>
        <w:rPr>
          <w:rFonts w:hint="eastAsia" w:ascii="仿宋" w:hAnsi="仿宋" w:eastAsia="仿宋" w:cs="仿宋"/>
          <w:color w:val="auto"/>
          <w:kern w:val="2"/>
          <w:sz w:val="32"/>
          <w:szCs w:val="32"/>
          <w:highlight w:val="none"/>
          <w:lang w:val="zh-CN"/>
        </w:rPr>
        <w:t>（</w:t>
      </w:r>
      <w:r>
        <w:rPr>
          <w:rFonts w:hint="eastAsia" w:ascii="仿宋" w:hAnsi="仿宋" w:eastAsia="仿宋" w:cs="仿宋"/>
          <w:b w:val="0"/>
          <w:bCs w:val="0"/>
          <w:color w:val="auto"/>
          <w:kern w:val="2"/>
          <w:sz w:val="32"/>
          <w:szCs w:val="32"/>
          <w:highlight w:val="none"/>
        </w:rPr>
        <w:t>辖区商务主管部门</w:t>
      </w:r>
      <w:r>
        <w:rPr>
          <w:rFonts w:hint="eastAsia" w:ascii="仿宋" w:hAnsi="仿宋" w:eastAsia="仿宋" w:cs="仿宋"/>
          <w:color w:val="auto"/>
          <w:kern w:val="2"/>
          <w:sz w:val="32"/>
          <w:szCs w:val="32"/>
          <w:highlight w:val="none"/>
          <w:lang w:val="zh-CN"/>
        </w:rPr>
        <w:t>盖章）　　</w:t>
      </w:r>
      <w:r>
        <w:rPr>
          <w:rFonts w:hint="eastAsia" w:ascii="仿宋" w:hAnsi="仿宋" w:eastAsia="仿宋" w:cs="仿宋"/>
          <w:color w:val="auto"/>
          <w:kern w:val="0"/>
          <w:sz w:val="32"/>
          <w:szCs w:val="32"/>
          <w:highlight w:val="none"/>
          <w:lang w:val="zh-CN"/>
        </w:rPr>
        <w:t>　　　</w:t>
      </w:r>
    </w:p>
    <w:p>
      <w:pPr>
        <w:wordWrap/>
        <w:spacing w:beforeLines="0" w:afterLines="0" w:line="579" w:lineRule="exact"/>
        <w:ind w:firstLine="6080" w:firstLineChars="1900"/>
        <w:jc w:val="both"/>
        <w:rPr>
          <w:rFonts w:hint="eastAsia" w:ascii="仿宋" w:hAnsi="仿宋" w:eastAsia="仿宋" w:cs="仿宋"/>
          <w:color w:val="auto"/>
          <w:kern w:val="0"/>
          <w:sz w:val="32"/>
          <w:szCs w:val="32"/>
          <w:highlight w:val="none"/>
          <w:lang w:val="zh-CN"/>
        </w:rPr>
      </w:pPr>
      <w:r>
        <w:rPr>
          <w:rFonts w:hint="eastAsia" w:ascii="仿宋" w:hAnsi="仿宋" w:eastAsia="仿宋" w:cs="仿宋"/>
          <w:color w:val="auto"/>
          <w:kern w:val="0"/>
          <w:sz w:val="32"/>
          <w:szCs w:val="32"/>
          <w:highlight w:val="none"/>
          <w:lang w:val="zh-CN"/>
        </w:rPr>
        <w:t>年　月　日　　　　</w:t>
      </w:r>
    </w:p>
    <w:p>
      <w:pPr>
        <w:spacing w:beforeLines="0" w:afterLines="0" w:line="240" w:lineRule="auto"/>
        <w:ind w:left="0"/>
        <w:jc w:val="both"/>
        <w:rPr>
          <w:rFonts w:hint="eastAsia" w:ascii="仿宋_GB2312" w:hAnsi="华文仿宋" w:eastAsia="仿宋_GB2312" w:cs="宋体"/>
          <w:color w:val="auto"/>
          <w:kern w:val="0"/>
          <w:sz w:val="32"/>
          <w:szCs w:val="32"/>
          <w:highlight w:val="none"/>
          <w:lang w:val="zh-CN"/>
        </w:rPr>
      </w:pPr>
    </w:p>
    <w:p>
      <w:pPr>
        <w:spacing w:beforeLines="0" w:afterLines="0" w:line="240" w:lineRule="auto"/>
        <w:jc w:val="both"/>
        <w:rPr>
          <w:rFonts w:ascii="仿宋_GB2312" w:hAnsi="Arial" w:eastAsia="仿宋_GB2312" w:cs="Arial"/>
          <w:color w:val="auto"/>
          <w:sz w:val="32"/>
          <w:szCs w:val="32"/>
          <w:highlight w:val="none"/>
        </w:rPr>
        <w:sectPr>
          <w:headerReference r:id="rId3" w:type="default"/>
          <w:footerReference r:id="rId4" w:type="default"/>
          <w:pgSz w:w="11850" w:h="16838"/>
          <w:pgMar w:top="2098" w:right="1474" w:bottom="1984" w:left="1587" w:header="850" w:footer="1247" w:gutter="0"/>
          <w:pgBorders>
            <w:top w:val="none" w:sz="0" w:space="0"/>
            <w:left w:val="none" w:sz="0" w:space="0"/>
            <w:bottom w:val="none" w:sz="0" w:space="0"/>
            <w:right w:val="none" w:sz="0" w:space="0"/>
          </w:pgBorders>
          <w:pgNumType w:fmt="decimal" w:start="1"/>
          <w:cols w:space="720" w:num="1"/>
          <w:rtlGutter w:val="0"/>
          <w:docGrid w:type="lines" w:linePitch="586" w:charSpace="0"/>
        </w:sectPr>
      </w:pPr>
    </w:p>
    <w:p>
      <w:pPr>
        <w:snapToGrid w:val="0"/>
        <w:spacing w:beforeLines="0" w:afterLines="0" w:line="240" w:lineRule="auto"/>
        <w:jc w:val="both"/>
        <w:rPr>
          <w:rFonts w:hint="default" w:ascii="方正小标宋简体" w:hAnsi="华文中宋" w:eastAsia="黑体"/>
          <w:color w:val="FF0000"/>
          <w:sz w:val="36"/>
          <w:szCs w:val="36"/>
          <w:highlight w:val="none"/>
          <w:lang w:val="en-US" w:eastAsia="zh-CN"/>
        </w:rPr>
      </w:pPr>
      <w:r>
        <w:rPr>
          <w:rFonts w:hint="eastAsia" w:ascii="黑体" w:hAnsi="黑体" w:eastAsia="黑体" w:cs="黑体"/>
          <w:color w:val="auto"/>
          <w:kern w:val="0"/>
          <w:sz w:val="32"/>
          <w:szCs w:val="32"/>
          <w:highlight w:val="none"/>
        </w:rPr>
        <w:t>附件</w:t>
      </w:r>
      <w:r>
        <w:rPr>
          <w:rFonts w:hint="eastAsia" w:ascii="黑体" w:hAnsi="黑体" w:eastAsia="黑体" w:cs="黑体"/>
          <w:color w:val="auto"/>
          <w:kern w:val="0"/>
          <w:sz w:val="32"/>
          <w:szCs w:val="32"/>
          <w:highlight w:val="none"/>
          <w:lang w:val="en-US" w:eastAsia="zh-CN"/>
        </w:rPr>
        <w:t>1-2</w:t>
      </w:r>
    </w:p>
    <w:p>
      <w:pPr>
        <w:snapToGrid w:val="0"/>
        <w:spacing w:beforeLines="0" w:afterLines="0" w:line="240" w:lineRule="auto"/>
        <w:jc w:val="center"/>
        <w:rPr>
          <w:rFonts w:hint="eastAsia" w:ascii="方正小标宋简体" w:hAnsi="华文中宋" w:eastAsia="方正小标宋简体"/>
          <w:color w:val="FF0000"/>
          <w:sz w:val="36"/>
          <w:szCs w:val="36"/>
          <w:highlight w:val="none"/>
          <w:lang w:val="en"/>
        </w:rPr>
      </w:pPr>
    </w:p>
    <w:p>
      <w:pPr>
        <w:snapToGrid w:val="0"/>
        <w:spacing w:beforeLines="0" w:afterLines="0" w:line="240" w:lineRule="auto"/>
        <w:jc w:val="center"/>
        <w:rPr>
          <w:rFonts w:hint="eastAsia" w:ascii="方正小标宋简体" w:hAnsi="华文中宋" w:eastAsia="方正小标宋简体" w:cs="宋体"/>
          <w:bCs/>
          <w:color w:val="auto"/>
          <w:kern w:val="0"/>
          <w:sz w:val="44"/>
          <w:szCs w:val="44"/>
          <w:highlight w:val="none"/>
        </w:rPr>
      </w:pPr>
      <w:r>
        <w:rPr>
          <w:rFonts w:hint="eastAsia" w:ascii="方正小标宋简体" w:hAnsi="华文中宋" w:eastAsia="方正小标宋简体"/>
          <w:color w:val="auto"/>
          <w:sz w:val="44"/>
          <w:szCs w:val="44"/>
          <w:highlight w:val="none"/>
          <w:lang w:val="en"/>
        </w:rPr>
        <w:t>资助</w:t>
      </w:r>
      <w:r>
        <w:rPr>
          <w:rFonts w:hint="eastAsia" w:ascii="方正小标宋简体" w:hAnsi="华文中宋" w:eastAsia="方正小标宋简体" w:cs="宋体"/>
          <w:bCs/>
          <w:color w:val="auto"/>
          <w:kern w:val="0"/>
          <w:sz w:val="44"/>
          <w:szCs w:val="44"/>
          <w:highlight w:val="none"/>
        </w:rPr>
        <w:t>项目汇总表</w:t>
      </w:r>
    </w:p>
    <w:p>
      <w:pPr>
        <w:snapToGrid w:val="0"/>
        <w:spacing w:beforeLines="0" w:afterLines="0" w:line="240" w:lineRule="auto"/>
        <w:jc w:val="center"/>
        <w:rPr>
          <w:rFonts w:hint="eastAsia" w:ascii="方正小标宋简体" w:hAnsi="华文中宋" w:eastAsia="方正小标宋简体" w:cs="宋体"/>
          <w:bCs/>
          <w:color w:val="auto"/>
          <w:kern w:val="0"/>
          <w:sz w:val="32"/>
          <w:szCs w:val="32"/>
          <w:highlight w:val="none"/>
          <w:lang w:eastAsia="zh-CN"/>
        </w:rPr>
      </w:pPr>
    </w:p>
    <w:p>
      <w:pPr>
        <w:snapToGrid w:val="0"/>
        <w:spacing w:beforeLines="0" w:afterLines="0" w:line="240" w:lineRule="auto"/>
        <w:ind w:firstLine="0" w:firstLineChars="0"/>
        <w:jc w:val="both"/>
        <w:rPr>
          <w:rFonts w:hint="eastAsia" w:ascii="仿宋" w:hAnsi="仿宋" w:eastAsia="仿宋" w:cs="仿宋"/>
          <w:color w:val="auto"/>
          <w:sz w:val="24"/>
          <w:szCs w:val="24"/>
          <w:highlight w:val="none"/>
        </w:rPr>
      </w:pPr>
      <w:r>
        <w:rPr>
          <w:rFonts w:hint="eastAsia" w:ascii="仿宋" w:hAnsi="仿宋" w:eastAsia="仿宋" w:cs="仿宋"/>
          <w:color w:val="auto"/>
          <w:kern w:val="0"/>
          <w:sz w:val="28"/>
          <w:szCs w:val="28"/>
          <w:highlight w:val="none"/>
        </w:rPr>
        <w:t>填表人：　</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　联系电话：</w:t>
      </w:r>
    </w:p>
    <w:tbl>
      <w:tblPr>
        <w:tblStyle w:val="21"/>
        <w:tblW w:w="9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770"/>
        <w:gridCol w:w="2411"/>
        <w:gridCol w:w="1846"/>
        <w:gridCol w:w="1741"/>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37" w:type="dxa"/>
            <w:tcBorders>
              <w:top w:val="single" w:color="auto" w:sz="4" w:space="0"/>
              <w:left w:val="single" w:color="auto" w:sz="4" w:space="0"/>
              <w:right w:val="single" w:color="auto" w:sz="4" w:space="0"/>
            </w:tcBorders>
            <w:noWrap w:val="0"/>
            <w:vAlign w:val="center"/>
          </w:tcPr>
          <w:p>
            <w:pPr>
              <w:snapToGrid w:val="0"/>
              <w:spacing w:beforeLines="0" w:afterLines="0" w:line="240" w:lineRule="auto"/>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序号</w:t>
            </w:r>
          </w:p>
        </w:tc>
        <w:tc>
          <w:tcPr>
            <w:tcW w:w="1770" w:type="dxa"/>
            <w:tcBorders>
              <w:top w:val="single" w:color="auto" w:sz="4" w:space="0"/>
              <w:left w:val="single" w:color="auto" w:sz="4" w:space="0"/>
              <w:right w:val="single" w:color="auto" w:sz="4" w:space="0"/>
            </w:tcBorders>
            <w:noWrap w:val="0"/>
            <w:vAlign w:val="center"/>
          </w:tcPr>
          <w:p>
            <w:pPr>
              <w:snapToGrid w:val="0"/>
              <w:spacing w:beforeLines="0" w:afterLines="0" w:line="240" w:lineRule="auto"/>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申报单位</w:t>
            </w:r>
          </w:p>
        </w:tc>
        <w:tc>
          <w:tcPr>
            <w:tcW w:w="2411" w:type="dxa"/>
            <w:tcBorders>
              <w:top w:val="single" w:color="auto" w:sz="4" w:space="0"/>
              <w:left w:val="single" w:color="auto" w:sz="4" w:space="0"/>
              <w:right w:val="single" w:color="auto" w:sz="4" w:space="0"/>
            </w:tcBorders>
            <w:noWrap w:val="0"/>
            <w:vAlign w:val="center"/>
          </w:tcPr>
          <w:p>
            <w:pPr>
              <w:snapToGrid w:val="0"/>
              <w:spacing w:beforeLines="0" w:afterLines="0" w:line="240" w:lineRule="auto"/>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项目名称</w:t>
            </w:r>
          </w:p>
        </w:tc>
        <w:tc>
          <w:tcPr>
            <w:tcW w:w="1846" w:type="dxa"/>
            <w:tcBorders>
              <w:top w:val="single" w:color="auto" w:sz="4" w:space="0"/>
              <w:left w:val="single" w:color="auto" w:sz="4" w:space="0"/>
              <w:right w:val="single" w:color="auto" w:sz="4" w:space="0"/>
            </w:tcBorders>
            <w:noWrap w:val="0"/>
            <w:vAlign w:val="center"/>
          </w:tcPr>
          <w:p>
            <w:pPr>
              <w:snapToGrid w:val="0"/>
              <w:spacing w:beforeLines="0" w:afterLines="0" w:line="240" w:lineRule="auto"/>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项目类别</w:t>
            </w:r>
          </w:p>
        </w:tc>
        <w:tc>
          <w:tcPr>
            <w:tcW w:w="1741" w:type="dxa"/>
            <w:tcBorders>
              <w:top w:val="single" w:color="auto" w:sz="4" w:space="0"/>
              <w:left w:val="single" w:color="auto" w:sz="4" w:space="0"/>
              <w:right w:val="single" w:color="auto" w:sz="4" w:space="0"/>
            </w:tcBorders>
            <w:noWrap w:val="0"/>
            <w:vAlign w:val="center"/>
          </w:tcPr>
          <w:p>
            <w:pPr>
              <w:snapToGrid w:val="0"/>
              <w:spacing w:beforeLines="0" w:afterLines="0" w:line="240" w:lineRule="auto"/>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申报金额</w:t>
            </w:r>
          </w:p>
          <w:p>
            <w:pPr>
              <w:snapToGrid w:val="0"/>
              <w:spacing w:beforeLines="0" w:afterLines="0" w:line="240" w:lineRule="auto"/>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（万元）</w:t>
            </w:r>
          </w:p>
        </w:tc>
        <w:tc>
          <w:tcPr>
            <w:tcW w:w="791" w:type="dxa"/>
            <w:tcBorders>
              <w:top w:val="single" w:color="auto" w:sz="4" w:space="0"/>
              <w:left w:val="single" w:color="auto" w:sz="4" w:space="0"/>
              <w:right w:val="single" w:color="auto" w:sz="4" w:space="0"/>
            </w:tcBorders>
            <w:noWrap w:val="0"/>
            <w:vAlign w:val="center"/>
          </w:tcPr>
          <w:p>
            <w:pPr>
              <w:snapToGrid w:val="0"/>
              <w:spacing w:beforeLines="0" w:afterLines="0" w:line="240" w:lineRule="auto"/>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eastAsia="zh-CN"/>
              </w:rPr>
              <w:t>例如：</w:t>
            </w:r>
            <w:r>
              <w:rPr>
                <w:rFonts w:hint="eastAsia" w:ascii="仿宋" w:hAnsi="仿宋" w:eastAsia="仿宋" w:cs="仿宋"/>
                <w:color w:val="auto"/>
                <w:kern w:val="0"/>
                <w:sz w:val="21"/>
                <w:szCs w:val="21"/>
                <w:highlight w:val="none"/>
                <w:lang w:val="en-US" w:eastAsia="zh-CN"/>
              </w:rPr>
              <w:t>****有限公司</w:t>
            </w:r>
          </w:p>
        </w:tc>
        <w:tc>
          <w:tcPr>
            <w:tcW w:w="24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eastAsia="zh-CN"/>
              </w:rPr>
              <w:t>促进港珠澳大桥跨境物流货源集聚</w:t>
            </w:r>
          </w:p>
        </w:tc>
        <w:tc>
          <w:tcPr>
            <w:tcW w:w="18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支持港珠澳大桥跨境货运业务</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XX</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XX</w:t>
            </w:r>
            <w:r>
              <w:rPr>
                <w:rFonts w:hint="eastAsia" w:ascii="仿宋" w:hAnsi="仿宋" w:eastAsia="仿宋" w:cs="仿宋"/>
                <w:color w:val="auto"/>
                <w:sz w:val="21"/>
                <w:szCs w:val="21"/>
                <w:highlight w:val="none"/>
                <w:lang w:val="en-US" w:eastAsia="zh-CN"/>
              </w:rPr>
              <w:t>XXXX</w:t>
            </w:r>
          </w:p>
          <w:p>
            <w:pPr>
              <w:snapToGrid w:val="0"/>
              <w:spacing w:beforeLines="0" w:afterLines="0" w:line="24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lang w:eastAsia="zh-CN"/>
              </w:rPr>
              <w:t>小数点后</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lang w:eastAsia="zh-CN"/>
              </w:rPr>
              <w:t>位）</w:t>
            </w:r>
          </w:p>
        </w:tc>
        <w:tc>
          <w:tcPr>
            <w:tcW w:w="7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****有限公司</w:t>
            </w:r>
          </w:p>
        </w:tc>
        <w:tc>
          <w:tcPr>
            <w:tcW w:w="24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支持物流基础设施建设</w:t>
            </w:r>
          </w:p>
        </w:tc>
        <w:tc>
          <w:tcPr>
            <w:tcW w:w="18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支持物流园区（项目）建设</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XX</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XX</w:t>
            </w:r>
            <w:r>
              <w:rPr>
                <w:rFonts w:hint="eastAsia" w:ascii="仿宋" w:hAnsi="仿宋" w:eastAsia="仿宋" w:cs="仿宋"/>
                <w:color w:val="auto"/>
                <w:sz w:val="21"/>
                <w:szCs w:val="21"/>
                <w:highlight w:val="none"/>
                <w:lang w:val="en-US" w:eastAsia="zh-CN"/>
              </w:rPr>
              <w:t>XXXX</w:t>
            </w:r>
          </w:p>
        </w:tc>
        <w:tc>
          <w:tcPr>
            <w:tcW w:w="7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3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****有限公司</w:t>
            </w:r>
          </w:p>
        </w:tc>
        <w:tc>
          <w:tcPr>
            <w:tcW w:w="241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支持冷链物流发展</w:t>
            </w:r>
          </w:p>
        </w:tc>
        <w:tc>
          <w:tcPr>
            <w:tcW w:w="18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支持购置冷链设备</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XX</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XX</w:t>
            </w:r>
            <w:r>
              <w:rPr>
                <w:rFonts w:hint="eastAsia" w:ascii="仿宋" w:hAnsi="仿宋" w:eastAsia="仿宋" w:cs="仿宋"/>
                <w:color w:val="auto"/>
                <w:sz w:val="21"/>
                <w:szCs w:val="21"/>
                <w:highlight w:val="none"/>
                <w:lang w:val="en-US" w:eastAsia="zh-CN"/>
              </w:rPr>
              <w:t>XXXX</w:t>
            </w:r>
          </w:p>
        </w:tc>
        <w:tc>
          <w:tcPr>
            <w:tcW w:w="7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60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b/>
                <w:color w:val="auto"/>
                <w:kern w:val="0"/>
                <w:sz w:val="21"/>
                <w:szCs w:val="21"/>
                <w:highlight w:val="none"/>
              </w:rPr>
              <w:t>总金额合计：</w:t>
            </w:r>
          </w:p>
        </w:tc>
        <w:tc>
          <w:tcPr>
            <w:tcW w:w="678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ind w:firstLine="840" w:firstLineChars="400"/>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sz w:val="21"/>
                <w:szCs w:val="21"/>
                <w:highlight w:val="none"/>
                <w:lang w:eastAsia="zh-CN"/>
              </w:rPr>
              <w:t>万元（小数点后</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lang w:eastAsia="zh-CN"/>
              </w:rPr>
              <w:t>位）</w:t>
            </w:r>
          </w:p>
        </w:tc>
      </w:tr>
    </w:tbl>
    <w:p>
      <w:pPr>
        <w:snapToGrid w:val="0"/>
        <w:spacing w:beforeLines="0" w:afterLines="0" w:line="240" w:lineRule="auto"/>
        <w:jc w:val="both"/>
        <w:rPr>
          <w:rFonts w:hint="eastAsia" w:ascii="黑体" w:hAnsi="黑体" w:eastAsia="黑体" w:cs="黑体"/>
          <w:color w:val="auto"/>
          <w:kern w:val="0"/>
          <w:sz w:val="32"/>
          <w:szCs w:val="32"/>
          <w:highlight w:val="none"/>
        </w:rPr>
      </w:pPr>
    </w:p>
    <w:p>
      <w:pPr>
        <w:widowControl/>
        <w:spacing w:beforeLines="0" w:afterLines="0" w:line="240" w:lineRule="auto"/>
        <w:jc w:val="both"/>
        <w:rPr>
          <w:rFonts w:hint="eastAsia" w:ascii="黑体" w:hAnsi="黑体" w:eastAsia="黑体" w:cs="黑体"/>
          <w:color w:val="auto"/>
          <w:kern w:val="0"/>
          <w:sz w:val="32"/>
          <w:szCs w:val="32"/>
          <w:highlight w:val="none"/>
          <w:lang w:eastAsia="zh-CN"/>
        </w:rPr>
      </w:pPr>
      <w:bookmarkStart w:id="6" w:name="_GoBack"/>
      <w:bookmarkEnd w:id="6"/>
      <w:r>
        <w:rPr>
          <w:rFonts w:hint="eastAsia" w:ascii="黑体" w:hAnsi="黑体" w:eastAsia="黑体" w:cs="黑体"/>
          <w:color w:val="auto"/>
          <w:kern w:val="0"/>
          <w:sz w:val="32"/>
          <w:szCs w:val="32"/>
          <w:highlight w:val="none"/>
          <w:lang w:eastAsia="zh-CN"/>
        </w:rPr>
        <w:br w:type="page"/>
      </w:r>
      <w:r>
        <w:rPr>
          <w:rFonts w:hint="eastAsia" w:ascii="黑体" w:hAnsi="黑体" w:eastAsia="黑体" w:cs="黑体"/>
          <w:color w:val="auto"/>
          <w:kern w:val="0"/>
          <w:sz w:val="32"/>
          <w:szCs w:val="32"/>
          <w:highlight w:val="none"/>
          <w:lang w:eastAsia="zh-CN"/>
        </w:rPr>
        <w:t>附件</w:t>
      </w: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-1</w:t>
      </w:r>
      <w:r>
        <w:rPr>
          <w:rFonts w:hint="eastAsia" w:ascii="黑体" w:hAnsi="黑体" w:eastAsia="黑体" w:cs="黑体"/>
          <w:color w:val="auto"/>
          <w:kern w:val="0"/>
          <w:sz w:val="32"/>
          <w:szCs w:val="32"/>
          <w:highlight w:val="none"/>
          <w:lang w:eastAsia="zh-CN"/>
        </w:rPr>
        <w:t>（封面）</w:t>
      </w:r>
    </w:p>
    <w:p>
      <w:pPr>
        <w:pStyle w:val="12"/>
        <w:widowControl w:val="0"/>
        <w:snapToGrid w:val="0"/>
        <w:spacing w:line="579" w:lineRule="exact"/>
        <w:jc w:val="center"/>
        <w:rPr>
          <w:rFonts w:hint="eastAsia" w:ascii="方正小标宋简体" w:hAnsi="黑体" w:eastAsia="方正小标宋简体" w:cs="方正大标宋简体"/>
          <w:color w:val="auto"/>
          <w:kern w:val="1"/>
          <w:sz w:val="44"/>
          <w:szCs w:val="44"/>
          <w:highlight w:val="none"/>
        </w:rPr>
      </w:pPr>
    </w:p>
    <w:p>
      <w:pPr>
        <w:pStyle w:val="12"/>
        <w:widowControl w:val="0"/>
        <w:snapToGrid w:val="0"/>
        <w:spacing w:line="579" w:lineRule="exact"/>
        <w:jc w:val="center"/>
        <w:rPr>
          <w:rFonts w:hint="eastAsia" w:ascii="方正小标宋简体" w:hAnsi="黑体" w:eastAsia="方正小标宋简体" w:cs="方正大标宋简体"/>
          <w:color w:val="auto"/>
          <w:kern w:val="1"/>
          <w:sz w:val="44"/>
          <w:szCs w:val="44"/>
          <w:highlight w:val="none"/>
        </w:rPr>
      </w:pPr>
      <w:r>
        <w:rPr>
          <w:rFonts w:hint="eastAsia" w:ascii="方正小标宋简体" w:hAnsi="黑体" w:eastAsia="方正小标宋简体" w:cs="方正大标宋简体"/>
          <w:color w:val="auto"/>
          <w:kern w:val="1"/>
          <w:sz w:val="44"/>
          <w:szCs w:val="44"/>
          <w:highlight w:val="none"/>
        </w:rPr>
        <w:t>珠海市内外经贸发展专项资金（加快港珠澳大</w:t>
      </w:r>
    </w:p>
    <w:p>
      <w:pPr>
        <w:pStyle w:val="12"/>
        <w:widowControl w:val="0"/>
        <w:snapToGrid w:val="0"/>
        <w:spacing w:line="579" w:lineRule="exact"/>
        <w:ind w:firstLine="0" w:firstLineChars="0"/>
        <w:jc w:val="center"/>
        <w:rPr>
          <w:rFonts w:hint="eastAsia" w:ascii="方正小标宋简体" w:hAnsi="黑体" w:eastAsia="方正小标宋简体" w:cs="方正大标宋简体"/>
          <w:color w:val="auto"/>
          <w:kern w:val="1"/>
          <w:sz w:val="44"/>
          <w:szCs w:val="44"/>
          <w:highlight w:val="none"/>
        </w:rPr>
      </w:pPr>
      <w:r>
        <w:rPr>
          <w:rFonts w:hint="eastAsia" w:ascii="方正小标宋简体" w:hAnsi="黑体" w:eastAsia="方正小标宋简体" w:cs="方正大标宋简体"/>
          <w:color w:val="auto"/>
          <w:kern w:val="1"/>
          <w:sz w:val="44"/>
          <w:szCs w:val="44"/>
          <w:highlight w:val="none"/>
        </w:rPr>
        <w:t>桥经贸新通道建设促进现代物流业</w:t>
      </w:r>
    </w:p>
    <w:p>
      <w:pPr>
        <w:pStyle w:val="12"/>
        <w:widowControl w:val="0"/>
        <w:snapToGrid w:val="0"/>
        <w:spacing w:line="579" w:lineRule="exact"/>
        <w:jc w:val="center"/>
        <w:rPr>
          <w:rFonts w:hint="eastAsia" w:ascii="方正小标宋简体" w:hAnsi="黑体" w:eastAsia="方正小标宋简体" w:cs="方正大标宋简体"/>
          <w:color w:val="auto"/>
          <w:kern w:val="1"/>
          <w:sz w:val="44"/>
          <w:szCs w:val="44"/>
          <w:highlight w:val="none"/>
        </w:rPr>
      </w:pPr>
      <w:r>
        <w:rPr>
          <w:rFonts w:hint="eastAsia" w:ascii="方正小标宋简体" w:hAnsi="黑体" w:eastAsia="方正小标宋简体" w:cs="方正大标宋简体"/>
          <w:color w:val="auto"/>
          <w:kern w:val="1"/>
          <w:sz w:val="44"/>
          <w:szCs w:val="44"/>
          <w:highlight w:val="none"/>
        </w:rPr>
        <w:t>高质量发展事项）申报书</w:t>
      </w:r>
    </w:p>
    <w:p>
      <w:pPr>
        <w:pStyle w:val="20"/>
        <w:spacing w:before="0" w:beforeLines="0" w:beforeAutospacing="0" w:after="0" w:afterLines="0" w:afterAutospacing="0" w:line="240" w:lineRule="auto"/>
        <w:jc w:val="center"/>
        <w:rPr>
          <w:rFonts w:eastAsia="黑体"/>
          <w:color w:val="auto"/>
          <w:sz w:val="28"/>
          <w:szCs w:val="28"/>
          <w:highlight w:val="none"/>
        </w:rPr>
      </w:pPr>
    </w:p>
    <w:p>
      <w:pPr>
        <w:pStyle w:val="20"/>
        <w:spacing w:before="0" w:beforeLines="0" w:beforeAutospacing="0" w:after="0" w:afterLines="0" w:afterAutospacing="0" w:line="240" w:lineRule="auto"/>
        <w:jc w:val="center"/>
        <w:rPr>
          <w:rFonts w:eastAsia="黑体"/>
          <w:color w:val="auto"/>
          <w:sz w:val="28"/>
          <w:szCs w:val="28"/>
          <w:highlight w:val="none"/>
        </w:rPr>
      </w:pPr>
    </w:p>
    <w:p>
      <w:pPr>
        <w:pStyle w:val="20"/>
        <w:spacing w:before="0" w:beforeLines="0" w:beforeAutospacing="0" w:after="0" w:afterLines="0" w:afterAutospacing="0" w:line="240" w:lineRule="auto"/>
        <w:jc w:val="center"/>
        <w:rPr>
          <w:rFonts w:eastAsia="黑体"/>
          <w:color w:val="auto"/>
          <w:sz w:val="28"/>
          <w:szCs w:val="28"/>
          <w:highlight w:val="none"/>
        </w:rPr>
      </w:pPr>
    </w:p>
    <w:p>
      <w:pPr>
        <w:pStyle w:val="20"/>
        <w:spacing w:before="0" w:beforeLines="0" w:beforeAutospacing="0" w:after="0" w:afterLines="0" w:afterAutospacing="0" w:line="240" w:lineRule="auto"/>
        <w:jc w:val="both"/>
        <w:rPr>
          <w:rFonts w:eastAsia="黑体"/>
          <w:color w:val="auto"/>
          <w:sz w:val="28"/>
          <w:szCs w:val="28"/>
          <w:highlight w:val="none"/>
        </w:rPr>
      </w:pPr>
    </w:p>
    <w:p>
      <w:pPr>
        <w:pStyle w:val="20"/>
        <w:spacing w:before="0" w:beforeLines="0" w:beforeAutospacing="0" w:after="0" w:afterLines="0" w:afterAutospacing="0" w:line="240" w:lineRule="auto"/>
        <w:jc w:val="both"/>
        <w:rPr>
          <w:color w:val="auto"/>
          <w:sz w:val="28"/>
          <w:szCs w:val="28"/>
          <w:highlight w:val="none"/>
        </w:rPr>
      </w:pPr>
    </w:p>
    <w:p>
      <w:pPr>
        <w:pStyle w:val="20"/>
        <w:spacing w:before="0" w:beforeLines="0" w:beforeAutospacing="0" w:after="0" w:afterLines="0" w:afterAutospacing="0" w:line="240" w:lineRule="auto"/>
        <w:ind w:firstLine="1280" w:firstLineChars="400"/>
        <w:jc w:val="both"/>
        <w:rPr>
          <w:rFonts w:hint="default" w:ascii="华文仿宋" w:hAnsi="华文仿宋" w:eastAsia="方正黑体_GBK" w:cs="华文仿宋"/>
          <w:color w:val="auto"/>
          <w:sz w:val="32"/>
          <w:szCs w:val="32"/>
          <w:highlight w:val="none"/>
          <w:u w:val="single"/>
          <w:lang w:val="en-US" w:eastAsia="zh-CN"/>
        </w:rPr>
      </w:pPr>
      <w:r>
        <w:rPr>
          <w:rFonts w:hint="eastAsia" w:ascii="方正黑体_GBK" w:hAnsi="方正黑体_GBK" w:eastAsia="方正黑体_GBK" w:cs="方正黑体_GBK"/>
          <w:color w:val="auto"/>
          <w:sz w:val="32"/>
          <w:szCs w:val="32"/>
          <w:highlight w:val="none"/>
          <w:lang w:eastAsia="zh-CN"/>
        </w:rPr>
        <w:t>企业名称</w:t>
      </w:r>
      <w:r>
        <w:rPr>
          <w:rFonts w:hint="eastAsia" w:ascii="方正黑体_GBK" w:hAnsi="方正黑体_GBK" w:eastAsia="方正黑体_GBK" w:cs="方正黑体_GBK"/>
          <w:color w:val="auto"/>
          <w:sz w:val="32"/>
          <w:szCs w:val="32"/>
          <w:highlight w:val="none"/>
        </w:rPr>
        <w:t>：</w:t>
      </w:r>
      <w:r>
        <w:rPr>
          <w:rFonts w:hint="eastAsia" w:ascii="方正黑体_GBK" w:hAnsi="方正黑体_GBK" w:eastAsia="方正黑体_GBK" w:cs="方正黑体_GBK"/>
          <w:color w:val="auto"/>
          <w:sz w:val="32"/>
          <w:szCs w:val="32"/>
          <w:highlight w:val="none"/>
          <w:u w:val="single"/>
          <w:lang w:val="en-US" w:eastAsia="zh-CN"/>
        </w:rPr>
        <w:t xml:space="preserve">                             </w:t>
      </w:r>
    </w:p>
    <w:p>
      <w:pPr>
        <w:pStyle w:val="20"/>
        <w:spacing w:before="0" w:beforeLines="0" w:beforeAutospacing="0" w:after="0" w:afterLines="0" w:afterAutospacing="0" w:line="240" w:lineRule="auto"/>
        <w:ind w:firstLine="1440" w:firstLineChars="450"/>
        <w:jc w:val="both"/>
        <w:rPr>
          <w:rFonts w:hint="eastAsia" w:ascii="华文仿宋" w:hAnsi="华文仿宋" w:eastAsia="华文仿宋" w:cs="华文仿宋"/>
          <w:color w:val="auto"/>
          <w:sz w:val="32"/>
          <w:szCs w:val="32"/>
          <w:highlight w:val="none"/>
          <w:lang w:eastAsia="zh-CN"/>
        </w:rPr>
      </w:pPr>
    </w:p>
    <w:p>
      <w:pPr>
        <w:pStyle w:val="20"/>
        <w:spacing w:before="0" w:beforeLines="0" w:beforeAutospacing="0" w:after="0" w:afterLines="0" w:afterAutospacing="0" w:line="240" w:lineRule="auto"/>
        <w:ind w:firstLine="1280" w:firstLineChars="400"/>
        <w:jc w:val="both"/>
        <w:rPr>
          <w:rFonts w:hint="eastAsia" w:ascii="华文仿宋" w:hAnsi="华文仿宋" w:eastAsia="华文仿宋" w:cs="华文仿宋"/>
          <w:b/>
          <w:bCs/>
          <w:color w:val="auto"/>
          <w:sz w:val="24"/>
          <w:szCs w:val="24"/>
          <w:highlight w:val="none"/>
          <w:lang w:val="en-US" w:eastAsia="zh-CN"/>
        </w:rPr>
      </w:pPr>
      <w:r>
        <w:rPr>
          <w:rFonts w:hint="eastAsia" w:ascii="方正黑体_GBK" w:hAnsi="方正黑体_GBK" w:eastAsia="方正黑体_GBK" w:cs="方正黑体_GBK"/>
          <w:color w:val="auto"/>
          <w:sz w:val="32"/>
          <w:szCs w:val="32"/>
          <w:highlight w:val="none"/>
          <w:lang w:eastAsia="zh-CN"/>
        </w:rPr>
        <w:t>申报</w:t>
      </w:r>
      <w:r>
        <w:rPr>
          <w:rFonts w:hint="eastAsia" w:ascii="方正黑体_GBK" w:hAnsi="方正黑体_GBK" w:eastAsia="方正黑体_GBK" w:cs="方正黑体_GBK"/>
          <w:color w:val="auto"/>
          <w:sz w:val="32"/>
          <w:szCs w:val="32"/>
          <w:highlight w:val="none"/>
        </w:rPr>
        <w:t>项目名称：</w:t>
      </w:r>
      <w:r>
        <w:rPr>
          <w:rFonts w:hint="eastAsia" w:ascii="仿宋" w:hAnsi="仿宋" w:eastAsia="仿宋" w:cs="仿宋"/>
          <w:color w:val="auto"/>
          <w:kern w:val="0"/>
          <w:sz w:val="24"/>
          <w:szCs w:val="24"/>
          <w:highlight w:val="none"/>
          <w:u w:val="single"/>
          <w:lang w:val="en-US" w:eastAsia="zh-CN" w:bidi="ar-SA"/>
        </w:rPr>
        <w:t>（填写“项目申请表”中勾选的名称）</w:t>
      </w:r>
    </w:p>
    <w:p>
      <w:pPr>
        <w:pStyle w:val="20"/>
        <w:spacing w:before="0" w:beforeLines="0" w:beforeAutospacing="0" w:after="0" w:afterLines="0" w:afterAutospacing="0" w:line="240" w:lineRule="auto"/>
        <w:ind w:firstLine="1280" w:firstLineChars="400"/>
        <w:jc w:val="both"/>
        <w:rPr>
          <w:rFonts w:hint="eastAsia" w:ascii="华文仿宋" w:hAnsi="华文仿宋" w:eastAsia="华文仿宋" w:cs="华文仿宋"/>
          <w:color w:val="auto"/>
          <w:sz w:val="32"/>
          <w:szCs w:val="32"/>
          <w:highlight w:val="none"/>
        </w:rPr>
      </w:pPr>
    </w:p>
    <w:p>
      <w:pPr>
        <w:pStyle w:val="20"/>
        <w:spacing w:before="0" w:beforeLines="0" w:beforeAutospacing="0" w:after="0" w:afterLines="0" w:afterAutospacing="0" w:line="240" w:lineRule="auto"/>
        <w:ind w:firstLine="1280" w:firstLineChars="400"/>
        <w:jc w:val="both"/>
        <w:rPr>
          <w:rFonts w:hint="default" w:ascii="华文仿宋" w:hAnsi="华文仿宋" w:eastAsia="华文仿宋" w:cs="华文仿宋"/>
          <w:color w:val="auto"/>
          <w:sz w:val="32"/>
          <w:szCs w:val="32"/>
          <w:highlight w:val="none"/>
          <w:u w:val="single"/>
          <w:lang w:val="en-US" w:eastAsia="zh-CN"/>
        </w:rPr>
      </w:pPr>
      <w:r>
        <w:rPr>
          <w:rFonts w:hint="eastAsia" w:ascii="方正黑体_GBK" w:hAnsi="方正黑体_GBK" w:eastAsia="方正黑体_GBK" w:cs="方正黑体_GBK"/>
          <w:color w:val="auto"/>
          <w:sz w:val="32"/>
          <w:szCs w:val="32"/>
          <w:highlight w:val="none"/>
        </w:rPr>
        <w:t>项目</w:t>
      </w:r>
      <w:r>
        <w:rPr>
          <w:rFonts w:hint="eastAsia" w:ascii="方正黑体_GBK" w:hAnsi="方正黑体_GBK" w:eastAsia="方正黑体_GBK" w:cs="方正黑体_GBK"/>
          <w:color w:val="auto"/>
          <w:sz w:val="32"/>
          <w:szCs w:val="32"/>
          <w:highlight w:val="none"/>
          <w:lang w:eastAsia="zh-CN"/>
        </w:rPr>
        <w:t>经办</w:t>
      </w:r>
      <w:r>
        <w:rPr>
          <w:rFonts w:hint="eastAsia" w:ascii="方正黑体_GBK" w:hAnsi="方正黑体_GBK" w:eastAsia="方正黑体_GBK" w:cs="方正黑体_GBK"/>
          <w:color w:val="auto"/>
          <w:sz w:val="32"/>
          <w:szCs w:val="32"/>
          <w:highlight w:val="none"/>
        </w:rPr>
        <w:t>人：</w:t>
      </w:r>
      <w:r>
        <w:rPr>
          <w:rFonts w:hint="eastAsia" w:ascii="方正黑体_GBK" w:hAnsi="方正黑体_GBK" w:eastAsia="方正黑体_GBK" w:cs="方正黑体_GBK"/>
          <w:color w:val="auto"/>
          <w:sz w:val="32"/>
          <w:szCs w:val="32"/>
          <w:highlight w:val="none"/>
          <w:u w:val="single"/>
          <w:lang w:val="en-US" w:eastAsia="zh-CN"/>
        </w:rPr>
        <w:t xml:space="preserve">                           </w:t>
      </w:r>
    </w:p>
    <w:p>
      <w:pPr>
        <w:pStyle w:val="20"/>
        <w:spacing w:before="0" w:beforeLines="0" w:beforeAutospacing="0" w:after="0" w:afterLines="0" w:afterAutospacing="0" w:line="240" w:lineRule="auto"/>
        <w:ind w:firstLine="1440" w:firstLineChars="450"/>
        <w:jc w:val="both"/>
        <w:rPr>
          <w:rFonts w:hint="eastAsia" w:ascii="华文仿宋" w:hAnsi="华文仿宋" w:eastAsia="华文仿宋" w:cs="华文仿宋"/>
          <w:color w:val="auto"/>
          <w:sz w:val="32"/>
          <w:szCs w:val="32"/>
          <w:highlight w:val="none"/>
        </w:rPr>
      </w:pPr>
    </w:p>
    <w:p>
      <w:pPr>
        <w:pStyle w:val="20"/>
        <w:spacing w:before="0" w:beforeLines="0" w:beforeAutospacing="0" w:after="0" w:afterLines="0" w:afterAutospacing="0" w:line="240" w:lineRule="auto"/>
        <w:ind w:firstLine="1280" w:firstLineChars="400"/>
        <w:jc w:val="both"/>
        <w:rPr>
          <w:rFonts w:hint="eastAsia" w:ascii="华文仿宋" w:hAnsi="华文仿宋" w:eastAsia="华文仿宋" w:cs="华文仿宋"/>
          <w:color w:val="auto"/>
          <w:sz w:val="32"/>
          <w:szCs w:val="32"/>
          <w:highlight w:val="none"/>
          <w:u w:val="single"/>
          <w:lang w:val="en-US" w:eastAsia="zh-CN"/>
        </w:rPr>
      </w:pPr>
      <w:r>
        <w:rPr>
          <w:rFonts w:hint="eastAsia" w:ascii="方正黑体_GBK" w:hAnsi="方正黑体_GBK" w:eastAsia="方正黑体_GBK" w:cs="方正黑体_GBK"/>
          <w:color w:val="auto"/>
          <w:sz w:val="32"/>
          <w:szCs w:val="32"/>
          <w:highlight w:val="none"/>
          <w:lang w:eastAsia="zh-CN"/>
        </w:rPr>
        <w:t>经办</w:t>
      </w:r>
      <w:r>
        <w:rPr>
          <w:rFonts w:hint="eastAsia" w:ascii="方正黑体_GBK" w:hAnsi="方正黑体_GBK" w:eastAsia="方正黑体_GBK" w:cs="方正黑体_GBK"/>
          <w:color w:val="auto"/>
          <w:sz w:val="32"/>
          <w:szCs w:val="32"/>
          <w:highlight w:val="none"/>
        </w:rPr>
        <w:t>人电话：</w:t>
      </w:r>
      <w:r>
        <w:rPr>
          <w:rFonts w:hint="eastAsia" w:ascii="方正黑体_GBK" w:hAnsi="方正黑体_GBK" w:eastAsia="方正黑体_GBK" w:cs="方正黑体_GBK"/>
          <w:color w:val="auto"/>
          <w:sz w:val="32"/>
          <w:szCs w:val="32"/>
          <w:highlight w:val="none"/>
          <w:u w:val="single"/>
          <w:lang w:val="en-US" w:eastAsia="zh-CN"/>
        </w:rPr>
        <w:t xml:space="preserve">                           </w:t>
      </w:r>
    </w:p>
    <w:p>
      <w:pPr>
        <w:pStyle w:val="20"/>
        <w:spacing w:before="0" w:beforeLines="0" w:beforeAutospacing="0" w:after="0" w:afterLines="0" w:afterAutospacing="0" w:line="240" w:lineRule="auto"/>
        <w:ind w:firstLine="1440" w:firstLineChars="450"/>
        <w:jc w:val="both"/>
        <w:rPr>
          <w:rFonts w:hint="eastAsia" w:ascii="华文仿宋" w:hAnsi="华文仿宋" w:eastAsia="华文仿宋" w:cs="华文仿宋"/>
          <w:color w:val="auto"/>
          <w:sz w:val="32"/>
          <w:szCs w:val="32"/>
          <w:highlight w:val="none"/>
        </w:rPr>
      </w:pPr>
    </w:p>
    <w:p>
      <w:pPr>
        <w:pStyle w:val="20"/>
        <w:spacing w:before="0" w:beforeLines="0" w:beforeAutospacing="0" w:after="0" w:afterLines="0" w:afterAutospacing="0" w:line="240" w:lineRule="auto"/>
        <w:ind w:firstLine="1280" w:firstLineChars="400"/>
        <w:jc w:val="both"/>
        <w:rPr>
          <w:rFonts w:hint="eastAsia" w:ascii="华文仿宋" w:hAnsi="华文仿宋" w:eastAsia="华文仿宋" w:cs="华文仿宋"/>
          <w:color w:val="auto"/>
          <w:sz w:val="32"/>
          <w:szCs w:val="32"/>
          <w:highlight w:val="none"/>
        </w:rPr>
      </w:pPr>
      <w:r>
        <w:rPr>
          <w:rFonts w:hint="eastAsia" w:ascii="方正黑体_GBK" w:hAnsi="方正黑体_GBK" w:eastAsia="方正黑体_GBK" w:cs="方正黑体_GBK"/>
          <w:color w:val="auto"/>
          <w:sz w:val="32"/>
          <w:szCs w:val="32"/>
          <w:highlight w:val="none"/>
        </w:rPr>
        <w:t>申报时间：</w:t>
      </w:r>
      <w:r>
        <w:rPr>
          <w:rFonts w:hint="eastAsia" w:ascii="仿宋" w:hAnsi="仿宋" w:eastAsia="仿宋" w:cs="仿宋"/>
          <w:color w:val="auto"/>
          <w:kern w:val="0"/>
          <w:sz w:val="32"/>
          <w:szCs w:val="32"/>
          <w:highlight w:val="none"/>
          <w:u w:val="single"/>
          <w:lang w:val="en-US" w:eastAsia="zh-CN" w:bidi="ar-SA"/>
        </w:rPr>
        <w:t xml:space="preserve">  2024</w:t>
      </w:r>
      <w:r>
        <w:rPr>
          <w:rFonts w:hint="eastAsia" w:ascii="方正黑体_GBK" w:hAnsi="方正黑体_GBK" w:eastAsia="方正黑体_GBK" w:cs="方正黑体_GBK"/>
          <w:color w:val="auto"/>
          <w:sz w:val="32"/>
          <w:szCs w:val="32"/>
          <w:highlight w:val="none"/>
        </w:rPr>
        <w:t>年</w:t>
      </w:r>
      <w:r>
        <w:rPr>
          <w:rFonts w:hint="eastAsia" w:ascii="方正黑体_GBK" w:hAnsi="方正黑体_GBK" w:eastAsia="方正黑体_GBK" w:cs="方正黑体_GBK"/>
          <w:color w:val="auto"/>
          <w:sz w:val="32"/>
          <w:szCs w:val="32"/>
          <w:highlight w:val="none"/>
          <w:u w:val="single"/>
          <w:lang w:val="en-US" w:eastAsia="zh-CN"/>
        </w:rPr>
        <w:t xml:space="preserve">        </w:t>
      </w:r>
      <w:r>
        <w:rPr>
          <w:rFonts w:hint="eastAsia" w:ascii="方正黑体_GBK" w:hAnsi="方正黑体_GBK" w:eastAsia="方正黑体_GBK" w:cs="方正黑体_GBK"/>
          <w:color w:val="auto"/>
          <w:sz w:val="32"/>
          <w:szCs w:val="32"/>
          <w:highlight w:val="none"/>
          <w:lang w:val="en-US" w:eastAsia="zh-CN"/>
        </w:rPr>
        <w:t xml:space="preserve"> </w:t>
      </w:r>
      <w:r>
        <w:rPr>
          <w:rFonts w:hint="eastAsia" w:ascii="方正黑体_GBK" w:hAnsi="方正黑体_GBK" w:eastAsia="方正黑体_GBK" w:cs="方正黑体_GBK"/>
          <w:color w:val="auto"/>
          <w:sz w:val="32"/>
          <w:szCs w:val="32"/>
          <w:highlight w:val="none"/>
        </w:rPr>
        <w:t>月</w:t>
      </w:r>
      <w:r>
        <w:rPr>
          <w:rFonts w:hint="eastAsia" w:ascii="方正黑体_GBK" w:hAnsi="方正黑体_GBK" w:eastAsia="方正黑体_GBK" w:cs="方正黑体_GBK"/>
          <w:color w:val="auto"/>
          <w:sz w:val="32"/>
          <w:szCs w:val="32"/>
          <w:highlight w:val="none"/>
          <w:u w:val="single"/>
          <w:lang w:val="en-US" w:eastAsia="zh-CN"/>
        </w:rPr>
        <w:t xml:space="preserve">        </w:t>
      </w:r>
      <w:r>
        <w:rPr>
          <w:rFonts w:hint="eastAsia" w:ascii="方正黑体_GBK" w:hAnsi="方正黑体_GBK" w:eastAsia="方正黑体_GBK" w:cs="方正黑体_GBK"/>
          <w:color w:val="auto"/>
          <w:sz w:val="32"/>
          <w:szCs w:val="32"/>
          <w:highlight w:val="none"/>
        </w:rPr>
        <w:t>日</w:t>
      </w:r>
    </w:p>
    <w:p>
      <w:pPr>
        <w:widowControl/>
        <w:spacing w:beforeLines="0" w:afterLines="0" w:line="240" w:lineRule="auto"/>
        <w:jc w:val="both"/>
        <w:rPr>
          <w:rFonts w:hint="eastAsia" w:ascii="华文仿宋" w:hAnsi="华文仿宋" w:eastAsia="华文仿宋" w:cs="华文仿宋"/>
          <w:color w:val="auto"/>
          <w:highlight w:val="none"/>
        </w:rPr>
        <w:sectPr>
          <w:pgSz w:w="11850" w:h="16838"/>
          <w:pgMar w:top="2098" w:right="1474" w:bottom="1984" w:left="1587" w:header="850" w:footer="1247" w:gutter="0"/>
          <w:pgBorders>
            <w:top w:val="none" w:sz="0" w:space="0"/>
            <w:left w:val="none" w:sz="0" w:space="0"/>
            <w:bottom w:val="none" w:sz="0" w:space="0"/>
            <w:right w:val="none" w:sz="0" w:space="0"/>
          </w:pgBorders>
          <w:pgNumType w:fmt="decimal"/>
          <w:cols w:space="720" w:num="1"/>
          <w:rtlGutter w:val="0"/>
          <w:docGrid w:type="lines" w:linePitch="586" w:charSpace="0"/>
        </w:sectPr>
      </w:pPr>
    </w:p>
    <w:p>
      <w:pPr>
        <w:snapToGrid w:val="0"/>
        <w:spacing w:beforeLines="0" w:afterLines="0" w:line="240" w:lineRule="auto"/>
        <w:jc w:val="both"/>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-2</w:t>
      </w:r>
    </w:p>
    <w:p>
      <w:pPr>
        <w:snapToGrid w:val="0"/>
        <w:spacing w:beforeLines="0" w:afterLines="0" w:line="240" w:lineRule="auto"/>
        <w:jc w:val="both"/>
        <w:rPr>
          <w:rFonts w:hint="eastAsia" w:ascii="黑体" w:hAnsi="黑体" w:eastAsia="黑体" w:cs="黑体"/>
          <w:color w:val="auto"/>
          <w:sz w:val="32"/>
          <w:szCs w:val="32"/>
          <w:highlight w:val="none"/>
        </w:rPr>
      </w:pPr>
    </w:p>
    <w:p>
      <w:pPr>
        <w:snapToGrid w:val="0"/>
        <w:spacing w:beforeLines="0" w:afterLines="0" w:line="240" w:lineRule="auto"/>
        <w:jc w:val="center"/>
        <w:rPr>
          <w:rFonts w:hint="eastAsia" w:ascii="方正小标宋简体" w:hAnsi="宋体" w:eastAsia="方正小标宋简体" w:cs="宋体"/>
          <w:bCs/>
          <w:color w:val="auto"/>
          <w:kern w:val="1"/>
          <w:sz w:val="44"/>
          <w:szCs w:val="44"/>
          <w:highlight w:val="none"/>
          <w:lang w:eastAsia="zh-CN"/>
        </w:rPr>
      </w:pPr>
      <w:r>
        <w:rPr>
          <w:rFonts w:hint="eastAsia" w:ascii="方正小标宋简体" w:hAnsi="宋体" w:eastAsia="方正小标宋简体" w:cs="宋体"/>
          <w:bCs/>
          <w:color w:val="auto"/>
          <w:kern w:val="1"/>
          <w:sz w:val="44"/>
          <w:szCs w:val="44"/>
          <w:highlight w:val="none"/>
        </w:rPr>
        <w:t>项目申请表</w:t>
      </w:r>
    </w:p>
    <w:p>
      <w:pPr>
        <w:tabs>
          <w:tab w:val="left" w:pos="601"/>
          <w:tab w:val="right" w:pos="8938"/>
        </w:tabs>
        <w:snapToGrid w:val="0"/>
        <w:spacing w:beforeLines="0" w:afterLines="0" w:line="240" w:lineRule="auto"/>
        <w:ind w:firstLine="0" w:firstLineChars="0"/>
        <w:jc w:val="right"/>
        <w:rPr>
          <w:rFonts w:hint="eastAsia" w:ascii="宋体" w:hAnsi="宋体" w:cs="宋体"/>
          <w:b w:val="0"/>
          <w:bCs w:val="0"/>
          <w:color w:val="auto"/>
          <w:sz w:val="24"/>
          <w:szCs w:val="24"/>
          <w:highlight w:val="none"/>
        </w:rPr>
      </w:pPr>
      <w:r>
        <w:rPr>
          <w:rFonts w:hint="eastAsia" w:ascii="仿宋" w:hAnsi="仿宋" w:eastAsia="仿宋" w:cs="仿宋"/>
          <w:b w:val="0"/>
          <w:bCs w:val="0"/>
          <w:color w:val="auto"/>
          <w:sz w:val="24"/>
          <w:szCs w:val="24"/>
          <w:highlight w:val="none"/>
        </w:rPr>
        <w:t>货币单位：</w:t>
      </w:r>
      <w:r>
        <w:rPr>
          <w:rFonts w:hint="eastAsia" w:ascii="仿宋" w:hAnsi="仿宋" w:eastAsia="仿宋" w:cs="仿宋"/>
          <w:b/>
          <w:bCs/>
          <w:color w:val="auto"/>
          <w:sz w:val="32"/>
          <w:szCs w:val="32"/>
          <w:highlight w:val="none"/>
        </w:rPr>
        <w:t>万元</w:t>
      </w:r>
      <w:r>
        <w:rPr>
          <w:rFonts w:hint="eastAsia" w:ascii="仿宋" w:hAnsi="仿宋" w:eastAsia="仿宋" w:cs="仿宋"/>
          <w:b w:val="0"/>
          <w:bCs w:val="0"/>
          <w:color w:val="auto"/>
          <w:sz w:val="24"/>
          <w:szCs w:val="24"/>
          <w:highlight w:val="none"/>
        </w:rPr>
        <w:t>人民币</w:t>
      </w:r>
      <w:r>
        <w:rPr>
          <w:rFonts w:hint="eastAsia" w:ascii="仿宋" w:hAnsi="仿宋" w:eastAsia="仿宋" w:cs="仿宋"/>
          <w:b/>
          <w:bCs/>
          <w:color w:val="auto"/>
          <w:sz w:val="24"/>
          <w:szCs w:val="24"/>
          <w:highlight w:val="none"/>
          <w:lang w:eastAsia="zh-CN"/>
        </w:rPr>
        <w:t>（小数点后</w:t>
      </w: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lang w:eastAsia="zh-CN"/>
        </w:rPr>
        <w:t>位）</w:t>
      </w:r>
    </w:p>
    <w:tbl>
      <w:tblPr>
        <w:tblStyle w:val="21"/>
        <w:tblW w:w="95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13"/>
        <w:gridCol w:w="305"/>
        <w:gridCol w:w="2321"/>
        <w:gridCol w:w="1999"/>
        <w:gridCol w:w="334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9580" w:type="dxa"/>
            <w:gridSpan w:val="5"/>
            <w:tcBorders>
              <w:tl2br w:val="nil"/>
              <w:tr2bl w:val="nil"/>
            </w:tcBorders>
            <w:noWrap w:val="0"/>
            <w:vAlign w:val="center"/>
          </w:tcPr>
          <w:p>
            <w:pPr>
              <w:snapToGrid w:val="0"/>
              <w:spacing w:beforeLines="0" w:afterLines="0" w:line="240" w:lineRule="auto"/>
              <w:ind w:firstLine="0" w:firstLineChars="0"/>
              <w:jc w:val="center"/>
              <w:textAlignment w:val="auto"/>
              <w:rPr>
                <w:rFonts w:hint="eastAsia" w:ascii="仿宋" w:hAnsi="仿宋" w:eastAsia="仿宋" w:cs="仿宋"/>
                <w:b/>
                <w:bCs/>
                <w:color w:val="FF0000"/>
                <w:sz w:val="24"/>
                <w:szCs w:val="24"/>
                <w:highlight w:val="none"/>
                <w:lang w:eastAsia="zh-CN"/>
              </w:rPr>
            </w:pPr>
            <w:r>
              <w:rPr>
                <w:rFonts w:hint="eastAsia" w:ascii="黑体" w:hAnsi="黑体" w:eastAsia="黑体" w:cs="黑体"/>
                <w:bCs w:val="0"/>
                <w:color w:val="auto"/>
                <w:sz w:val="24"/>
                <w:szCs w:val="24"/>
                <w:highlight w:val="none"/>
              </w:rPr>
              <w:t>申请单位基本情况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eastAsia="zh-CN"/>
              </w:rPr>
              <w:t>企业名称</w:t>
            </w:r>
          </w:p>
        </w:tc>
        <w:tc>
          <w:tcPr>
            <w:tcW w:w="2626" w:type="dxa"/>
            <w:gridSpan w:val="2"/>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kern w:val="2"/>
                <w:sz w:val="24"/>
                <w:szCs w:val="24"/>
                <w:highlight w:val="none"/>
                <w:lang w:val="en-US" w:eastAsia="zh-CN" w:bidi="ar-SA"/>
              </w:rPr>
            </w:pPr>
          </w:p>
        </w:tc>
        <w:tc>
          <w:tcPr>
            <w:tcW w:w="1999"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eastAsia="zh-CN"/>
              </w:rPr>
              <w:t>统一社会信用代码</w:t>
            </w:r>
          </w:p>
        </w:tc>
        <w:tc>
          <w:tcPr>
            <w:tcW w:w="3342" w:type="dxa"/>
            <w:tcBorders>
              <w:tl2br w:val="nil"/>
              <w:tr2bl w:val="nil"/>
            </w:tcBorders>
            <w:noWrap w:val="0"/>
            <w:vAlign w:val="center"/>
          </w:tcPr>
          <w:p>
            <w:pPr>
              <w:snapToGrid w:val="0"/>
              <w:spacing w:beforeLines="0" w:afterLines="0" w:line="240" w:lineRule="auto"/>
              <w:ind w:firstLine="240" w:firstLineChars="100"/>
              <w:jc w:val="both"/>
              <w:textAlignment w:val="auto"/>
              <w:rPr>
                <w:rFonts w:hint="eastAsia" w:ascii="仿宋" w:hAnsi="仿宋" w:eastAsia="仿宋" w:cs="仿宋"/>
                <w:b/>
                <w:bCs/>
                <w:color w:val="FF000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lang w:eastAsia="zh-CN"/>
              </w:rPr>
              <w:t>成立日期</w:t>
            </w:r>
          </w:p>
        </w:tc>
        <w:tc>
          <w:tcPr>
            <w:tcW w:w="2626" w:type="dxa"/>
            <w:gridSpan w:val="2"/>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kern w:val="2"/>
                <w:sz w:val="24"/>
                <w:szCs w:val="24"/>
                <w:highlight w:val="none"/>
                <w:lang w:val="en-US" w:eastAsia="zh-CN" w:bidi="ar-SA"/>
              </w:rPr>
            </w:pPr>
          </w:p>
        </w:tc>
        <w:tc>
          <w:tcPr>
            <w:tcW w:w="1999"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lang w:eastAsia="zh-CN"/>
              </w:rPr>
              <w:t>法定代表人</w:t>
            </w:r>
          </w:p>
        </w:tc>
        <w:tc>
          <w:tcPr>
            <w:tcW w:w="3342" w:type="dxa"/>
            <w:tcBorders>
              <w:tl2br w:val="nil"/>
              <w:tr2bl w:val="nil"/>
            </w:tcBorders>
            <w:noWrap w:val="0"/>
            <w:vAlign w:val="center"/>
          </w:tcPr>
          <w:p>
            <w:pPr>
              <w:snapToGrid w:val="0"/>
              <w:spacing w:beforeLines="0" w:afterLines="0" w:line="240" w:lineRule="auto"/>
              <w:ind w:firstLine="240" w:firstLineChars="100"/>
              <w:jc w:val="both"/>
              <w:textAlignment w:val="auto"/>
              <w:rPr>
                <w:rFonts w:hint="eastAsia" w:ascii="仿宋" w:hAnsi="仿宋" w:eastAsia="仿宋" w:cs="仿宋"/>
                <w:b/>
                <w:bCs/>
                <w:color w:val="FF0000"/>
                <w:sz w:val="24"/>
                <w:szCs w:val="24"/>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70"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eastAsia="zh-CN"/>
              </w:rPr>
              <w:t>注册</w:t>
            </w:r>
            <w:r>
              <w:rPr>
                <w:rFonts w:hint="eastAsia" w:ascii="黑体" w:hAnsi="黑体" w:eastAsia="黑体" w:cs="黑体"/>
                <w:color w:val="auto"/>
                <w:sz w:val="24"/>
                <w:szCs w:val="24"/>
                <w:highlight w:val="none"/>
              </w:rPr>
              <w:t>地址</w:t>
            </w:r>
          </w:p>
        </w:tc>
        <w:tc>
          <w:tcPr>
            <w:tcW w:w="2626" w:type="dxa"/>
            <w:gridSpan w:val="2"/>
            <w:tcBorders>
              <w:tl2br w:val="nil"/>
              <w:tr2bl w:val="nil"/>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4"/>
                <w:szCs w:val="24"/>
                <w:highlight w:val="none"/>
              </w:rPr>
            </w:pPr>
          </w:p>
        </w:tc>
        <w:tc>
          <w:tcPr>
            <w:tcW w:w="1999" w:type="dxa"/>
            <w:tcBorders>
              <w:tl2br w:val="nil"/>
              <w:tr2bl w:val="nil"/>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4"/>
                <w:szCs w:val="24"/>
                <w:highlight w:val="none"/>
              </w:rPr>
            </w:pPr>
            <w:r>
              <w:rPr>
                <w:rFonts w:hint="eastAsia" w:ascii="黑体" w:hAnsi="黑体" w:eastAsia="黑体" w:cs="黑体"/>
                <w:color w:val="auto"/>
                <w:sz w:val="24"/>
                <w:szCs w:val="24"/>
                <w:highlight w:val="none"/>
              </w:rPr>
              <w:t>所在区</w:t>
            </w:r>
          </w:p>
        </w:tc>
        <w:tc>
          <w:tcPr>
            <w:tcW w:w="3342" w:type="dxa"/>
            <w:tcBorders>
              <w:tl2br w:val="nil"/>
              <w:tr2bl w:val="nil"/>
            </w:tcBorders>
            <w:noWrap w:val="0"/>
            <w:vAlign w:val="center"/>
          </w:tcPr>
          <w:p>
            <w:pPr>
              <w:keepNext w:val="0"/>
              <w:keepLines w:val="0"/>
              <w:widowControl/>
              <w:suppressLineNumbers w:val="0"/>
              <w:jc w:val="left"/>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【香洲区、金湾区（含高栏、</w:t>
            </w:r>
            <w:r>
              <w:rPr>
                <w:rFonts w:hint="eastAsia" w:ascii="仿宋" w:hAnsi="仿宋" w:eastAsia="仿宋" w:cs="仿宋"/>
                <w:b/>
                <w:bCs/>
                <w:color w:val="auto"/>
                <w:sz w:val="21"/>
                <w:szCs w:val="21"/>
                <w:highlight w:val="none"/>
                <w:lang w:val="en-US" w:eastAsia="zh-CN"/>
              </w:rPr>
              <w:t>经</w:t>
            </w:r>
          </w:p>
          <w:p>
            <w:pPr>
              <w:keepNext w:val="0"/>
              <w:keepLines w:val="0"/>
              <w:widowControl/>
              <w:suppressLineNumbers w:val="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lang w:val="en-US" w:eastAsia="zh-CN"/>
              </w:rPr>
              <w:t>开区</w:t>
            </w:r>
            <w:r>
              <w:rPr>
                <w:rFonts w:hint="eastAsia" w:ascii="仿宋" w:hAnsi="仿宋" w:eastAsia="仿宋" w:cs="仿宋"/>
                <w:b/>
                <w:bCs/>
                <w:color w:val="auto"/>
                <w:sz w:val="21"/>
                <w:szCs w:val="21"/>
                <w:highlight w:val="none"/>
                <w:lang w:eastAsia="zh-CN"/>
              </w:rPr>
              <w:t>）、斗门区、高新区、鹤洲新区筹备组（含洪湾、万山、保税区、跨境工业区等）】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8"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eastAsia="zh-CN"/>
              </w:rPr>
              <w:t>实际办公地址</w:t>
            </w:r>
          </w:p>
        </w:tc>
        <w:tc>
          <w:tcPr>
            <w:tcW w:w="7967" w:type="dxa"/>
            <w:gridSpan w:val="4"/>
            <w:tcBorders>
              <w:tl2br w:val="nil"/>
              <w:tr2bl w:val="nil"/>
            </w:tcBorders>
            <w:noWrap w:val="0"/>
            <w:vAlign w:val="center"/>
          </w:tcPr>
          <w:p>
            <w:pPr>
              <w:snapToGrid w:val="0"/>
              <w:spacing w:beforeLines="0" w:afterLines="0" w:line="240" w:lineRule="auto"/>
              <w:ind w:firstLine="210" w:firstLineChars="100"/>
              <w:jc w:val="both"/>
              <w:textAlignment w:val="auto"/>
              <w:rPr>
                <w:rFonts w:hint="eastAsia" w:ascii="仿宋" w:hAnsi="仿宋" w:eastAsia="仿宋" w:cs="仿宋"/>
                <w:b/>
                <w:bCs/>
                <w:color w:val="FF0000"/>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9580" w:type="dxa"/>
            <w:gridSpan w:val="5"/>
            <w:tcBorders>
              <w:tl2br w:val="nil"/>
              <w:tr2bl w:val="nil"/>
            </w:tcBorders>
            <w:noWrap w:val="0"/>
            <w:vAlign w:val="center"/>
          </w:tcPr>
          <w:p>
            <w:pPr>
              <w:snapToGrid w:val="0"/>
              <w:spacing w:beforeLines="0" w:afterLines="0" w:line="240" w:lineRule="auto"/>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申请单位银行账户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top"/>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开户银行名称</w:t>
            </w:r>
          </w:p>
        </w:tc>
        <w:tc>
          <w:tcPr>
            <w:tcW w:w="2626" w:type="dxa"/>
            <w:gridSpan w:val="2"/>
            <w:tcBorders>
              <w:tl2br w:val="nil"/>
              <w:tr2bl w:val="nil"/>
            </w:tcBorders>
            <w:noWrap w:val="0"/>
            <w:vAlign w:val="top"/>
          </w:tcPr>
          <w:p>
            <w:pPr>
              <w:snapToGrid w:val="0"/>
              <w:spacing w:beforeLines="0" w:afterLines="0" w:line="240" w:lineRule="auto"/>
              <w:jc w:val="both"/>
              <w:textAlignment w:val="center"/>
              <w:rPr>
                <w:rFonts w:hint="eastAsia" w:ascii="仿宋" w:hAnsi="仿宋" w:eastAsia="仿宋" w:cs="仿宋"/>
                <w:color w:val="auto"/>
                <w:sz w:val="24"/>
                <w:szCs w:val="24"/>
                <w:highlight w:val="none"/>
              </w:rPr>
            </w:pPr>
          </w:p>
        </w:tc>
        <w:tc>
          <w:tcPr>
            <w:tcW w:w="1999" w:type="dxa"/>
            <w:tcBorders>
              <w:tl2br w:val="nil"/>
              <w:tr2bl w:val="nil"/>
            </w:tcBorders>
            <w:noWrap w:val="0"/>
            <w:vAlign w:val="top"/>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开户行地址</w:t>
            </w:r>
          </w:p>
        </w:tc>
        <w:tc>
          <w:tcPr>
            <w:tcW w:w="3342" w:type="dxa"/>
            <w:tcBorders>
              <w:tl2br w:val="nil"/>
              <w:tr2bl w:val="nil"/>
            </w:tcBorders>
            <w:noWrap w:val="0"/>
            <w:vAlign w:val="top"/>
          </w:tcPr>
          <w:p>
            <w:pPr>
              <w:snapToGrid w:val="0"/>
              <w:spacing w:beforeLines="0" w:afterLines="0" w:line="240" w:lineRule="auto"/>
              <w:ind w:left="0"/>
              <w:jc w:val="both"/>
              <w:textAlignment w:val="center"/>
              <w:rPr>
                <w:rFonts w:hint="eastAsia" w:ascii="仿宋" w:hAnsi="仿宋" w:eastAsia="仿宋" w:cs="仿宋"/>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top"/>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开户户名</w:t>
            </w:r>
          </w:p>
        </w:tc>
        <w:tc>
          <w:tcPr>
            <w:tcW w:w="2626" w:type="dxa"/>
            <w:gridSpan w:val="2"/>
            <w:tcBorders>
              <w:tl2br w:val="nil"/>
              <w:tr2bl w:val="nil"/>
            </w:tcBorders>
            <w:noWrap w:val="0"/>
            <w:vAlign w:val="top"/>
          </w:tcPr>
          <w:p>
            <w:pPr>
              <w:snapToGrid w:val="0"/>
              <w:spacing w:beforeLines="0" w:afterLines="0" w:line="240" w:lineRule="auto"/>
              <w:jc w:val="both"/>
              <w:textAlignment w:val="center"/>
              <w:rPr>
                <w:rFonts w:hint="eastAsia" w:ascii="仿宋" w:hAnsi="仿宋" w:eastAsia="仿宋" w:cs="仿宋"/>
                <w:color w:val="auto"/>
                <w:sz w:val="24"/>
                <w:szCs w:val="24"/>
                <w:highlight w:val="none"/>
              </w:rPr>
            </w:pPr>
          </w:p>
        </w:tc>
        <w:tc>
          <w:tcPr>
            <w:tcW w:w="1999" w:type="dxa"/>
            <w:tcBorders>
              <w:tl2br w:val="nil"/>
              <w:tr2bl w:val="nil"/>
            </w:tcBorders>
            <w:noWrap w:val="0"/>
            <w:vAlign w:val="top"/>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银行账号</w:t>
            </w:r>
          </w:p>
        </w:tc>
        <w:tc>
          <w:tcPr>
            <w:tcW w:w="3342" w:type="dxa"/>
            <w:tcBorders>
              <w:tl2br w:val="nil"/>
              <w:tr2bl w:val="nil"/>
            </w:tcBorders>
            <w:noWrap w:val="0"/>
            <w:vAlign w:val="top"/>
          </w:tcPr>
          <w:p>
            <w:pPr>
              <w:snapToGrid w:val="0"/>
              <w:spacing w:beforeLines="0" w:afterLines="0" w:line="240" w:lineRule="auto"/>
              <w:jc w:val="both"/>
              <w:textAlignment w:val="center"/>
              <w:rPr>
                <w:rFonts w:hint="eastAsia" w:ascii="仿宋" w:hAnsi="仿宋" w:eastAsia="仿宋" w:cs="仿宋"/>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9580" w:type="dxa"/>
            <w:gridSpan w:val="5"/>
            <w:tcBorders>
              <w:tl2br w:val="nil"/>
              <w:tr2bl w:val="nil"/>
            </w:tcBorders>
            <w:noWrap w:val="0"/>
            <w:vAlign w:val="center"/>
          </w:tcPr>
          <w:p>
            <w:pPr>
              <w:snapToGrid w:val="0"/>
              <w:spacing w:beforeLines="0" w:afterLines="0" w:line="240" w:lineRule="auto"/>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202</w:t>
            </w:r>
            <w:r>
              <w:rPr>
                <w:rFonts w:hint="eastAsia" w:ascii="黑体" w:hAnsi="黑体" w:eastAsia="黑体" w:cs="黑体"/>
                <w:bCs/>
                <w:color w:val="auto"/>
                <w:sz w:val="24"/>
                <w:szCs w:val="24"/>
                <w:highlight w:val="none"/>
                <w:lang w:val="en-US" w:eastAsia="zh-CN"/>
              </w:rPr>
              <w:t>3</w:t>
            </w:r>
            <w:r>
              <w:rPr>
                <w:rFonts w:hint="eastAsia" w:ascii="黑体" w:hAnsi="黑体" w:eastAsia="黑体" w:cs="黑体"/>
                <w:bCs/>
                <w:color w:val="auto"/>
                <w:sz w:val="24"/>
                <w:szCs w:val="24"/>
                <w:highlight w:val="none"/>
              </w:rPr>
              <w:t>年主要经济指标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企业总收入</w:t>
            </w:r>
          </w:p>
        </w:tc>
        <w:tc>
          <w:tcPr>
            <w:tcW w:w="2626" w:type="dxa"/>
            <w:gridSpan w:val="2"/>
            <w:tcBorders>
              <w:tl2br w:val="nil"/>
              <w:tr2bl w:val="nil"/>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4"/>
                <w:szCs w:val="24"/>
                <w:highlight w:val="none"/>
              </w:rPr>
            </w:pPr>
          </w:p>
        </w:tc>
        <w:tc>
          <w:tcPr>
            <w:tcW w:w="1999" w:type="dxa"/>
            <w:tcBorders>
              <w:tl2br w:val="nil"/>
              <w:tr2bl w:val="nil"/>
            </w:tcBorders>
            <w:noWrap w:val="0"/>
            <w:vAlign w:val="center"/>
          </w:tcPr>
          <w:p>
            <w:pPr>
              <w:snapToGrid w:val="0"/>
              <w:spacing w:beforeLines="0" w:afterLines="0" w:line="240" w:lineRule="auto"/>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净利润</w:t>
            </w:r>
          </w:p>
        </w:tc>
        <w:tc>
          <w:tcPr>
            <w:tcW w:w="3342" w:type="dxa"/>
            <w:tcBorders>
              <w:tl2br w:val="nil"/>
              <w:tr2bl w:val="nil"/>
            </w:tcBorders>
            <w:noWrap w:val="0"/>
            <w:vAlign w:val="center"/>
          </w:tcPr>
          <w:p>
            <w:pPr>
              <w:snapToGrid w:val="0"/>
              <w:spacing w:beforeLines="0" w:afterLines="0" w:line="240" w:lineRule="auto"/>
              <w:jc w:val="both"/>
              <w:rPr>
                <w:rFonts w:hint="eastAsia" w:ascii="仿宋" w:hAnsi="仿宋" w:eastAsia="仿宋" w:cs="仿宋"/>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主营业务收入</w:t>
            </w:r>
          </w:p>
        </w:tc>
        <w:tc>
          <w:tcPr>
            <w:tcW w:w="2626" w:type="dxa"/>
            <w:gridSpan w:val="2"/>
            <w:tcBorders>
              <w:tl2br w:val="nil"/>
              <w:tr2bl w:val="nil"/>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4"/>
                <w:szCs w:val="24"/>
                <w:highlight w:val="none"/>
              </w:rPr>
            </w:pPr>
          </w:p>
        </w:tc>
        <w:tc>
          <w:tcPr>
            <w:tcW w:w="1999" w:type="dxa"/>
            <w:tcBorders>
              <w:tl2br w:val="nil"/>
              <w:tr2bl w:val="nil"/>
            </w:tcBorders>
            <w:noWrap w:val="0"/>
            <w:vAlign w:val="center"/>
          </w:tcPr>
          <w:p>
            <w:pPr>
              <w:snapToGrid w:val="0"/>
              <w:spacing w:beforeLines="0" w:afterLines="0" w:line="240" w:lineRule="auto"/>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纳税额</w:t>
            </w:r>
          </w:p>
        </w:tc>
        <w:tc>
          <w:tcPr>
            <w:tcW w:w="3342" w:type="dxa"/>
            <w:tcBorders>
              <w:tl2br w:val="nil"/>
              <w:tr2bl w:val="nil"/>
            </w:tcBorders>
            <w:noWrap w:val="0"/>
            <w:vAlign w:val="center"/>
          </w:tcPr>
          <w:p>
            <w:pPr>
              <w:snapToGrid w:val="0"/>
              <w:spacing w:beforeLines="0" w:afterLines="0" w:line="240" w:lineRule="auto"/>
              <w:jc w:val="both"/>
              <w:rPr>
                <w:rFonts w:hint="eastAsia" w:ascii="仿宋" w:hAnsi="仿宋" w:eastAsia="仿宋" w:cs="仿宋"/>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9580" w:type="dxa"/>
            <w:gridSpan w:val="5"/>
            <w:tcBorders>
              <w:tl2br w:val="nil"/>
              <w:tr2bl w:val="nil"/>
            </w:tcBorders>
            <w:noWrap w:val="0"/>
            <w:vAlign w:val="center"/>
          </w:tcPr>
          <w:p>
            <w:pPr>
              <w:snapToGrid w:val="0"/>
              <w:spacing w:beforeLines="0" w:afterLines="0" w:line="240" w:lineRule="auto"/>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202</w:t>
            </w:r>
            <w:r>
              <w:rPr>
                <w:rFonts w:hint="eastAsia" w:ascii="黑体" w:hAnsi="黑体" w:eastAsia="黑体" w:cs="黑体"/>
                <w:bCs/>
                <w:color w:val="auto"/>
                <w:sz w:val="24"/>
                <w:szCs w:val="24"/>
                <w:highlight w:val="none"/>
                <w:lang w:val="en-US" w:eastAsia="zh-CN"/>
              </w:rPr>
              <w:t>3</w:t>
            </w:r>
            <w:r>
              <w:rPr>
                <w:rFonts w:hint="eastAsia" w:ascii="黑体" w:hAnsi="黑体" w:eastAsia="黑体" w:cs="黑体"/>
                <w:bCs/>
                <w:color w:val="auto"/>
                <w:sz w:val="24"/>
                <w:szCs w:val="24"/>
                <w:highlight w:val="none"/>
              </w:rPr>
              <w:t>年财务状况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资产总额</w:t>
            </w:r>
          </w:p>
        </w:tc>
        <w:tc>
          <w:tcPr>
            <w:tcW w:w="2626" w:type="dxa"/>
            <w:gridSpan w:val="2"/>
            <w:tcBorders>
              <w:tl2br w:val="nil"/>
              <w:tr2bl w:val="nil"/>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4"/>
                <w:szCs w:val="24"/>
                <w:highlight w:val="none"/>
              </w:rPr>
            </w:pPr>
          </w:p>
        </w:tc>
        <w:tc>
          <w:tcPr>
            <w:tcW w:w="1999" w:type="dxa"/>
            <w:tcBorders>
              <w:tl2br w:val="nil"/>
              <w:tr2bl w:val="nil"/>
            </w:tcBorders>
            <w:noWrap w:val="0"/>
            <w:vAlign w:val="center"/>
          </w:tcPr>
          <w:p>
            <w:pPr>
              <w:snapToGrid w:val="0"/>
              <w:spacing w:beforeLines="0" w:afterLines="0" w:line="240" w:lineRule="auto"/>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负债总额</w:t>
            </w:r>
          </w:p>
        </w:tc>
        <w:tc>
          <w:tcPr>
            <w:tcW w:w="3342" w:type="dxa"/>
            <w:tcBorders>
              <w:tl2br w:val="nil"/>
              <w:tr2bl w:val="nil"/>
            </w:tcBorders>
            <w:noWrap w:val="0"/>
            <w:vAlign w:val="center"/>
          </w:tcPr>
          <w:p>
            <w:pPr>
              <w:snapToGrid w:val="0"/>
              <w:spacing w:beforeLines="0" w:afterLines="0" w:line="240" w:lineRule="auto"/>
              <w:jc w:val="center"/>
              <w:rPr>
                <w:rFonts w:hint="eastAsia" w:ascii="仿宋" w:hAnsi="仿宋" w:eastAsia="仿宋" w:cs="仿宋"/>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固定资产总额</w:t>
            </w:r>
          </w:p>
        </w:tc>
        <w:tc>
          <w:tcPr>
            <w:tcW w:w="2626" w:type="dxa"/>
            <w:gridSpan w:val="2"/>
            <w:tcBorders>
              <w:tl2br w:val="nil"/>
              <w:tr2bl w:val="nil"/>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4"/>
                <w:szCs w:val="24"/>
                <w:highlight w:val="none"/>
              </w:rPr>
            </w:pPr>
          </w:p>
        </w:tc>
        <w:tc>
          <w:tcPr>
            <w:tcW w:w="1999" w:type="dxa"/>
            <w:tcBorders>
              <w:tl2br w:val="nil"/>
              <w:tr2bl w:val="nil"/>
            </w:tcBorders>
            <w:noWrap w:val="0"/>
            <w:vAlign w:val="center"/>
          </w:tcPr>
          <w:p>
            <w:pPr>
              <w:snapToGrid w:val="0"/>
              <w:spacing w:beforeLines="0" w:afterLines="0" w:line="240" w:lineRule="auto"/>
              <w:jc w:val="center"/>
              <w:rPr>
                <w:rFonts w:hint="default" w:ascii="黑体" w:hAnsi="黑体" w:eastAsia="黑体" w:cs="黑体"/>
                <w:color w:val="auto"/>
                <w:sz w:val="24"/>
                <w:szCs w:val="24"/>
                <w:highlight w:val="none"/>
                <w:lang w:val="en-US" w:eastAsia="zh-CN"/>
              </w:rPr>
            </w:pPr>
            <w:r>
              <w:rPr>
                <w:rFonts w:hint="eastAsia" w:ascii="黑体" w:hAnsi="黑体" w:eastAsia="黑体" w:cs="黑体"/>
                <w:color w:val="auto"/>
                <w:sz w:val="24"/>
                <w:szCs w:val="24"/>
                <w:highlight w:val="none"/>
              </w:rPr>
              <w:t>资产负债率</w:t>
            </w:r>
          </w:p>
        </w:tc>
        <w:tc>
          <w:tcPr>
            <w:tcW w:w="3342" w:type="dxa"/>
            <w:tcBorders>
              <w:tl2br w:val="nil"/>
              <w:tr2bl w:val="nil"/>
            </w:tcBorders>
            <w:noWrap w:val="0"/>
            <w:vAlign w:val="center"/>
          </w:tcPr>
          <w:p>
            <w:pPr>
              <w:snapToGrid w:val="0"/>
              <w:spacing w:beforeLines="0" w:afterLines="0" w:line="240" w:lineRule="auto"/>
              <w:jc w:val="center"/>
              <w:rPr>
                <w:rFonts w:hint="eastAsia" w:ascii="仿宋" w:hAnsi="仿宋" w:eastAsia="仿宋" w:cs="仿宋"/>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1613" w:type="dxa"/>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流动资产总额</w:t>
            </w:r>
          </w:p>
        </w:tc>
        <w:tc>
          <w:tcPr>
            <w:tcW w:w="7967" w:type="dxa"/>
            <w:gridSpan w:val="4"/>
            <w:tcBorders>
              <w:tl2br w:val="nil"/>
              <w:tr2bl w:val="nil"/>
            </w:tcBorders>
            <w:noWrap w:val="0"/>
            <w:vAlign w:val="center"/>
          </w:tcPr>
          <w:p>
            <w:pPr>
              <w:snapToGrid w:val="0"/>
              <w:spacing w:beforeLines="0" w:afterLines="0" w:line="240" w:lineRule="auto"/>
              <w:jc w:val="center"/>
              <w:rPr>
                <w:rFonts w:hint="eastAsia" w:ascii="仿宋" w:hAnsi="仿宋" w:eastAsia="仿宋" w:cs="仿宋"/>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2" w:hRule="atLeast"/>
          <w:jc w:val="center"/>
        </w:trPr>
        <w:tc>
          <w:tcPr>
            <w:tcW w:w="9580" w:type="dxa"/>
            <w:gridSpan w:val="5"/>
            <w:tcBorders>
              <w:tl2br w:val="nil"/>
              <w:tr2bl w:val="nil"/>
            </w:tcBorders>
            <w:noWrap w:val="0"/>
            <w:vAlign w:val="center"/>
          </w:tcPr>
          <w:p>
            <w:pPr>
              <w:snapToGrid w:val="0"/>
              <w:spacing w:beforeLines="0" w:afterLines="0" w:line="240" w:lineRule="auto"/>
              <w:jc w:val="center"/>
              <w:rPr>
                <w:rFonts w:hint="eastAsia" w:ascii="黑体" w:hAnsi="黑体" w:eastAsia="黑体" w:cs="黑体"/>
                <w:bCs/>
                <w:color w:val="auto"/>
                <w:sz w:val="24"/>
                <w:szCs w:val="24"/>
                <w:highlight w:val="none"/>
              </w:rPr>
            </w:pPr>
            <w:r>
              <w:rPr>
                <w:rFonts w:hint="eastAsia" w:ascii="黑体" w:hAnsi="黑体" w:eastAsia="黑体" w:cs="黑体"/>
                <w:bCs/>
                <w:color w:val="auto"/>
                <w:sz w:val="24"/>
                <w:szCs w:val="24"/>
                <w:highlight w:val="none"/>
              </w:rPr>
              <w:t>申报项目情况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22" w:hRule="atLeast"/>
          <w:jc w:val="center"/>
        </w:trPr>
        <w:tc>
          <w:tcPr>
            <w:tcW w:w="1918" w:type="dxa"/>
            <w:gridSpan w:val="2"/>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lang w:eastAsia="zh-CN"/>
              </w:rPr>
              <w:t>申报</w:t>
            </w:r>
            <w:r>
              <w:rPr>
                <w:rFonts w:hint="eastAsia" w:ascii="黑体" w:hAnsi="黑体" w:eastAsia="黑体" w:cs="黑体"/>
                <w:color w:val="auto"/>
                <w:sz w:val="24"/>
                <w:szCs w:val="24"/>
                <w:highlight w:val="none"/>
              </w:rPr>
              <w:t>项目</w:t>
            </w:r>
            <w:r>
              <w:rPr>
                <w:rFonts w:hint="eastAsia" w:ascii="黑体" w:hAnsi="黑体" w:eastAsia="黑体" w:cs="黑体"/>
                <w:color w:val="auto"/>
                <w:sz w:val="24"/>
                <w:szCs w:val="24"/>
                <w:highlight w:val="none"/>
                <w:lang w:eastAsia="zh-CN"/>
              </w:rPr>
              <w:t>名称</w:t>
            </w:r>
          </w:p>
        </w:tc>
        <w:tc>
          <w:tcPr>
            <w:tcW w:w="7662" w:type="dxa"/>
            <w:gridSpan w:val="3"/>
            <w:tcBorders>
              <w:tl2br w:val="nil"/>
              <w:tr2bl w:val="nil"/>
            </w:tcBorders>
            <w:noWrap w:val="0"/>
            <w:vAlign w:val="center"/>
          </w:tcPr>
          <w:p>
            <w:pPr>
              <w:snapToGrid w:val="0"/>
              <w:spacing w:beforeLines="0" w:afterLines="0" w:line="240" w:lineRule="auto"/>
              <w:ind w:firstLine="240" w:firstLineChars="100"/>
              <w:jc w:val="both"/>
              <w:rPr>
                <w:rFonts w:hint="eastAsia" w:ascii="CESI楷体-GB13000" w:hAnsi="CESI楷体-GB13000" w:eastAsia="CESI楷体-GB13000" w:cs="CESI楷体-GB13000"/>
                <w:b/>
                <w:bCs w:val="0"/>
                <w:color w:val="auto"/>
                <w:sz w:val="24"/>
                <w:szCs w:val="24"/>
                <w:highlight w:val="none"/>
                <w:lang w:eastAsia="zh-CN"/>
              </w:rPr>
            </w:pPr>
            <w:r>
              <w:rPr>
                <w:rFonts w:hint="eastAsia" w:ascii="CESI楷体-GB13000" w:hAnsi="CESI楷体-GB13000" w:eastAsia="CESI楷体-GB13000" w:cs="CESI楷体-GB13000"/>
                <w:b/>
                <w:bCs w:val="0"/>
                <w:color w:val="auto"/>
                <w:sz w:val="24"/>
                <w:szCs w:val="24"/>
                <w:highlight w:val="none"/>
              </w:rPr>
              <w:t>（一）</w:t>
            </w:r>
            <w:r>
              <w:rPr>
                <w:rFonts w:hint="eastAsia" w:ascii="CESI楷体-GB13000" w:hAnsi="CESI楷体-GB13000" w:eastAsia="CESI楷体-GB13000" w:cs="CESI楷体-GB13000"/>
                <w:b/>
                <w:bCs w:val="0"/>
                <w:color w:val="auto"/>
                <w:sz w:val="24"/>
                <w:szCs w:val="24"/>
                <w:highlight w:val="none"/>
                <w:lang w:eastAsia="zh-CN"/>
              </w:rPr>
              <w:t>促进港珠澳大桥跨境物流货源集聚</w:t>
            </w:r>
          </w:p>
          <w:p>
            <w:pPr>
              <w:snapToGrid w:val="0"/>
              <w:spacing w:beforeLines="0" w:afterLines="0" w:line="240" w:lineRule="auto"/>
              <w:ind w:firstLine="240" w:firstLineChars="100"/>
              <w:jc w:val="both"/>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1</w:t>
            </w:r>
            <w:r>
              <w:rPr>
                <w:rFonts w:hint="default" w:ascii="仿宋" w:hAnsi="仿宋" w:eastAsia="仿宋" w:cs="仿宋"/>
                <w:color w:val="auto"/>
                <w:kern w:val="0"/>
                <w:sz w:val="24"/>
                <w:szCs w:val="24"/>
                <w:highlight w:val="none"/>
                <w:lang w:val="en" w:bidi="ar"/>
              </w:rPr>
              <w:t>.</w:t>
            </w:r>
            <w:r>
              <w:rPr>
                <w:rFonts w:hint="eastAsia" w:ascii="仿宋" w:hAnsi="仿宋" w:eastAsia="仿宋" w:cs="仿宋"/>
                <w:color w:val="auto"/>
                <w:kern w:val="0"/>
                <w:sz w:val="24"/>
                <w:szCs w:val="24"/>
                <w:highlight w:val="none"/>
                <w:lang w:val="en" w:eastAsia="zh-CN" w:bidi="ar"/>
              </w:rPr>
              <w:t>支持</w:t>
            </w:r>
            <w:r>
              <w:rPr>
                <w:rFonts w:hint="eastAsia" w:ascii="仿宋" w:hAnsi="仿宋" w:eastAsia="仿宋" w:cs="仿宋"/>
                <w:color w:val="auto"/>
                <w:kern w:val="0"/>
                <w:sz w:val="24"/>
                <w:szCs w:val="24"/>
                <w:highlight w:val="none"/>
                <w:lang w:bidi="ar"/>
              </w:rPr>
              <w:t>港珠澳大桥</w:t>
            </w:r>
            <w:r>
              <w:rPr>
                <w:rFonts w:hint="eastAsia" w:ascii="仿宋" w:hAnsi="仿宋" w:eastAsia="仿宋" w:cs="仿宋"/>
                <w:color w:val="auto"/>
                <w:kern w:val="0"/>
                <w:sz w:val="24"/>
                <w:szCs w:val="24"/>
                <w:highlight w:val="none"/>
                <w:lang w:eastAsia="zh-CN" w:bidi="ar"/>
              </w:rPr>
              <w:t>跨境</w:t>
            </w:r>
            <w:r>
              <w:rPr>
                <w:rFonts w:hint="eastAsia" w:ascii="仿宋" w:hAnsi="仿宋" w:eastAsia="仿宋" w:cs="仿宋"/>
                <w:color w:val="auto"/>
                <w:kern w:val="0"/>
                <w:sz w:val="24"/>
                <w:szCs w:val="24"/>
                <w:highlight w:val="none"/>
                <w:lang w:bidi="ar"/>
              </w:rPr>
              <w:t>货运业务</w:t>
            </w:r>
            <w:r>
              <w:rPr>
                <w:rFonts w:hint="eastAsia" w:ascii="仿宋" w:hAnsi="仿宋" w:eastAsia="仿宋" w:cs="仿宋"/>
                <w:color w:val="auto"/>
                <w:sz w:val="24"/>
                <w:szCs w:val="24"/>
                <w:highlight w:val="none"/>
                <w:lang w:eastAsia="zh-CN"/>
              </w:rPr>
              <w:t>□</w:t>
            </w:r>
          </w:p>
          <w:p>
            <w:pPr>
              <w:snapToGrid w:val="0"/>
              <w:spacing w:beforeLines="0" w:afterLines="0" w:line="240" w:lineRule="auto"/>
              <w:ind w:firstLine="240" w:firstLineChars="1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bidi="ar"/>
              </w:rPr>
              <w:t>2</w:t>
            </w:r>
            <w:r>
              <w:rPr>
                <w:rFonts w:hint="default" w:ascii="仿宋" w:hAnsi="仿宋" w:eastAsia="仿宋" w:cs="仿宋"/>
                <w:color w:val="auto"/>
                <w:kern w:val="0"/>
                <w:sz w:val="24"/>
                <w:szCs w:val="24"/>
                <w:highlight w:val="none"/>
                <w:lang w:val="en" w:bidi="ar"/>
              </w:rPr>
              <w:t>.</w:t>
            </w:r>
            <w:r>
              <w:rPr>
                <w:rFonts w:hint="eastAsia" w:ascii="仿宋" w:hAnsi="仿宋" w:eastAsia="仿宋" w:cs="仿宋"/>
                <w:color w:val="auto"/>
                <w:kern w:val="0"/>
                <w:sz w:val="24"/>
                <w:szCs w:val="24"/>
                <w:highlight w:val="none"/>
                <w:lang w:val="en" w:eastAsia="zh-CN" w:bidi="ar"/>
              </w:rPr>
              <w:t>降低港珠澳大桥跨境物流仓储成本</w:t>
            </w:r>
            <w:r>
              <w:rPr>
                <w:rFonts w:hint="eastAsia" w:ascii="仿宋" w:hAnsi="仿宋" w:eastAsia="仿宋" w:cs="仿宋"/>
                <w:color w:val="auto"/>
                <w:sz w:val="24"/>
                <w:szCs w:val="24"/>
                <w:highlight w:val="none"/>
                <w:lang w:eastAsia="zh-CN"/>
              </w:rPr>
              <w:t>□</w:t>
            </w:r>
          </w:p>
          <w:p>
            <w:pPr>
              <w:snapToGrid w:val="0"/>
              <w:spacing w:beforeLines="0" w:afterLines="0" w:line="240" w:lineRule="auto"/>
              <w:ind w:firstLine="240" w:firstLineChars="100"/>
              <w:jc w:val="both"/>
              <w:rPr>
                <w:rFonts w:hint="eastAsia" w:ascii="仿宋" w:hAnsi="仿宋" w:eastAsia="仿宋" w:cs="仿宋"/>
                <w:color w:val="auto"/>
                <w:kern w:val="0"/>
                <w:sz w:val="24"/>
                <w:szCs w:val="24"/>
                <w:highlight w:val="none"/>
                <w:lang w:val="en" w:eastAsia="zh-CN" w:bidi="ar"/>
              </w:rPr>
            </w:pPr>
            <w:r>
              <w:rPr>
                <w:rFonts w:hint="default" w:ascii="仿宋" w:hAnsi="仿宋" w:eastAsia="仿宋" w:cs="仿宋"/>
                <w:color w:val="auto"/>
                <w:sz w:val="24"/>
                <w:szCs w:val="24"/>
                <w:highlight w:val="none"/>
                <w:lang w:val="en"/>
              </w:rPr>
              <w:t>3.</w:t>
            </w:r>
            <w:r>
              <w:rPr>
                <w:rFonts w:hint="eastAsia" w:ascii="仿宋" w:hAnsi="仿宋" w:eastAsia="仿宋" w:cs="仿宋"/>
                <w:b w:val="0"/>
                <w:color w:val="auto"/>
                <w:kern w:val="0"/>
                <w:sz w:val="24"/>
                <w:szCs w:val="24"/>
                <w:highlight w:val="none"/>
                <w:lang w:eastAsia="zh-CN" w:bidi="ar"/>
              </w:rPr>
              <w:t>鼓励发展大型跨境综合物流服务设施</w:t>
            </w:r>
            <w:r>
              <w:rPr>
                <w:rFonts w:hint="eastAsia" w:ascii="仿宋" w:hAnsi="仿宋" w:eastAsia="仿宋" w:cs="仿宋"/>
                <w:color w:val="auto"/>
                <w:sz w:val="24"/>
                <w:szCs w:val="24"/>
                <w:highlight w:val="none"/>
              </w:rPr>
              <w:t>□</w:t>
            </w:r>
          </w:p>
          <w:p>
            <w:pPr>
              <w:snapToGrid w:val="0"/>
              <w:spacing w:beforeLines="0" w:afterLines="0" w:line="240" w:lineRule="auto"/>
              <w:ind w:firstLine="240" w:firstLineChars="100"/>
              <w:jc w:val="both"/>
              <w:rPr>
                <w:rFonts w:hint="eastAsia" w:ascii="CESI楷体-GB13000" w:hAnsi="CESI楷体-GB13000" w:eastAsia="CESI楷体-GB13000" w:cs="CESI楷体-GB13000"/>
                <w:b/>
                <w:bCs w:val="0"/>
                <w:color w:val="auto"/>
                <w:kern w:val="2"/>
                <w:sz w:val="24"/>
                <w:szCs w:val="24"/>
                <w:highlight w:val="none"/>
                <w:lang w:bidi="ar"/>
              </w:rPr>
            </w:pPr>
            <w:r>
              <w:rPr>
                <w:rFonts w:hint="eastAsia" w:ascii="CESI楷体-GB13000" w:hAnsi="CESI楷体-GB13000" w:eastAsia="CESI楷体-GB13000" w:cs="CESI楷体-GB13000"/>
                <w:b/>
                <w:bCs w:val="0"/>
                <w:color w:val="auto"/>
                <w:kern w:val="2"/>
                <w:sz w:val="24"/>
                <w:szCs w:val="24"/>
                <w:highlight w:val="none"/>
                <w:lang w:bidi="ar"/>
              </w:rPr>
              <w:t>（二）</w:t>
            </w:r>
            <w:r>
              <w:rPr>
                <w:rFonts w:hint="eastAsia" w:ascii="CESI楷体-GB13000" w:hAnsi="CESI楷体-GB13000" w:eastAsia="CESI楷体-GB13000" w:cs="CESI楷体-GB13000"/>
                <w:b/>
                <w:bCs w:val="0"/>
                <w:color w:val="auto"/>
                <w:kern w:val="2"/>
                <w:sz w:val="24"/>
                <w:szCs w:val="24"/>
                <w:highlight w:val="none"/>
                <w:lang w:eastAsia="zh-CN" w:bidi="ar"/>
              </w:rPr>
              <w:t>支持物流基础设施建设</w:t>
            </w:r>
          </w:p>
          <w:p>
            <w:pPr>
              <w:snapToGrid w:val="0"/>
              <w:spacing w:beforeLines="0" w:afterLines="0" w:line="240" w:lineRule="auto"/>
              <w:ind w:firstLine="240" w:firstLineChars="100"/>
              <w:jc w:val="both"/>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w:t>
            </w:r>
            <w:r>
              <w:rPr>
                <w:rFonts w:hint="default" w:ascii="仿宋" w:hAnsi="仿宋" w:eastAsia="仿宋" w:cs="仿宋"/>
                <w:color w:val="auto"/>
                <w:kern w:val="0"/>
                <w:sz w:val="24"/>
                <w:szCs w:val="24"/>
                <w:highlight w:val="none"/>
                <w:lang w:val="en" w:bidi="ar"/>
              </w:rPr>
              <w:t>.</w:t>
            </w:r>
            <w:r>
              <w:rPr>
                <w:rFonts w:hint="eastAsia" w:ascii="仿宋" w:hAnsi="仿宋" w:eastAsia="仿宋" w:cs="仿宋"/>
                <w:color w:val="auto"/>
                <w:kern w:val="0"/>
                <w:sz w:val="24"/>
                <w:szCs w:val="24"/>
                <w:highlight w:val="none"/>
                <w:lang w:bidi="ar"/>
              </w:rPr>
              <w:t>物流园区内物流项目</w:t>
            </w:r>
            <w:r>
              <w:rPr>
                <w:rFonts w:hint="eastAsia" w:ascii="仿宋" w:hAnsi="仿宋" w:eastAsia="仿宋" w:cs="仿宋"/>
                <w:color w:val="auto"/>
                <w:sz w:val="24"/>
                <w:szCs w:val="24"/>
                <w:highlight w:val="none"/>
              </w:rPr>
              <w:t>□</w:t>
            </w:r>
          </w:p>
          <w:p>
            <w:pPr>
              <w:snapToGrid w:val="0"/>
              <w:spacing w:beforeLines="0" w:afterLines="0" w:line="240" w:lineRule="auto"/>
              <w:ind w:firstLine="240" w:firstLineChars="100"/>
              <w:jc w:val="both"/>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2</w:t>
            </w:r>
            <w:r>
              <w:rPr>
                <w:rFonts w:hint="default" w:ascii="仿宋" w:hAnsi="仿宋" w:eastAsia="仿宋" w:cs="仿宋"/>
                <w:color w:val="auto"/>
                <w:kern w:val="0"/>
                <w:sz w:val="24"/>
                <w:szCs w:val="24"/>
                <w:highlight w:val="none"/>
                <w:lang w:val="en" w:bidi="ar"/>
              </w:rPr>
              <w:t>.</w:t>
            </w:r>
            <w:r>
              <w:rPr>
                <w:rFonts w:hint="eastAsia" w:ascii="仿宋" w:hAnsi="仿宋" w:eastAsia="仿宋" w:cs="仿宋"/>
                <w:color w:val="auto"/>
                <w:kern w:val="0"/>
                <w:sz w:val="24"/>
                <w:szCs w:val="24"/>
                <w:highlight w:val="none"/>
                <w:lang w:bidi="ar"/>
              </w:rPr>
              <w:t>物流园区外物流项目</w:t>
            </w:r>
            <w:r>
              <w:rPr>
                <w:rFonts w:hint="eastAsia" w:ascii="仿宋" w:hAnsi="仿宋" w:eastAsia="仿宋" w:cs="仿宋"/>
                <w:color w:val="auto"/>
                <w:sz w:val="24"/>
                <w:szCs w:val="24"/>
                <w:highlight w:val="none"/>
              </w:rPr>
              <w:t>□</w:t>
            </w:r>
          </w:p>
          <w:p>
            <w:pPr>
              <w:snapToGrid w:val="0"/>
              <w:spacing w:beforeLines="0" w:afterLines="0" w:line="240" w:lineRule="auto"/>
              <w:ind w:firstLine="240" w:firstLineChars="100"/>
              <w:jc w:val="both"/>
              <w:rPr>
                <w:rFonts w:hint="eastAsia" w:ascii="仿宋" w:hAnsi="仿宋" w:eastAsia="仿宋" w:cs="仿宋"/>
                <w:b/>
                <w:color w:val="auto"/>
                <w:kern w:val="0"/>
                <w:sz w:val="24"/>
                <w:szCs w:val="24"/>
                <w:highlight w:val="none"/>
                <w:lang w:eastAsia="zh-CN" w:bidi="ar"/>
              </w:rPr>
            </w:pPr>
            <w:r>
              <w:rPr>
                <w:rFonts w:hint="eastAsia" w:ascii="CESI楷体-GB13000" w:hAnsi="CESI楷体-GB13000" w:eastAsia="CESI楷体-GB13000" w:cs="CESI楷体-GB13000"/>
                <w:b/>
                <w:color w:val="auto"/>
                <w:kern w:val="2"/>
                <w:sz w:val="24"/>
                <w:szCs w:val="24"/>
                <w:highlight w:val="none"/>
                <w:lang w:bidi="ar"/>
              </w:rPr>
              <w:t>（三）</w:t>
            </w:r>
            <w:r>
              <w:rPr>
                <w:rFonts w:hint="eastAsia" w:ascii="CESI楷体-GB13000" w:hAnsi="CESI楷体-GB13000" w:eastAsia="CESI楷体-GB13000" w:cs="CESI楷体-GB13000"/>
                <w:b/>
                <w:color w:val="auto"/>
                <w:kern w:val="2"/>
                <w:sz w:val="24"/>
                <w:szCs w:val="24"/>
                <w:highlight w:val="none"/>
                <w:lang w:eastAsia="zh-CN" w:bidi="ar"/>
              </w:rPr>
              <w:t>支持城乡网络建设</w:t>
            </w:r>
            <w:r>
              <w:rPr>
                <w:rFonts w:hint="eastAsia" w:ascii="仿宋" w:hAnsi="仿宋" w:eastAsia="仿宋" w:cs="仿宋"/>
                <w:color w:val="auto"/>
                <w:sz w:val="24"/>
                <w:szCs w:val="24"/>
                <w:highlight w:val="none"/>
                <w:lang w:eastAsia="zh-CN"/>
              </w:rPr>
              <w:t>□</w:t>
            </w:r>
          </w:p>
          <w:p>
            <w:pPr>
              <w:snapToGrid w:val="0"/>
              <w:spacing w:beforeLines="0" w:afterLines="0" w:line="240" w:lineRule="auto"/>
              <w:ind w:firstLine="240" w:firstLineChars="100"/>
              <w:jc w:val="both"/>
              <w:rPr>
                <w:rFonts w:hint="eastAsia" w:ascii="CESI楷体-GB13000" w:hAnsi="CESI楷体-GB13000" w:eastAsia="CESI楷体-GB13000" w:cs="CESI楷体-GB13000"/>
                <w:b/>
                <w:color w:val="auto"/>
                <w:kern w:val="2"/>
                <w:sz w:val="24"/>
                <w:szCs w:val="24"/>
                <w:highlight w:val="none"/>
                <w:lang w:bidi="ar"/>
              </w:rPr>
            </w:pPr>
            <w:r>
              <w:rPr>
                <w:rFonts w:hint="eastAsia" w:ascii="CESI楷体-GB13000" w:hAnsi="CESI楷体-GB13000" w:eastAsia="CESI楷体-GB13000" w:cs="CESI楷体-GB13000"/>
                <w:b/>
                <w:color w:val="auto"/>
                <w:sz w:val="24"/>
                <w:szCs w:val="24"/>
                <w:highlight w:val="none"/>
                <w:lang w:bidi="ar"/>
              </w:rPr>
              <w:t>（四）</w:t>
            </w:r>
            <w:r>
              <w:rPr>
                <w:rFonts w:hint="eastAsia" w:ascii="CESI楷体-GB13000" w:hAnsi="CESI楷体-GB13000" w:eastAsia="CESI楷体-GB13000" w:cs="CESI楷体-GB13000"/>
                <w:b/>
                <w:color w:val="auto"/>
                <w:kern w:val="2"/>
                <w:sz w:val="24"/>
                <w:szCs w:val="24"/>
                <w:highlight w:val="none"/>
                <w:lang w:bidi="ar"/>
              </w:rPr>
              <w:t>冷链物流建设项目</w:t>
            </w:r>
          </w:p>
          <w:p>
            <w:pPr>
              <w:snapToGrid w:val="0"/>
              <w:spacing w:beforeLines="0" w:afterLines="0" w:line="240" w:lineRule="auto"/>
              <w:ind w:firstLine="240" w:firstLineChars="100"/>
              <w:jc w:val="both"/>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w:t>
            </w:r>
            <w:r>
              <w:rPr>
                <w:rFonts w:hint="default" w:ascii="仿宋" w:hAnsi="仿宋" w:eastAsia="仿宋" w:cs="仿宋"/>
                <w:color w:val="auto"/>
                <w:kern w:val="0"/>
                <w:sz w:val="24"/>
                <w:szCs w:val="24"/>
                <w:highlight w:val="none"/>
                <w:lang w:val="en" w:bidi="ar"/>
              </w:rPr>
              <w:t>.</w:t>
            </w:r>
            <w:r>
              <w:rPr>
                <w:rFonts w:hint="eastAsia" w:ascii="仿宋" w:hAnsi="仿宋" w:eastAsia="仿宋" w:cs="仿宋"/>
                <w:color w:val="auto"/>
                <w:kern w:val="0"/>
                <w:sz w:val="24"/>
                <w:szCs w:val="24"/>
                <w:highlight w:val="none"/>
                <w:lang w:eastAsia="zh-CN" w:bidi="ar"/>
              </w:rPr>
              <w:t>支持冷链基础设施建设</w:t>
            </w:r>
            <w:r>
              <w:rPr>
                <w:rFonts w:hint="eastAsia" w:ascii="仿宋" w:hAnsi="仿宋" w:eastAsia="仿宋" w:cs="仿宋"/>
                <w:color w:val="auto"/>
                <w:kern w:val="0"/>
                <w:sz w:val="24"/>
                <w:szCs w:val="24"/>
                <w:highlight w:val="none"/>
                <w:lang w:bidi="ar"/>
              </w:rPr>
              <w:t>□</w:t>
            </w:r>
          </w:p>
          <w:p>
            <w:pPr>
              <w:snapToGrid w:val="0"/>
              <w:spacing w:beforeLines="0" w:afterLines="0" w:line="240" w:lineRule="auto"/>
              <w:ind w:firstLine="240" w:firstLineChars="100"/>
              <w:jc w:val="both"/>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w:t>
            </w:r>
            <w:r>
              <w:rPr>
                <w:rFonts w:hint="default" w:ascii="仿宋" w:hAnsi="仿宋" w:eastAsia="仿宋" w:cs="仿宋"/>
                <w:color w:val="auto"/>
                <w:kern w:val="0"/>
                <w:sz w:val="24"/>
                <w:szCs w:val="24"/>
                <w:highlight w:val="none"/>
                <w:lang w:val="en" w:bidi="ar"/>
              </w:rPr>
              <w:t>.</w:t>
            </w:r>
            <w:r>
              <w:rPr>
                <w:rFonts w:hint="eastAsia" w:ascii="仿宋" w:hAnsi="仿宋" w:eastAsia="仿宋" w:cs="仿宋"/>
                <w:color w:val="auto"/>
                <w:kern w:val="0"/>
                <w:sz w:val="24"/>
                <w:szCs w:val="24"/>
                <w:highlight w:val="none"/>
                <w:lang w:val="en" w:eastAsia="zh-CN" w:bidi="ar"/>
              </w:rPr>
              <w:t>支持</w:t>
            </w:r>
            <w:r>
              <w:rPr>
                <w:rFonts w:hint="eastAsia" w:ascii="仿宋" w:hAnsi="仿宋" w:eastAsia="仿宋" w:cs="仿宋"/>
                <w:color w:val="auto"/>
                <w:kern w:val="0"/>
                <w:sz w:val="24"/>
                <w:szCs w:val="24"/>
                <w:highlight w:val="none"/>
                <w:lang w:bidi="ar"/>
              </w:rPr>
              <w:t>购置冷链设备□</w:t>
            </w:r>
          </w:p>
          <w:p>
            <w:pPr>
              <w:snapToGrid w:val="0"/>
              <w:spacing w:beforeLines="0" w:afterLines="0" w:line="240" w:lineRule="auto"/>
              <w:ind w:firstLine="240" w:firstLineChars="100"/>
              <w:jc w:val="both"/>
              <w:rPr>
                <w:rFonts w:hint="eastAsia" w:ascii="仿宋" w:hAnsi="仿宋" w:eastAsia="仿宋" w:cs="仿宋"/>
                <w:b/>
                <w:color w:val="auto"/>
                <w:kern w:val="0"/>
                <w:sz w:val="24"/>
                <w:szCs w:val="24"/>
                <w:highlight w:val="none"/>
                <w:lang w:val="en-US" w:eastAsia="zh-CN" w:bidi="ar"/>
              </w:rPr>
            </w:pPr>
            <w:r>
              <w:rPr>
                <w:rFonts w:hint="eastAsia" w:ascii="CESI楷体-GB13000" w:hAnsi="CESI楷体-GB13000" w:eastAsia="CESI楷体-GB13000" w:cs="CESI楷体-GB13000"/>
                <w:b/>
                <w:color w:val="auto"/>
                <w:kern w:val="2"/>
                <w:sz w:val="24"/>
                <w:szCs w:val="24"/>
                <w:highlight w:val="none"/>
                <w:lang w:bidi="ar"/>
              </w:rPr>
              <w:t>（五）</w:t>
            </w:r>
            <w:r>
              <w:rPr>
                <w:rFonts w:hint="eastAsia" w:ascii="CESI楷体-GB13000" w:hAnsi="CESI楷体-GB13000" w:eastAsia="CESI楷体-GB13000" w:cs="CESI楷体-GB13000"/>
                <w:b/>
                <w:color w:val="auto"/>
                <w:kern w:val="2"/>
                <w:sz w:val="24"/>
                <w:szCs w:val="24"/>
                <w:highlight w:val="none"/>
                <w:lang w:eastAsia="zh-CN" w:bidi="ar"/>
              </w:rPr>
              <w:t>推动智慧物流发展</w:t>
            </w:r>
            <w:r>
              <w:rPr>
                <w:rFonts w:hint="eastAsia" w:ascii="仿宋" w:hAnsi="仿宋" w:eastAsia="仿宋" w:cs="仿宋"/>
                <w:color w:val="auto"/>
                <w:kern w:val="0"/>
                <w:sz w:val="24"/>
                <w:szCs w:val="24"/>
                <w:highlight w:val="none"/>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46" w:hRule="atLeast"/>
          <w:jc w:val="center"/>
        </w:trPr>
        <w:tc>
          <w:tcPr>
            <w:tcW w:w="1918" w:type="dxa"/>
            <w:gridSpan w:val="2"/>
            <w:tcBorders>
              <w:tl2br w:val="nil"/>
              <w:tr2bl w:val="nil"/>
            </w:tcBorders>
            <w:noWrap w:val="0"/>
            <w:vAlign w:val="center"/>
          </w:tcPr>
          <w:p>
            <w:pPr>
              <w:snapToGrid w:val="0"/>
              <w:spacing w:beforeLines="0" w:afterLines="0" w:line="240" w:lineRule="auto"/>
              <w:jc w:val="center"/>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rPr>
              <w:t>申请资助金额</w:t>
            </w:r>
          </w:p>
        </w:tc>
        <w:tc>
          <w:tcPr>
            <w:tcW w:w="7662" w:type="dxa"/>
            <w:gridSpan w:val="3"/>
            <w:tcBorders>
              <w:tl2br w:val="nil"/>
              <w:tr2bl w:val="nil"/>
            </w:tcBorders>
            <w:noWrap w:val="0"/>
            <w:vAlign w:val="center"/>
          </w:tcPr>
          <w:p>
            <w:pPr>
              <w:snapToGrid w:val="0"/>
              <w:spacing w:beforeLines="0" w:afterLines="0" w:line="240" w:lineRule="auto"/>
              <w:ind w:firstLine="3840" w:firstLineChars="16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val="0"/>
                <w:bCs w:val="0"/>
                <w:color w:val="auto"/>
                <w:kern w:val="0"/>
                <w:sz w:val="24"/>
                <w:szCs w:val="24"/>
                <w:highlight w:val="none"/>
                <w:lang w:bidi="ar"/>
              </w:rPr>
              <w:t>万元人民币</w:t>
            </w:r>
            <w:r>
              <w:rPr>
                <w:rFonts w:hint="eastAsia" w:ascii="仿宋" w:hAnsi="仿宋" w:eastAsia="仿宋" w:cs="仿宋"/>
                <w:b w:val="0"/>
                <w:bCs w:val="0"/>
                <w:color w:val="auto"/>
                <w:kern w:val="0"/>
                <w:sz w:val="24"/>
                <w:szCs w:val="24"/>
                <w:highlight w:val="none"/>
                <w:lang w:eastAsia="zh-CN" w:bidi="ar"/>
              </w:rPr>
              <w:t>（小数点后</w:t>
            </w:r>
            <w:r>
              <w:rPr>
                <w:rFonts w:hint="eastAsia" w:ascii="仿宋" w:hAnsi="仿宋" w:eastAsia="仿宋" w:cs="仿宋"/>
                <w:b w:val="0"/>
                <w:bCs w:val="0"/>
                <w:color w:val="auto"/>
                <w:kern w:val="0"/>
                <w:sz w:val="24"/>
                <w:szCs w:val="24"/>
                <w:highlight w:val="none"/>
                <w:lang w:val="en-US" w:eastAsia="zh-CN" w:bidi="ar"/>
              </w:rPr>
              <w:t>6</w:t>
            </w:r>
            <w:r>
              <w:rPr>
                <w:rFonts w:hint="eastAsia" w:ascii="仿宋" w:hAnsi="仿宋" w:eastAsia="仿宋" w:cs="仿宋"/>
                <w:b w:val="0"/>
                <w:bCs w:val="0"/>
                <w:color w:val="auto"/>
                <w:kern w:val="0"/>
                <w:sz w:val="24"/>
                <w:szCs w:val="24"/>
                <w:highlight w:val="none"/>
                <w:lang w:eastAsia="zh-CN" w:bidi="ar"/>
              </w:rPr>
              <w:t>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03" w:hRule="atLeast"/>
          <w:jc w:val="center"/>
        </w:trPr>
        <w:tc>
          <w:tcPr>
            <w:tcW w:w="1918" w:type="dxa"/>
            <w:gridSpan w:val="2"/>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rPr>
              <w:t>项目基本情况</w:t>
            </w:r>
          </w:p>
        </w:tc>
        <w:tc>
          <w:tcPr>
            <w:tcW w:w="7662" w:type="dxa"/>
            <w:gridSpan w:val="3"/>
            <w:tcBorders>
              <w:tl2br w:val="nil"/>
              <w:tr2bl w:val="nil"/>
            </w:tcBorders>
            <w:noWrap w:val="0"/>
            <w:vAlign w:val="center"/>
          </w:tcPr>
          <w:p>
            <w:pPr>
              <w:snapToGrid w:val="0"/>
              <w:spacing w:beforeLines="0" w:afterLines="0" w:line="24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（600字内）</w:t>
            </w:r>
          </w:p>
          <w:p>
            <w:pPr>
              <w:snapToGrid w:val="0"/>
              <w:spacing w:beforeLines="0" w:afterLines="0" w:line="240" w:lineRule="auto"/>
              <w:jc w:val="both"/>
              <w:rPr>
                <w:rFonts w:hint="eastAsia" w:ascii="仿宋" w:hAnsi="仿宋" w:eastAsia="仿宋" w:cs="仿宋"/>
                <w:color w:val="auto"/>
                <w:sz w:val="24"/>
                <w:szCs w:val="24"/>
                <w:highlight w:val="none"/>
                <w:lang w:eastAsia="zh-CN"/>
              </w:rPr>
            </w:pPr>
          </w:p>
          <w:p>
            <w:pPr>
              <w:snapToGrid w:val="0"/>
              <w:spacing w:beforeLines="0" w:afterLines="0" w:line="240" w:lineRule="auto"/>
              <w:jc w:val="both"/>
              <w:rPr>
                <w:rFonts w:hint="eastAsia" w:ascii="仿宋" w:hAnsi="仿宋" w:eastAsia="仿宋" w:cs="仿宋"/>
                <w:color w:val="auto"/>
                <w:sz w:val="24"/>
                <w:szCs w:val="24"/>
                <w:highlight w:val="none"/>
                <w:lang w:eastAsia="zh-CN"/>
              </w:rPr>
            </w:pPr>
          </w:p>
          <w:p>
            <w:pPr>
              <w:snapToGrid w:val="0"/>
              <w:spacing w:beforeLines="0" w:afterLines="0" w:line="240" w:lineRule="auto"/>
              <w:jc w:val="both"/>
              <w:rPr>
                <w:rFonts w:hint="eastAsia" w:ascii="仿宋" w:hAnsi="仿宋" w:eastAsia="仿宋" w:cs="仿宋"/>
                <w:color w:val="auto"/>
                <w:sz w:val="24"/>
                <w:szCs w:val="24"/>
                <w:highlight w:val="none"/>
                <w:lang w:eastAsia="zh-CN"/>
              </w:rPr>
            </w:pPr>
          </w:p>
          <w:p>
            <w:pPr>
              <w:snapToGrid w:val="0"/>
              <w:spacing w:beforeLines="0" w:afterLines="0" w:line="240" w:lineRule="auto"/>
              <w:jc w:val="both"/>
              <w:rPr>
                <w:rFonts w:hint="eastAsia" w:ascii="仿宋" w:hAnsi="仿宋" w:eastAsia="仿宋" w:cs="仿宋"/>
                <w:color w:val="auto"/>
                <w:sz w:val="24"/>
                <w:szCs w:val="24"/>
                <w:highlight w:val="none"/>
                <w:lang w:eastAsia="zh-CN"/>
              </w:rPr>
            </w:pPr>
          </w:p>
          <w:p>
            <w:pPr>
              <w:snapToGrid w:val="0"/>
              <w:spacing w:beforeLines="0" w:afterLines="0" w:line="240" w:lineRule="auto"/>
              <w:jc w:val="both"/>
              <w:rPr>
                <w:rFonts w:hint="eastAsia" w:ascii="仿宋" w:hAnsi="仿宋" w:eastAsia="仿宋" w:cs="仿宋"/>
                <w:color w:val="auto"/>
                <w:sz w:val="24"/>
                <w:szCs w:val="24"/>
                <w:highlight w:val="none"/>
                <w:lang w:eastAsia="zh-CN"/>
              </w:rPr>
            </w:pPr>
          </w:p>
          <w:p>
            <w:pPr>
              <w:snapToGrid w:val="0"/>
              <w:spacing w:beforeLines="0" w:afterLines="0" w:line="240" w:lineRule="auto"/>
              <w:jc w:val="both"/>
              <w:rPr>
                <w:rFonts w:hint="eastAsia" w:ascii="仿宋" w:hAnsi="仿宋" w:eastAsia="仿宋" w:cs="仿宋"/>
                <w:color w:val="auto"/>
                <w:sz w:val="24"/>
                <w:szCs w:val="24"/>
                <w:highlight w:val="none"/>
                <w:lang w:eastAsia="zh-CN"/>
              </w:rPr>
            </w:pPr>
          </w:p>
          <w:p>
            <w:pPr>
              <w:snapToGrid w:val="0"/>
              <w:spacing w:beforeLines="0" w:afterLines="0" w:line="240" w:lineRule="auto"/>
              <w:jc w:val="both"/>
              <w:rPr>
                <w:rFonts w:hint="eastAsia" w:ascii="仿宋" w:hAnsi="仿宋" w:eastAsia="仿宋" w:cs="仿宋"/>
                <w:color w:val="auto"/>
                <w:sz w:val="24"/>
                <w:szCs w:val="24"/>
                <w:highlight w:val="none"/>
                <w:lang w:eastAsia="zh-CN"/>
              </w:rPr>
            </w:pPr>
          </w:p>
          <w:p>
            <w:pPr>
              <w:snapToGrid w:val="0"/>
              <w:spacing w:beforeLines="0" w:afterLines="0" w:line="240" w:lineRule="auto"/>
              <w:jc w:val="both"/>
              <w:rPr>
                <w:rFonts w:hint="eastAsia" w:ascii="仿宋" w:hAnsi="仿宋" w:eastAsia="仿宋" w:cs="仿宋"/>
                <w:color w:val="auto"/>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51" w:hRule="atLeast"/>
          <w:jc w:val="center"/>
        </w:trPr>
        <w:tc>
          <w:tcPr>
            <w:tcW w:w="1918" w:type="dxa"/>
            <w:gridSpan w:val="2"/>
            <w:tcBorders>
              <w:tl2br w:val="nil"/>
              <w:tr2bl w:val="nil"/>
            </w:tcBorders>
            <w:noWrap w:val="0"/>
            <w:vAlign w:val="center"/>
          </w:tcPr>
          <w:p>
            <w:pPr>
              <w:snapToGrid w:val="0"/>
              <w:spacing w:beforeLines="0" w:afterLines="0" w:line="240" w:lineRule="auto"/>
              <w:jc w:val="center"/>
              <w:textAlignment w:val="center"/>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rPr>
              <w:t>项目绩效情况</w:t>
            </w:r>
          </w:p>
        </w:tc>
        <w:tc>
          <w:tcPr>
            <w:tcW w:w="7662" w:type="dxa"/>
            <w:gridSpan w:val="3"/>
            <w:tcBorders>
              <w:tl2br w:val="nil"/>
              <w:tr2bl w:val="nil"/>
            </w:tcBorders>
            <w:noWrap w:val="0"/>
            <w:vAlign w:val="center"/>
          </w:tcPr>
          <w:p>
            <w:pPr>
              <w:snapToGrid w:val="0"/>
              <w:spacing w:beforeLines="0" w:afterLines="0" w:line="24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（包括项目在业务发生年度对珠海市的经济贡献、社会效益等，600字内）</w:t>
            </w:r>
          </w:p>
          <w:p>
            <w:pPr>
              <w:snapToGrid w:val="0"/>
              <w:spacing w:beforeLines="0" w:afterLines="0" w:line="240" w:lineRule="auto"/>
              <w:jc w:val="both"/>
              <w:rPr>
                <w:rFonts w:hint="eastAsia" w:ascii="仿宋" w:hAnsi="仿宋" w:eastAsia="仿宋" w:cs="仿宋"/>
                <w:color w:val="auto"/>
                <w:sz w:val="24"/>
                <w:szCs w:val="24"/>
                <w:highlight w:val="none"/>
              </w:rPr>
            </w:pPr>
          </w:p>
          <w:p>
            <w:pPr>
              <w:snapToGrid w:val="0"/>
              <w:spacing w:beforeLines="0" w:afterLines="0" w:line="240" w:lineRule="auto"/>
              <w:jc w:val="both"/>
              <w:rPr>
                <w:rFonts w:hint="eastAsia" w:ascii="仿宋" w:hAnsi="仿宋" w:eastAsia="仿宋" w:cs="仿宋"/>
                <w:color w:val="auto"/>
                <w:sz w:val="24"/>
                <w:szCs w:val="24"/>
                <w:highlight w:val="none"/>
              </w:rPr>
            </w:pPr>
          </w:p>
          <w:p>
            <w:pPr>
              <w:snapToGrid w:val="0"/>
              <w:spacing w:beforeLines="0" w:afterLines="0" w:line="240" w:lineRule="auto"/>
              <w:jc w:val="both"/>
              <w:rPr>
                <w:rFonts w:hint="eastAsia" w:ascii="仿宋" w:hAnsi="仿宋" w:eastAsia="仿宋" w:cs="仿宋"/>
                <w:color w:val="auto"/>
                <w:sz w:val="24"/>
                <w:szCs w:val="24"/>
                <w:highlight w:val="none"/>
              </w:rPr>
            </w:pPr>
          </w:p>
          <w:p>
            <w:pPr>
              <w:snapToGrid w:val="0"/>
              <w:spacing w:beforeLines="0" w:afterLines="0" w:line="240" w:lineRule="auto"/>
              <w:jc w:val="both"/>
              <w:rPr>
                <w:rFonts w:hint="eastAsia" w:ascii="仿宋" w:hAnsi="仿宋" w:eastAsia="仿宋" w:cs="仿宋"/>
                <w:color w:val="auto"/>
                <w:sz w:val="24"/>
                <w:szCs w:val="24"/>
                <w:highlight w:val="none"/>
              </w:rPr>
            </w:pPr>
          </w:p>
          <w:p>
            <w:pPr>
              <w:snapToGrid w:val="0"/>
              <w:spacing w:beforeLines="0" w:afterLines="0" w:line="240" w:lineRule="auto"/>
              <w:jc w:val="both"/>
              <w:rPr>
                <w:rFonts w:hint="eastAsia" w:ascii="仿宋" w:hAnsi="仿宋" w:eastAsia="仿宋" w:cs="仿宋"/>
                <w:color w:val="auto"/>
                <w:sz w:val="24"/>
                <w:szCs w:val="24"/>
                <w:highlight w:val="none"/>
              </w:rPr>
            </w:pPr>
          </w:p>
          <w:p>
            <w:pPr>
              <w:snapToGrid w:val="0"/>
              <w:spacing w:beforeLines="0" w:afterLines="0" w:line="240" w:lineRule="auto"/>
              <w:jc w:val="both"/>
              <w:rPr>
                <w:rFonts w:hint="eastAsia" w:ascii="仿宋" w:hAnsi="仿宋" w:eastAsia="仿宋" w:cs="仿宋"/>
                <w:color w:val="auto"/>
                <w:sz w:val="24"/>
                <w:szCs w:val="24"/>
                <w:highlight w:val="none"/>
              </w:rPr>
            </w:pPr>
          </w:p>
          <w:p>
            <w:pPr>
              <w:snapToGrid w:val="0"/>
              <w:spacing w:beforeLines="0" w:afterLines="0" w:line="240" w:lineRule="auto"/>
              <w:jc w:val="both"/>
              <w:rPr>
                <w:rFonts w:hint="eastAsia" w:ascii="仿宋" w:hAnsi="仿宋" w:eastAsia="仿宋" w:cs="仿宋"/>
                <w:color w:val="auto"/>
                <w:kern w:val="2"/>
                <w:sz w:val="24"/>
                <w:szCs w:val="24"/>
                <w:highlight w:val="none"/>
                <w:lang w:val="en-US" w:eastAsia="zh-CN" w:bidi="ar-SA"/>
              </w:rPr>
            </w:pPr>
          </w:p>
        </w:tc>
      </w:tr>
    </w:tbl>
    <w:p>
      <w:pPr>
        <w:spacing w:beforeLines="0" w:afterLines="0" w:line="579" w:lineRule="exact"/>
        <w:jc w:val="left"/>
        <w:rPr>
          <w:rFonts w:hint="eastAsia" w:ascii="黑体" w:hAnsi="黑体" w:eastAsia="黑体" w:cs="黑体"/>
          <w:color w:val="auto"/>
          <w:kern w:val="1"/>
          <w:sz w:val="32"/>
          <w:szCs w:val="32"/>
          <w:highlight w:val="none"/>
        </w:rPr>
      </w:pPr>
    </w:p>
    <w:p>
      <w:pPr>
        <w:spacing w:beforeLines="0" w:afterLines="0" w:line="579" w:lineRule="exact"/>
        <w:jc w:val="left"/>
        <w:rPr>
          <w:rFonts w:hint="eastAsia" w:ascii="黑体" w:hAnsi="黑体" w:eastAsia="黑体" w:cs="黑体"/>
          <w:color w:val="auto"/>
          <w:kern w:val="1"/>
          <w:sz w:val="32"/>
          <w:szCs w:val="32"/>
          <w:highlight w:val="none"/>
        </w:rPr>
      </w:pPr>
      <w:r>
        <w:rPr>
          <w:rFonts w:hint="eastAsia" w:ascii="黑体" w:hAnsi="黑体" w:eastAsia="黑体" w:cs="黑体"/>
          <w:color w:val="auto"/>
          <w:kern w:val="1"/>
          <w:sz w:val="32"/>
          <w:szCs w:val="32"/>
          <w:highlight w:val="none"/>
        </w:rPr>
        <w:br w:type="page"/>
      </w:r>
      <w:r>
        <w:rPr>
          <w:rFonts w:hint="eastAsia" w:ascii="黑体" w:hAnsi="黑体" w:eastAsia="黑体" w:cs="黑体"/>
          <w:color w:val="auto"/>
          <w:kern w:val="1"/>
          <w:sz w:val="32"/>
          <w:szCs w:val="32"/>
          <w:highlight w:val="none"/>
        </w:rPr>
        <w:t>附件</w:t>
      </w:r>
      <w:r>
        <w:rPr>
          <w:rFonts w:hint="eastAsia" w:ascii="黑体" w:hAnsi="黑体" w:eastAsia="黑体" w:cs="黑体"/>
          <w:color w:val="auto"/>
          <w:kern w:val="1"/>
          <w:sz w:val="32"/>
          <w:szCs w:val="32"/>
          <w:highlight w:val="none"/>
          <w:lang w:val="en-US" w:eastAsia="zh-CN"/>
        </w:rPr>
        <w:t>2</w:t>
      </w:r>
      <w:r>
        <w:rPr>
          <w:rFonts w:hint="eastAsia" w:ascii="黑体" w:hAnsi="黑体" w:eastAsia="黑体" w:cs="黑体"/>
          <w:color w:val="auto"/>
          <w:kern w:val="1"/>
          <w:sz w:val="32"/>
          <w:szCs w:val="32"/>
          <w:highlight w:val="none"/>
        </w:rPr>
        <w:t>-3</w:t>
      </w:r>
    </w:p>
    <w:p>
      <w:pPr>
        <w:spacing w:beforeLines="0" w:afterLines="0" w:line="579" w:lineRule="exact"/>
        <w:jc w:val="left"/>
        <w:rPr>
          <w:rFonts w:hint="eastAsia" w:ascii="黑体" w:hAnsi="黑体" w:eastAsia="黑体" w:cs="黑体"/>
          <w:color w:val="auto"/>
          <w:kern w:val="1"/>
          <w:sz w:val="32"/>
          <w:szCs w:val="32"/>
          <w:highlight w:val="none"/>
        </w:rPr>
      </w:pPr>
    </w:p>
    <w:p>
      <w:pPr>
        <w:spacing w:beforeLines="0" w:afterLines="0" w:line="579" w:lineRule="exact"/>
        <w:jc w:val="center"/>
        <w:rPr>
          <w:rFonts w:hint="eastAsia" w:ascii="方正小标宋简体" w:eastAsia="方正小标宋简体"/>
          <w:color w:val="FF0000"/>
          <w:sz w:val="44"/>
          <w:szCs w:val="24"/>
          <w:highlight w:val="none"/>
          <w:lang w:eastAsia="zh-CN"/>
        </w:rPr>
      </w:pPr>
      <w:r>
        <w:rPr>
          <w:rFonts w:hint="eastAsia" w:ascii="方正小标宋简体" w:eastAsia="方正小标宋简体"/>
          <w:color w:val="auto"/>
          <w:sz w:val="44"/>
          <w:szCs w:val="24"/>
          <w:highlight w:val="none"/>
        </w:rPr>
        <w:t>申报承诺书</w:t>
      </w:r>
    </w:p>
    <w:p>
      <w:pPr>
        <w:spacing w:beforeLines="0" w:after="0" w:afterLines="0" w:line="500" w:lineRule="exact"/>
        <w:jc w:val="both"/>
        <w:rPr>
          <w:rFonts w:hint="eastAsia" w:ascii="仿宋" w:hAnsi="仿宋" w:eastAsia="仿宋" w:cs="仿宋"/>
          <w:color w:val="auto"/>
          <w:kern w:val="1"/>
          <w:sz w:val="32"/>
          <w:szCs w:val="32"/>
          <w:highlight w:val="none"/>
        </w:rPr>
      </w:pPr>
    </w:p>
    <w:p>
      <w:pPr>
        <w:keepNext w:val="0"/>
        <w:keepLines w:val="0"/>
        <w:pageBreakBefore w:val="0"/>
        <w:kinsoku/>
        <w:wordWrap/>
        <w:overflowPunct/>
        <w:topLinePunct w:val="0"/>
        <w:autoSpaceDE/>
        <w:autoSpaceDN/>
        <w:bidi w:val="0"/>
        <w:adjustRightInd/>
        <w:spacing w:beforeLines="0" w:after="0" w:afterLines="0" w:line="579" w:lineRule="exact"/>
        <w:jc w:val="both"/>
        <w:textAlignment w:val="auto"/>
        <w:rPr>
          <w:rFonts w:hint="eastAsia" w:ascii="仿宋" w:hAnsi="仿宋" w:eastAsia="仿宋" w:cs="仿宋"/>
          <w:color w:val="auto"/>
          <w:kern w:val="1"/>
          <w:sz w:val="32"/>
          <w:szCs w:val="32"/>
          <w:highlight w:val="none"/>
        </w:rPr>
      </w:pPr>
      <w:r>
        <w:rPr>
          <w:rFonts w:hint="eastAsia" w:ascii="仿宋" w:hAnsi="仿宋" w:eastAsia="仿宋" w:cs="仿宋"/>
          <w:color w:val="auto"/>
          <w:kern w:val="1"/>
          <w:sz w:val="32"/>
          <w:szCs w:val="32"/>
          <w:highlight w:val="none"/>
        </w:rPr>
        <w:t>珠海市商务局：</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color w:val="auto"/>
          <w:kern w:val="1"/>
          <w:sz w:val="32"/>
          <w:szCs w:val="32"/>
          <w:highlight w:val="none"/>
        </w:rPr>
      </w:pPr>
      <w:r>
        <w:rPr>
          <w:rFonts w:hint="eastAsia" w:ascii="仿宋" w:hAnsi="仿宋" w:eastAsia="仿宋" w:cs="仿宋"/>
          <w:color w:val="auto"/>
          <w:kern w:val="1"/>
          <w:sz w:val="32"/>
          <w:szCs w:val="32"/>
          <w:highlight w:val="none"/>
          <w:u w:val="single"/>
        </w:rPr>
        <w:t>（申报单位全称）</w:t>
      </w:r>
      <w:r>
        <w:rPr>
          <w:rFonts w:hint="eastAsia" w:ascii="仿宋" w:hAnsi="仿宋" w:eastAsia="仿宋" w:cs="仿宋"/>
          <w:color w:val="auto"/>
          <w:kern w:val="1"/>
          <w:sz w:val="32"/>
          <w:szCs w:val="32"/>
          <w:highlight w:val="none"/>
        </w:rPr>
        <w:t>已完全了解并遵守</w:t>
      </w:r>
      <w:r>
        <w:rPr>
          <w:rFonts w:hint="eastAsia" w:ascii="仿宋" w:hAnsi="仿宋" w:eastAsia="仿宋" w:cs="仿宋"/>
          <w:color w:val="auto"/>
          <w:kern w:val="1"/>
          <w:sz w:val="32"/>
          <w:szCs w:val="32"/>
          <w:highlight w:val="none"/>
          <w:lang w:eastAsia="zh-CN"/>
        </w:rPr>
        <w:t>《</w:t>
      </w:r>
      <w:r>
        <w:rPr>
          <w:rFonts w:hint="eastAsia" w:ascii="仿宋" w:hAnsi="仿宋" w:eastAsia="仿宋" w:cs="仿宋"/>
          <w:bCs w:val="0"/>
          <w:color w:val="auto"/>
          <w:kern w:val="1"/>
          <w:sz w:val="32"/>
          <w:szCs w:val="32"/>
          <w:highlight w:val="none"/>
          <w:lang w:val="en-US" w:eastAsia="zh-CN"/>
        </w:rPr>
        <w:t>2025年珠海市内外经贸发展专项资金</w:t>
      </w:r>
      <w:r>
        <w:rPr>
          <w:rFonts w:hint="eastAsia" w:ascii="仿宋" w:hAnsi="仿宋" w:eastAsia="仿宋" w:cs="仿宋"/>
          <w:color w:val="auto"/>
          <w:kern w:val="1"/>
          <w:sz w:val="32"/>
          <w:szCs w:val="32"/>
          <w:highlight w:val="none"/>
          <w:lang w:val="en-US" w:eastAsia="zh-CN"/>
        </w:rPr>
        <w:t>（</w:t>
      </w:r>
      <w:r>
        <w:rPr>
          <w:rFonts w:hint="eastAsia" w:ascii="仿宋" w:hAnsi="仿宋" w:eastAsia="仿宋" w:cs="仿宋"/>
          <w:color w:val="auto"/>
          <w:kern w:val="1"/>
          <w:sz w:val="32"/>
          <w:szCs w:val="32"/>
          <w:highlight w:val="none"/>
        </w:rPr>
        <w:t>加快港珠澳大桥经贸新通道建设促进现代物流业高质量发展事项</w:t>
      </w:r>
      <w:r>
        <w:rPr>
          <w:rFonts w:hint="eastAsia" w:ascii="仿宋" w:hAnsi="仿宋" w:eastAsia="仿宋" w:cs="仿宋"/>
          <w:color w:val="auto"/>
          <w:kern w:val="1"/>
          <w:sz w:val="32"/>
          <w:szCs w:val="32"/>
          <w:highlight w:val="none"/>
          <w:lang w:val="en-US" w:eastAsia="zh-CN"/>
        </w:rPr>
        <w:t>）申报指南》</w:t>
      </w:r>
      <w:r>
        <w:rPr>
          <w:rFonts w:hint="eastAsia" w:ascii="仿宋" w:hAnsi="仿宋" w:eastAsia="仿宋" w:cs="仿宋"/>
          <w:color w:val="auto"/>
          <w:kern w:val="1"/>
          <w:sz w:val="32"/>
          <w:szCs w:val="32"/>
          <w:highlight w:val="none"/>
        </w:rPr>
        <w:t>的相关规定和说明</w:t>
      </w:r>
      <w:r>
        <w:rPr>
          <w:rFonts w:hint="eastAsia" w:ascii="仿宋" w:hAnsi="仿宋" w:eastAsia="仿宋" w:cs="仿宋"/>
          <w:color w:val="auto"/>
          <w:kern w:val="1"/>
          <w:sz w:val="32"/>
          <w:szCs w:val="32"/>
          <w:highlight w:val="none"/>
          <w:lang w:eastAsia="zh-CN"/>
        </w:rPr>
        <w:t>，</w:t>
      </w:r>
      <w:r>
        <w:rPr>
          <w:rFonts w:hint="eastAsia" w:ascii="仿宋" w:hAnsi="仿宋" w:eastAsia="仿宋" w:cs="仿宋"/>
          <w:color w:val="auto"/>
          <w:kern w:val="1"/>
          <w:sz w:val="32"/>
          <w:szCs w:val="32"/>
          <w:highlight w:val="none"/>
          <w:lang w:val="en-US" w:eastAsia="zh-CN"/>
        </w:rPr>
        <w:t>并受其约束</w:t>
      </w:r>
      <w:r>
        <w:rPr>
          <w:rFonts w:hint="eastAsia" w:ascii="仿宋" w:hAnsi="仿宋" w:eastAsia="仿宋" w:cs="仿宋"/>
          <w:color w:val="auto"/>
          <w:kern w:val="1"/>
          <w:sz w:val="32"/>
          <w:szCs w:val="32"/>
          <w:highlight w:val="none"/>
        </w:rPr>
        <w:t>，并做出以下声明</w:t>
      </w:r>
      <w:r>
        <w:rPr>
          <w:rFonts w:hint="eastAsia" w:ascii="仿宋" w:hAnsi="仿宋" w:eastAsia="仿宋" w:cs="仿宋"/>
          <w:color w:val="auto"/>
          <w:kern w:val="1"/>
          <w:sz w:val="32"/>
          <w:szCs w:val="32"/>
          <w:highlight w:val="none"/>
          <w:lang w:eastAsia="zh-CN"/>
        </w:rPr>
        <w:t>、</w:t>
      </w:r>
      <w:r>
        <w:rPr>
          <w:rFonts w:hint="eastAsia" w:ascii="仿宋" w:hAnsi="仿宋" w:eastAsia="仿宋" w:cs="仿宋"/>
          <w:color w:val="auto"/>
          <w:kern w:val="1"/>
          <w:sz w:val="32"/>
          <w:szCs w:val="32"/>
          <w:highlight w:val="none"/>
          <w:lang w:val="en-US" w:eastAsia="zh-CN"/>
        </w:rPr>
        <w:t>承诺</w:t>
      </w:r>
      <w:r>
        <w:rPr>
          <w:rFonts w:hint="eastAsia" w:ascii="仿宋" w:hAnsi="仿宋" w:eastAsia="仿宋" w:cs="仿宋"/>
          <w:color w:val="auto"/>
          <w:kern w:val="1"/>
          <w:sz w:val="32"/>
          <w:szCs w:val="32"/>
          <w:highlight w:val="none"/>
        </w:rPr>
        <w:t>和保证：</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color w:val="auto"/>
          <w:kern w:val="1"/>
          <w:sz w:val="32"/>
          <w:szCs w:val="32"/>
          <w:highlight w:val="none"/>
        </w:rPr>
      </w:pPr>
      <w:r>
        <w:rPr>
          <w:rFonts w:hint="eastAsia" w:ascii="仿宋" w:hAnsi="仿宋" w:eastAsia="仿宋" w:cs="仿宋"/>
          <w:color w:val="auto"/>
          <w:kern w:val="1"/>
          <w:sz w:val="32"/>
          <w:szCs w:val="32"/>
          <w:highlight w:val="none"/>
        </w:rPr>
        <w:t>一、保证所提交的各项申请材料的真实、准确、有效，复印件与原件一致。如有隐瞒有关情况或提供任何虚假材料，自愿承担由此产生的法律后果及责任，并同意有关部门记录入相关的企业征信体系</w:t>
      </w:r>
      <w:r>
        <w:rPr>
          <w:rFonts w:hint="eastAsia" w:ascii="仿宋" w:hAnsi="仿宋" w:eastAsia="仿宋" w:cs="仿宋"/>
          <w:color w:val="auto"/>
          <w:kern w:val="1"/>
          <w:sz w:val="32"/>
          <w:szCs w:val="32"/>
          <w:highlight w:val="none"/>
          <w:lang w:eastAsia="zh-CN"/>
        </w:rPr>
        <w:t>。</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color w:val="auto"/>
          <w:kern w:val="1"/>
          <w:sz w:val="32"/>
          <w:szCs w:val="32"/>
          <w:highlight w:val="none"/>
          <w:lang w:eastAsia="zh-CN"/>
        </w:rPr>
      </w:pPr>
      <w:r>
        <w:rPr>
          <w:rFonts w:hint="eastAsia" w:ascii="仿宋" w:hAnsi="仿宋" w:eastAsia="仿宋" w:cs="仿宋"/>
          <w:color w:val="auto"/>
          <w:kern w:val="1"/>
          <w:sz w:val="32"/>
          <w:szCs w:val="32"/>
          <w:highlight w:val="none"/>
        </w:rPr>
        <w:t>二、按实际投资金额核定申请资助的项目，获得的资助资金（含中央、省财政支持及本市、各区财政支持）</w:t>
      </w:r>
      <w:r>
        <w:rPr>
          <w:rFonts w:hint="eastAsia" w:ascii="仿宋" w:hAnsi="仿宋" w:eastAsia="仿宋" w:cs="仿宋"/>
          <w:color w:val="auto"/>
          <w:kern w:val="1"/>
          <w:sz w:val="32"/>
          <w:szCs w:val="32"/>
          <w:highlight w:val="none"/>
          <w:lang w:eastAsia="zh-CN"/>
        </w:rPr>
        <w:t>未</w:t>
      </w:r>
      <w:r>
        <w:rPr>
          <w:rFonts w:hint="eastAsia" w:ascii="仿宋" w:hAnsi="仿宋" w:eastAsia="仿宋" w:cs="仿宋"/>
          <w:color w:val="auto"/>
          <w:kern w:val="1"/>
          <w:sz w:val="32"/>
          <w:szCs w:val="32"/>
          <w:highlight w:val="none"/>
        </w:rPr>
        <w:t>超过实际支出总额</w:t>
      </w:r>
      <w:r>
        <w:rPr>
          <w:rFonts w:hint="eastAsia" w:ascii="仿宋" w:hAnsi="仿宋" w:eastAsia="仿宋" w:cs="仿宋"/>
          <w:color w:val="auto"/>
          <w:kern w:val="1"/>
          <w:sz w:val="32"/>
          <w:szCs w:val="32"/>
          <w:highlight w:val="none"/>
          <w:lang w:eastAsia="zh-CN"/>
        </w:rPr>
        <w:t>。本申报项目未</w:t>
      </w:r>
      <w:r>
        <w:rPr>
          <w:rFonts w:hint="eastAsia" w:ascii="仿宋" w:hAnsi="仿宋" w:eastAsia="仿宋" w:cs="仿宋"/>
          <w:color w:val="auto"/>
          <w:kern w:val="1"/>
          <w:sz w:val="32"/>
          <w:szCs w:val="32"/>
          <w:highlight w:val="none"/>
          <w:lang w:val="en-US" w:eastAsia="zh-CN"/>
        </w:rPr>
        <w:t>获得“综合货运枢纽补链强链”资金奖励。</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color w:val="auto"/>
          <w:kern w:val="1"/>
          <w:sz w:val="32"/>
          <w:szCs w:val="32"/>
          <w:highlight w:val="none"/>
          <w:lang w:eastAsia="zh-CN"/>
        </w:rPr>
      </w:pPr>
      <w:r>
        <w:rPr>
          <w:rFonts w:hint="eastAsia" w:ascii="仿宋" w:hAnsi="仿宋" w:eastAsia="仿宋" w:cs="仿宋"/>
          <w:color w:val="auto"/>
          <w:kern w:val="1"/>
          <w:sz w:val="32"/>
          <w:szCs w:val="32"/>
          <w:highlight w:val="none"/>
        </w:rPr>
        <w:t>三、本申请项目无诉讼情况和较大经济纠纷</w:t>
      </w:r>
      <w:r>
        <w:rPr>
          <w:rFonts w:hint="eastAsia" w:ascii="仿宋" w:hAnsi="仿宋" w:eastAsia="仿宋" w:cs="仿宋"/>
          <w:color w:val="auto"/>
          <w:kern w:val="1"/>
          <w:sz w:val="32"/>
          <w:szCs w:val="32"/>
          <w:highlight w:val="none"/>
          <w:lang w:eastAsia="zh-CN"/>
        </w:rPr>
        <w:t>，同一项目未重复申报我</w:t>
      </w:r>
      <w:r>
        <w:rPr>
          <w:rFonts w:hint="eastAsia" w:ascii="仿宋" w:hAnsi="仿宋" w:eastAsia="仿宋" w:cs="仿宋"/>
          <w:color w:val="auto"/>
          <w:kern w:val="1"/>
          <w:sz w:val="32"/>
          <w:szCs w:val="32"/>
          <w:highlight w:val="none"/>
        </w:rPr>
        <w:t>市其他同类性质市</w:t>
      </w:r>
      <w:r>
        <w:rPr>
          <w:rFonts w:hint="eastAsia" w:ascii="仿宋" w:hAnsi="仿宋" w:eastAsia="仿宋" w:cs="仿宋"/>
          <w:color w:val="auto"/>
          <w:kern w:val="1"/>
          <w:sz w:val="32"/>
          <w:szCs w:val="32"/>
          <w:highlight w:val="none"/>
          <w:lang w:eastAsia="zh-CN"/>
        </w:rPr>
        <w:t>级</w:t>
      </w:r>
      <w:r>
        <w:rPr>
          <w:rFonts w:hint="eastAsia" w:ascii="仿宋" w:hAnsi="仿宋" w:eastAsia="仿宋" w:cs="仿宋"/>
          <w:color w:val="auto"/>
          <w:kern w:val="1"/>
          <w:sz w:val="32"/>
          <w:szCs w:val="32"/>
          <w:highlight w:val="none"/>
        </w:rPr>
        <w:t>财政资金资助</w:t>
      </w:r>
      <w:r>
        <w:rPr>
          <w:rFonts w:hint="eastAsia" w:ascii="仿宋" w:hAnsi="仿宋" w:eastAsia="仿宋" w:cs="仿宋"/>
          <w:color w:val="auto"/>
          <w:kern w:val="1"/>
          <w:sz w:val="32"/>
          <w:szCs w:val="32"/>
          <w:highlight w:val="none"/>
          <w:lang w:eastAsia="zh-CN"/>
        </w:rPr>
        <w:t>。</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color w:val="auto"/>
          <w:kern w:val="1"/>
          <w:sz w:val="32"/>
          <w:szCs w:val="32"/>
          <w:highlight w:val="none"/>
        </w:rPr>
      </w:pPr>
      <w:r>
        <w:rPr>
          <w:rFonts w:hint="eastAsia" w:ascii="仿宋" w:hAnsi="仿宋" w:eastAsia="仿宋" w:cs="仿宋"/>
          <w:color w:val="auto"/>
          <w:kern w:val="1"/>
          <w:sz w:val="32"/>
          <w:szCs w:val="32"/>
          <w:highlight w:val="none"/>
          <w:lang w:eastAsia="zh-CN"/>
        </w:rPr>
        <w:t>四、</w:t>
      </w:r>
      <w:r>
        <w:rPr>
          <w:rFonts w:hint="eastAsia" w:ascii="仿宋" w:hAnsi="仿宋" w:eastAsia="仿宋" w:cs="仿宋"/>
          <w:color w:val="auto"/>
          <w:kern w:val="1"/>
          <w:sz w:val="32"/>
          <w:szCs w:val="32"/>
          <w:highlight w:val="none"/>
        </w:rPr>
        <w:t>严格按照有关规定做好项目实施、财政资金使用管理工作，保证财政资金专款专用、专账核算，按规定做好财务处理工作。对扶持资金使用情况，随时接受有关部门的监督检查。</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default" w:ascii="仿宋" w:hAnsi="仿宋" w:eastAsia="仿宋" w:cs="仿宋"/>
          <w:color w:val="auto"/>
          <w:kern w:val="1"/>
          <w:sz w:val="32"/>
          <w:szCs w:val="32"/>
          <w:highlight w:val="none"/>
          <w:lang w:val="en-US" w:eastAsia="zh-CN"/>
        </w:rPr>
      </w:pPr>
      <w:r>
        <w:rPr>
          <w:rFonts w:hint="eastAsia" w:ascii="仿宋" w:hAnsi="仿宋" w:eastAsia="仿宋" w:cs="仿宋"/>
          <w:color w:val="auto"/>
          <w:kern w:val="1"/>
          <w:sz w:val="32"/>
          <w:szCs w:val="32"/>
          <w:highlight w:val="none"/>
          <w:lang w:eastAsia="zh-CN"/>
        </w:rPr>
        <w:t>五</w:t>
      </w:r>
      <w:r>
        <w:rPr>
          <w:rFonts w:hint="eastAsia" w:ascii="仿宋" w:hAnsi="仿宋" w:eastAsia="仿宋" w:cs="仿宋"/>
          <w:color w:val="auto"/>
          <w:kern w:val="1"/>
          <w:sz w:val="32"/>
          <w:szCs w:val="32"/>
          <w:highlight w:val="none"/>
        </w:rPr>
        <w:t>、</w:t>
      </w:r>
      <w:r>
        <w:rPr>
          <w:rFonts w:hint="eastAsia" w:ascii="仿宋" w:hAnsi="仿宋" w:eastAsia="仿宋" w:cs="仿宋"/>
          <w:color w:val="auto"/>
          <w:kern w:val="1"/>
          <w:sz w:val="32"/>
          <w:szCs w:val="32"/>
          <w:highlight w:val="none"/>
          <w:lang w:val="en-US" w:eastAsia="zh-CN"/>
        </w:rPr>
        <w:t>申报</w:t>
      </w:r>
      <w:r>
        <w:rPr>
          <w:rFonts w:hint="eastAsia" w:ascii="仿宋" w:hAnsi="仿宋" w:eastAsia="仿宋" w:cs="仿宋"/>
          <w:color w:val="auto"/>
          <w:kern w:val="1"/>
          <w:sz w:val="32"/>
          <w:szCs w:val="32"/>
          <w:highlight w:val="none"/>
          <w:lang w:eastAsia="zh-CN"/>
        </w:rPr>
        <w:t>“</w:t>
      </w:r>
      <w:r>
        <w:rPr>
          <w:rFonts w:hint="eastAsia" w:ascii="仿宋" w:hAnsi="仿宋" w:eastAsia="仿宋" w:cs="仿宋"/>
          <w:color w:val="auto"/>
          <w:kern w:val="1"/>
          <w:sz w:val="32"/>
          <w:szCs w:val="32"/>
          <w:highlight w:val="none"/>
          <w:lang w:val="en-US" w:eastAsia="zh-CN"/>
        </w:rPr>
        <w:t>降低港珠澳大桥跨境物流仓储成本”项目的，涉及仓库不存在转租、转借、业主自用、租赁方与承租方存关联关系等情况。</w:t>
      </w:r>
      <w:r>
        <w:rPr>
          <w:rFonts w:hint="default" w:ascii="仿宋" w:hAnsi="仿宋" w:eastAsia="仿宋" w:cs="仿宋"/>
          <w:color w:val="auto"/>
          <w:kern w:val="1"/>
          <w:sz w:val="32"/>
          <w:szCs w:val="32"/>
          <w:highlight w:val="none"/>
          <w:lang w:val="en-US" w:eastAsia="zh-CN"/>
        </w:rPr>
        <w:t>经港珠澳大桥开展珠港跨境运输业务，该项业务收入占营业总收入比例不低于70%</w:t>
      </w:r>
      <w:r>
        <w:rPr>
          <w:rFonts w:hint="eastAsia" w:ascii="仿宋" w:hAnsi="仿宋" w:eastAsia="仿宋" w:cs="仿宋"/>
          <w:color w:val="auto"/>
          <w:kern w:val="1"/>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Lines="0" w:after="0" w:afterLines="0" w:line="579" w:lineRule="exact"/>
        <w:ind w:firstLine="640" w:firstLineChars="200"/>
        <w:jc w:val="both"/>
        <w:textAlignment w:val="auto"/>
        <w:rPr>
          <w:rFonts w:hint="default" w:ascii="仿宋" w:hAnsi="仿宋" w:eastAsia="仿宋" w:cs="仿宋"/>
          <w:color w:val="auto"/>
          <w:kern w:val="1"/>
          <w:sz w:val="32"/>
          <w:szCs w:val="32"/>
          <w:highlight w:val="none"/>
          <w:lang w:val="en-US" w:eastAsia="zh-CN"/>
        </w:rPr>
      </w:pPr>
      <w:r>
        <w:rPr>
          <w:rFonts w:hint="eastAsia" w:ascii="仿宋" w:hAnsi="仿宋" w:eastAsia="仿宋" w:cs="仿宋"/>
          <w:color w:val="auto"/>
          <w:kern w:val="1"/>
          <w:sz w:val="32"/>
          <w:szCs w:val="32"/>
          <w:highlight w:val="none"/>
          <w:lang w:val="en-US" w:eastAsia="zh-CN"/>
        </w:rPr>
        <w:t>六、申报“鼓励发展大型跨境综合物流服设施”项目的，提供的《场地操作记录》准确无误，所记录的跨境货车均在本场站进行集拼或接驳等操作，货物均经港珠澳大桥公路口岸进出境。自申报年度起，相关数据留存3年备查。</w:t>
      </w:r>
    </w:p>
    <w:p>
      <w:pPr>
        <w:keepNext w:val="0"/>
        <w:keepLines w:val="0"/>
        <w:pageBreakBefore w:val="0"/>
        <w:kinsoku/>
        <w:wordWrap/>
        <w:overflowPunct/>
        <w:topLinePunct w:val="0"/>
        <w:autoSpaceDE/>
        <w:autoSpaceDN/>
        <w:bidi w:val="0"/>
        <w:adjustRightInd/>
        <w:spacing w:beforeLines="0" w:after="0" w:afterLines="0" w:line="579" w:lineRule="exact"/>
        <w:ind w:firstLine="642" w:firstLineChars="200"/>
        <w:jc w:val="both"/>
        <w:textAlignment w:val="auto"/>
        <w:rPr>
          <w:rFonts w:hint="eastAsia" w:ascii="仿宋" w:hAnsi="仿宋" w:eastAsia="仿宋" w:cs="仿宋"/>
          <w:b/>
          <w:bCs/>
          <w:color w:val="auto"/>
          <w:kern w:val="1"/>
          <w:sz w:val="32"/>
          <w:szCs w:val="32"/>
          <w:highlight w:val="none"/>
          <w:lang w:eastAsia="zh-CN" w:bidi="ar"/>
        </w:rPr>
      </w:pPr>
      <w:r>
        <w:rPr>
          <w:rFonts w:hint="eastAsia" w:ascii="仿宋" w:hAnsi="仿宋" w:eastAsia="仿宋" w:cs="仿宋"/>
          <w:b/>
          <w:bCs/>
          <w:color w:val="auto"/>
          <w:kern w:val="1"/>
          <w:sz w:val="32"/>
          <w:szCs w:val="32"/>
          <w:highlight w:val="none"/>
          <w:lang w:eastAsia="zh-CN"/>
        </w:rPr>
        <w:t>【特别提醒】</w:t>
      </w:r>
      <w:r>
        <w:rPr>
          <w:rFonts w:hint="eastAsia" w:ascii="仿宋" w:hAnsi="仿宋" w:eastAsia="仿宋" w:cs="仿宋"/>
          <w:b w:val="0"/>
          <w:bCs w:val="0"/>
          <w:color w:val="auto"/>
          <w:kern w:val="1"/>
          <w:sz w:val="28"/>
          <w:szCs w:val="28"/>
          <w:highlight w:val="none"/>
          <w:lang w:eastAsia="zh-CN"/>
        </w:rPr>
        <w:t>《</w:t>
      </w:r>
      <w:r>
        <w:rPr>
          <w:rFonts w:hint="eastAsia" w:ascii="仿宋" w:hAnsi="仿宋" w:eastAsia="仿宋" w:cs="仿宋"/>
          <w:b w:val="0"/>
          <w:bCs w:val="0"/>
          <w:i w:val="0"/>
          <w:iCs w:val="0"/>
          <w:caps w:val="0"/>
          <w:color w:val="auto"/>
          <w:spacing w:val="0"/>
          <w:kern w:val="1"/>
          <w:sz w:val="28"/>
          <w:szCs w:val="28"/>
          <w:highlight w:val="none"/>
          <w:shd w:val="clear" w:color="auto" w:fill="auto"/>
          <w:lang w:val="en-US" w:eastAsia="zh-CN" w:bidi="ar"/>
        </w:rPr>
        <w:t>中华人民共和国发票管理办法》</w:t>
      </w:r>
      <w:r>
        <w:rPr>
          <w:rFonts w:hint="eastAsia" w:ascii="仿宋" w:hAnsi="仿宋" w:eastAsia="仿宋" w:cs="仿宋"/>
          <w:b w:val="0"/>
          <w:bCs w:val="0"/>
          <w:color w:val="auto"/>
          <w:kern w:val="1"/>
          <w:sz w:val="28"/>
          <w:szCs w:val="28"/>
          <w:highlight w:val="none"/>
          <w:lang w:val="en-US" w:eastAsia="zh-CN"/>
        </w:rPr>
        <w:t>第三十五条：违反本办法的规定虚开发票的，由税务机关没收违法所得；</w:t>
      </w:r>
      <w:r>
        <w:rPr>
          <w:rFonts w:hint="eastAsia" w:ascii="仿宋" w:hAnsi="仿宋" w:eastAsia="仿宋" w:cs="仿宋"/>
          <w:b/>
          <w:bCs/>
          <w:color w:val="auto"/>
          <w:kern w:val="1"/>
          <w:sz w:val="28"/>
          <w:szCs w:val="28"/>
          <w:highlight w:val="none"/>
          <w:lang w:val="en-US" w:eastAsia="zh-CN"/>
        </w:rPr>
        <w:t>虚开金额在1万元以下的，可以并处5</w:t>
      </w:r>
      <w:r>
        <w:rPr>
          <w:rFonts w:hint="eastAsia" w:ascii="仿宋" w:hAnsi="仿宋" w:eastAsia="仿宋" w:cs="仿宋"/>
          <w:b/>
          <w:bCs/>
          <w:color w:val="auto"/>
          <w:kern w:val="1"/>
          <w:sz w:val="28"/>
          <w:szCs w:val="28"/>
          <w:highlight w:val="none"/>
          <w:lang w:val="en-US" w:eastAsia="zh-CN" w:bidi="ar"/>
        </w:rPr>
        <w:t>万元以下的罚款；虚开金额超过1万元的，并处5万元以上50万元以下的罚款</w:t>
      </w:r>
      <w:r>
        <w:rPr>
          <w:rFonts w:hint="eastAsia" w:ascii="仿宋" w:hAnsi="仿宋" w:eastAsia="仿宋" w:cs="仿宋"/>
          <w:b w:val="0"/>
          <w:bCs w:val="0"/>
          <w:color w:val="auto"/>
          <w:kern w:val="1"/>
          <w:sz w:val="28"/>
          <w:szCs w:val="28"/>
          <w:highlight w:val="none"/>
          <w:lang w:val="en-US" w:eastAsia="zh-CN" w:bidi="ar"/>
        </w:rPr>
        <w:t>；构成犯罪的，依法追究刑事责任。</w:t>
      </w:r>
      <w:r>
        <w:rPr>
          <w:rFonts w:hint="eastAsia" w:ascii="仿宋" w:hAnsi="仿宋" w:eastAsia="仿宋" w:cs="仿宋"/>
          <w:b w:val="0"/>
          <w:bCs w:val="0"/>
          <w:i w:val="0"/>
          <w:iCs w:val="0"/>
          <w:caps w:val="0"/>
          <w:color w:val="auto"/>
          <w:spacing w:val="0"/>
          <w:kern w:val="1"/>
          <w:sz w:val="28"/>
          <w:szCs w:val="28"/>
          <w:highlight w:val="none"/>
          <w:shd w:val="clear" w:color="auto" w:fill="auto"/>
          <w:lang w:val="en-US" w:eastAsia="zh-CN" w:bidi="ar"/>
        </w:rPr>
        <w:t>非法代开发票的，依照前款规定处罚。</w:t>
      </w:r>
      <w:r>
        <w:rPr>
          <w:rFonts w:hint="eastAsia" w:ascii="仿宋" w:hAnsi="仿宋" w:eastAsia="仿宋" w:cs="仿宋"/>
          <w:b w:val="0"/>
          <w:bCs w:val="0"/>
          <w:i w:val="0"/>
          <w:iCs w:val="0"/>
          <w:caps w:val="0"/>
          <w:color w:val="auto"/>
          <w:spacing w:val="0"/>
          <w:kern w:val="1"/>
          <w:sz w:val="28"/>
          <w:szCs w:val="28"/>
          <w:highlight w:val="none"/>
          <w:u w:val="none"/>
          <w:shd w:val="clear" w:color="auto" w:fill="auto"/>
          <w:lang w:val="en-US" w:eastAsia="zh-CN" w:bidi="ar"/>
        </w:rPr>
        <w:t>《</w:t>
      </w:r>
      <w:r>
        <w:rPr>
          <w:rFonts w:hint="eastAsia" w:ascii="仿宋" w:hAnsi="仿宋" w:eastAsia="仿宋" w:cs="仿宋"/>
          <w:b w:val="0"/>
          <w:bCs w:val="0"/>
          <w:color w:val="auto"/>
          <w:kern w:val="1"/>
          <w:sz w:val="28"/>
          <w:szCs w:val="28"/>
          <w:highlight w:val="none"/>
          <w:lang w:bidi="ar"/>
        </w:rPr>
        <w:t>中华人民共和国刑法</w:t>
      </w:r>
      <w:r>
        <w:rPr>
          <w:rFonts w:hint="eastAsia" w:ascii="仿宋" w:hAnsi="仿宋" w:eastAsia="仿宋" w:cs="仿宋"/>
          <w:b w:val="0"/>
          <w:bCs w:val="0"/>
          <w:i w:val="0"/>
          <w:iCs w:val="0"/>
          <w:caps w:val="0"/>
          <w:color w:val="auto"/>
          <w:spacing w:val="0"/>
          <w:kern w:val="1"/>
          <w:sz w:val="28"/>
          <w:szCs w:val="28"/>
          <w:highlight w:val="none"/>
          <w:u w:val="none"/>
          <w:shd w:val="clear" w:color="auto" w:fill="auto"/>
          <w:lang w:val="en-US" w:eastAsia="zh-CN" w:bidi="ar"/>
        </w:rPr>
        <w:t>》</w:t>
      </w:r>
      <w:r>
        <w:rPr>
          <w:rFonts w:hint="eastAsia" w:ascii="仿宋" w:hAnsi="仿宋" w:eastAsia="仿宋" w:cs="仿宋"/>
          <w:b w:val="0"/>
          <w:bCs w:val="0"/>
          <w:color w:val="auto"/>
          <w:kern w:val="1"/>
          <w:sz w:val="28"/>
          <w:szCs w:val="28"/>
          <w:highlight w:val="none"/>
          <w:lang w:bidi="ar"/>
        </w:rPr>
        <w:t>第二百零五条</w:t>
      </w:r>
      <w:r>
        <w:rPr>
          <w:rFonts w:hint="eastAsia" w:ascii="仿宋" w:hAnsi="仿宋" w:eastAsia="仿宋" w:cs="仿宋"/>
          <w:b w:val="0"/>
          <w:bCs w:val="0"/>
          <w:color w:val="auto"/>
          <w:kern w:val="1"/>
          <w:sz w:val="28"/>
          <w:szCs w:val="28"/>
          <w:highlight w:val="none"/>
          <w:lang w:eastAsia="zh-CN" w:bidi="ar"/>
        </w:rPr>
        <w:t>：</w:t>
      </w:r>
      <w:r>
        <w:rPr>
          <w:rFonts w:hint="eastAsia" w:ascii="仿宋" w:hAnsi="仿宋" w:eastAsia="仿宋" w:cs="仿宋"/>
          <w:b/>
          <w:bCs/>
          <w:color w:val="auto"/>
          <w:kern w:val="1"/>
          <w:sz w:val="28"/>
          <w:szCs w:val="28"/>
          <w:highlight w:val="none"/>
          <w:lang w:bidi="ar"/>
        </w:rPr>
        <w:t>虚开增值税专用发票</w:t>
      </w:r>
      <w:r>
        <w:rPr>
          <w:rFonts w:hint="eastAsia" w:ascii="仿宋" w:hAnsi="仿宋" w:eastAsia="仿宋" w:cs="仿宋"/>
          <w:b w:val="0"/>
          <w:bCs w:val="0"/>
          <w:color w:val="auto"/>
          <w:kern w:val="1"/>
          <w:sz w:val="28"/>
          <w:szCs w:val="28"/>
          <w:highlight w:val="none"/>
          <w:lang w:bidi="ar"/>
        </w:rPr>
        <w:t>或者虚开用于骗取出口退税、抵扣税款的其他发票的，</w:t>
      </w:r>
      <w:r>
        <w:rPr>
          <w:rFonts w:hint="eastAsia" w:ascii="仿宋" w:hAnsi="仿宋" w:eastAsia="仿宋" w:cs="仿宋"/>
          <w:b/>
          <w:bCs/>
          <w:color w:val="auto"/>
          <w:kern w:val="1"/>
          <w:sz w:val="28"/>
          <w:szCs w:val="28"/>
          <w:highlight w:val="none"/>
          <w:lang w:bidi="ar"/>
        </w:rPr>
        <w:t>处三年以下有期徒刑或者拘役，并处二万元以上二十万元以下罚金</w:t>
      </w:r>
      <w:r>
        <w:rPr>
          <w:rFonts w:hint="eastAsia" w:ascii="仿宋" w:hAnsi="仿宋" w:eastAsia="仿宋" w:cs="仿宋"/>
          <w:b w:val="0"/>
          <w:bCs w:val="0"/>
          <w:color w:val="auto"/>
          <w:kern w:val="1"/>
          <w:sz w:val="28"/>
          <w:szCs w:val="28"/>
          <w:highlight w:val="none"/>
          <w:lang w:bidi="ar"/>
        </w:rPr>
        <w:t>；虚开的税款数额较大或者有其他严重情节的，处三年以上十年以下有期徒刑，并处五万元以上五十万元以下罚金。单位犯本条规定之罪的，对单位判处罚金，并对其</w:t>
      </w:r>
      <w:r>
        <w:rPr>
          <w:rFonts w:hint="eastAsia" w:ascii="仿宋" w:hAnsi="仿宋" w:eastAsia="仿宋" w:cs="仿宋"/>
          <w:b/>
          <w:bCs/>
          <w:color w:val="auto"/>
          <w:kern w:val="1"/>
          <w:sz w:val="28"/>
          <w:szCs w:val="28"/>
          <w:highlight w:val="none"/>
          <w:lang w:bidi="ar"/>
        </w:rPr>
        <w:t>直接负责的主管人员和其他直接责任人员，处三年以下有期徒刑或者拘役</w:t>
      </w:r>
      <w:r>
        <w:rPr>
          <w:rFonts w:hint="eastAsia" w:ascii="仿宋" w:hAnsi="仿宋" w:eastAsia="仿宋" w:cs="仿宋"/>
          <w:b w:val="0"/>
          <w:bCs w:val="0"/>
          <w:color w:val="auto"/>
          <w:kern w:val="1"/>
          <w:sz w:val="28"/>
          <w:szCs w:val="28"/>
          <w:highlight w:val="none"/>
          <w:lang w:bidi="ar"/>
        </w:rPr>
        <w:t>；虚开的税款数额较大或者有其他严重情节的，处三年以上十年以下有期徒刑；虚开的税款数额巨大或者有其他特别严重情节的，处十年以上有期徒刑或者无期徒刑。</w:t>
      </w:r>
      <w:r>
        <w:rPr>
          <w:rFonts w:hint="eastAsia" w:ascii="仿宋" w:hAnsi="仿宋" w:eastAsia="仿宋" w:cs="仿宋"/>
          <w:b w:val="0"/>
          <w:bCs w:val="0"/>
          <w:color w:val="auto"/>
          <w:kern w:val="1"/>
          <w:sz w:val="28"/>
          <w:szCs w:val="28"/>
          <w:highlight w:val="none"/>
          <w:lang w:eastAsia="zh-CN" w:bidi="ar"/>
        </w:rPr>
        <w:t>第</w:t>
      </w:r>
      <w:r>
        <w:rPr>
          <w:rFonts w:hint="eastAsia" w:ascii="仿宋" w:hAnsi="仿宋" w:eastAsia="仿宋" w:cs="仿宋"/>
          <w:b w:val="0"/>
          <w:bCs w:val="0"/>
          <w:color w:val="auto"/>
          <w:kern w:val="1"/>
          <w:sz w:val="28"/>
          <w:szCs w:val="28"/>
          <w:highlight w:val="none"/>
          <w:lang w:bidi="ar"/>
        </w:rPr>
        <w:t>二百零五条</w:t>
      </w:r>
      <w:r>
        <w:rPr>
          <w:rFonts w:hint="eastAsia" w:ascii="仿宋" w:hAnsi="仿宋" w:eastAsia="仿宋" w:cs="仿宋"/>
          <w:b w:val="0"/>
          <w:bCs w:val="0"/>
          <w:color w:val="auto"/>
          <w:kern w:val="1"/>
          <w:sz w:val="28"/>
          <w:szCs w:val="28"/>
          <w:highlight w:val="none"/>
          <w:lang w:eastAsia="zh-CN" w:bidi="ar"/>
        </w:rPr>
        <w:t>之一：</w:t>
      </w:r>
      <w:r>
        <w:rPr>
          <w:rFonts w:hint="eastAsia" w:ascii="仿宋" w:hAnsi="仿宋" w:eastAsia="仿宋" w:cs="仿宋"/>
          <w:b/>
          <w:bCs/>
          <w:color w:val="auto"/>
          <w:kern w:val="1"/>
          <w:sz w:val="28"/>
          <w:szCs w:val="28"/>
          <w:highlight w:val="none"/>
          <w:lang w:bidi="ar"/>
        </w:rPr>
        <w:t>虚开本法第二百零五条规定以外的其他发票，情节严重的，处二年以下有期徒刑、拘役或者管制，并处罚金</w:t>
      </w:r>
      <w:r>
        <w:rPr>
          <w:rFonts w:hint="eastAsia" w:ascii="仿宋" w:hAnsi="仿宋" w:eastAsia="仿宋" w:cs="仿宋"/>
          <w:b w:val="0"/>
          <w:bCs w:val="0"/>
          <w:color w:val="auto"/>
          <w:kern w:val="1"/>
          <w:sz w:val="28"/>
          <w:szCs w:val="28"/>
          <w:highlight w:val="none"/>
          <w:lang w:bidi="ar"/>
        </w:rPr>
        <w:t>；情节特别严重的，处二年以上七年以下有期徒刑，并处罚金。单位犯前款罪的，对单位判处罚金，并对其直接负责的主管人员和其他直接责任人员，依照前款的规定处罚。</w:t>
      </w:r>
    </w:p>
    <w:p>
      <w:pPr>
        <w:keepNext w:val="0"/>
        <w:keepLines w:val="0"/>
        <w:pageBreakBefore w:val="0"/>
        <w:widowControl/>
        <w:suppressLineNumbers w:val="0"/>
        <w:kinsoku/>
        <w:wordWrap/>
        <w:overflowPunct/>
        <w:topLinePunct w:val="0"/>
        <w:autoSpaceDE/>
        <w:autoSpaceDN/>
        <w:bidi w:val="0"/>
        <w:adjustRightInd/>
        <w:spacing w:beforeLines="0" w:afterLines="0" w:line="579" w:lineRule="exact"/>
        <w:ind w:firstLine="640" w:firstLineChars="200"/>
        <w:jc w:val="both"/>
        <w:textAlignment w:val="auto"/>
        <w:rPr>
          <w:rFonts w:hint="eastAsia" w:ascii="仿宋" w:hAnsi="仿宋" w:eastAsia="仿宋" w:cs="仿宋"/>
          <w:color w:val="auto"/>
          <w:kern w:val="1"/>
          <w:sz w:val="32"/>
          <w:szCs w:val="32"/>
          <w:highlight w:val="none"/>
          <w:lang w:val="en-US" w:eastAsia="zh-CN"/>
        </w:rPr>
      </w:pPr>
    </w:p>
    <w:p>
      <w:pPr>
        <w:spacing w:beforeLines="0" w:afterLines="0" w:line="579" w:lineRule="exact"/>
        <w:jc w:val="both"/>
        <w:rPr>
          <w:rFonts w:hint="eastAsia" w:ascii="仿宋" w:hAnsi="仿宋" w:eastAsia="仿宋" w:cs="仿宋"/>
          <w:color w:val="auto"/>
          <w:kern w:val="1"/>
          <w:sz w:val="32"/>
          <w:szCs w:val="32"/>
          <w:highlight w:val="none"/>
        </w:rPr>
      </w:pPr>
    </w:p>
    <w:p>
      <w:pPr>
        <w:spacing w:beforeLines="0" w:afterLines="0" w:line="579" w:lineRule="exact"/>
        <w:jc w:val="both"/>
        <w:rPr>
          <w:rFonts w:hint="eastAsia" w:ascii="仿宋" w:hAnsi="仿宋" w:eastAsia="仿宋" w:cs="仿宋"/>
          <w:color w:val="auto"/>
          <w:kern w:val="1"/>
          <w:sz w:val="32"/>
          <w:szCs w:val="32"/>
          <w:highlight w:val="none"/>
        </w:rPr>
      </w:pPr>
    </w:p>
    <w:p>
      <w:pPr>
        <w:spacing w:beforeLines="0" w:afterLines="0" w:line="360" w:lineRule="auto"/>
        <w:ind w:firstLine="5120" w:firstLineChars="1600"/>
        <w:jc w:val="both"/>
        <w:rPr>
          <w:rFonts w:hint="eastAsia" w:ascii="仿宋" w:hAnsi="仿宋" w:eastAsia="仿宋" w:cs="仿宋"/>
          <w:color w:val="auto"/>
          <w:kern w:val="1"/>
          <w:sz w:val="32"/>
          <w:szCs w:val="32"/>
          <w:highlight w:val="none"/>
        </w:rPr>
      </w:pPr>
      <w:r>
        <w:rPr>
          <w:rFonts w:hint="eastAsia" w:ascii="仿宋" w:hAnsi="仿宋" w:eastAsia="仿宋" w:cs="仿宋"/>
          <w:color w:val="auto"/>
          <w:kern w:val="1"/>
          <w:sz w:val="32"/>
          <w:szCs w:val="32"/>
          <w:highlight w:val="none"/>
        </w:rPr>
        <w:t>法</w:t>
      </w:r>
      <w:r>
        <w:rPr>
          <w:rFonts w:hint="eastAsia" w:ascii="仿宋" w:hAnsi="仿宋" w:eastAsia="仿宋" w:cs="仿宋"/>
          <w:color w:val="auto"/>
          <w:kern w:val="1"/>
          <w:sz w:val="32"/>
          <w:szCs w:val="32"/>
          <w:highlight w:val="none"/>
          <w:lang w:eastAsia="zh-CN"/>
        </w:rPr>
        <w:t>定</w:t>
      </w:r>
      <w:r>
        <w:rPr>
          <w:rFonts w:hint="eastAsia" w:ascii="仿宋" w:hAnsi="仿宋" w:eastAsia="仿宋" w:cs="仿宋"/>
          <w:color w:val="auto"/>
          <w:kern w:val="1"/>
          <w:sz w:val="32"/>
          <w:szCs w:val="32"/>
          <w:highlight w:val="none"/>
        </w:rPr>
        <w:t>代表人：</w:t>
      </w:r>
      <w:r>
        <w:rPr>
          <w:rFonts w:hint="eastAsia" w:ascii="仿宋" w:hAnsi="仿宋" w:eastAsia="仿宋" w:cs="仿宋"/>
          <w:color w:val="auto"/>
          <w:kern w:val="1"/>
          <w:sz w:val="32"/>
          <w:szCs w:val="32"/>
          <w:highlight w:val="none"/>
          <w:u w:val="single"/>
        </w:rPr>
        <w:t>（签字）</w:t>
      </w:r>
    </w:p>
    <w:p>
      <w:pPr>
        <w:tabs>
          <w:tab w:val="left" w:pos="5670"/>
        </w:tabs>
        <w:wordWrap/>
        <w:spacing w:beforeLines="0" w:afterLines="0" w:line="360" w:lineRule="auto"/>
        <w:ind w:firstLine="5760" w:firstLineChars="1800"/>
        <w:jc w:val="both"/>
        <w:rPr>
          <w:rFonts w:hint="eastAsia" w:ascii="仿宋" w:hAnsi="仿宋" w:eastAsia="仿宋" w:cs="仿宋"/>
          <w:color w:val="auto"/>
          <w:kern w:val="1"/>
          <w:sz w:val="32"/>
          <w:szCs w:val="32"/>
          <w:highlight w:val="none"/>
        </w:rPr>
      </w:pPr>
    </w:p>
    <w:p>
      <w:pPr>
        <w:tabs>
          <w:tab w:val="left" w:pos="5670"/>
        </w:tabs>
        <w:wordWrap/>
        <w:spacing w:beforeLines="0" w:afterLines="0" w:line="360" w:lineRule="auto"/>
        <w:ind w:firstLine="5760" w:firstLineChars="1800"/>
        <w:jc w:val="both"/>
        <w:rPr>
          <w:rFonts w:hint="eastAsia" w:ascii="仿宋" w:hAnsi="仿宋" w:eastAsia="仿宋" w:cs="仿宋"/>
          <w:color w:val="auto"/>
          <w:kern w:val="1"/>
          <w:sz w:val="32"/>
          <w:szCs w:val="32"/>
          <w:highlight w:val="none"/>
        </w:rPr>
      </w:pPr>
      <w:r>
        <w:rPr>
          <w:rFonts w:hint="eastAsia" w:ascii="仿宋" w:hAnsi="仿宋" w:eastAsia="仿宋" w:cs="仿宋"/>
          <w:color w:val="auto"/>
          <w:kern w:val="1"/>
          <w:sz w:val="32"/>
          <w:szCs w:val="32"/>
          <w:highlight w:val="none"/>
        </w:rPr>
        <w:t>（单位印章）　　　　　</w:t>
      </w:r>
    </w:p>
    <w:p>
      <w:pPr>
        <w:tabs>
          <w:tab w:val="left" w:pos="5670"/>
        </w:tabs>
        <w:wordWrap/>
        <w:spacing w:beforeLines="0" w:afterLines="0" w:line="360" w:lineRule="auto"/>
        <w:ind w:firstLine="5760" w:firstLineChars="1800"/>
        <w:jc w:val="both"/>
        <w:rPr>
          <w:rFonts w:hint="eastAsia" w:ascii="仿宋" w:hAnsi="仿宋" w:eastAsia="仿宋" w:cs="仿宋"/>
          <w:color w:val="auto"/>
          <w:kern w:val="0"/>
          <w:sz w:val="32"/>
          <w:szCs w:val="32"/>
          <w:highlight w:val="none"/>
          <w:lang w:bidi="ar"/>
        </w:rPr>
      </w:pPr>
    </w:p>
    <w:p>
      <w:pPr>
        <w:tabs>
          <w:tab w:val="left" w:pos="5670"/>
        </w:tabs>
        <w:wordWrap/>
        <w:spacing w:beforeLines="0" w:afterLines="0" w:line="360" w:lineRule="auto"/>
        <w:ind w:firstLine="5760" w:firstLineChars="1800"/>
        <w:jc w:val="both"/>
        <w:rPr>
          <w:rFonts w:hint="eastAsia" w:ascii="仿宋" w:hAnsi="仿宋" w:eastAsia="仿宋" w:cs="仿宋"/>
          <w:color w:val="auto"/>
          <w:kern w:val="0"/>
          <w:sz w:val="32"/>
          <w:szCs w:val="32"/>
          <w:highlight w:val="none"/>
          <w:lang w:bidi="ar"/>
        </w:rPr>
      </w:pPr>
      <w:r>
        <w:rPr>
          <w:rFonts w:hint="eastAsia" w:ascii="仿宋" w:hAnsi="仿宋" w:eastAsia="仿宋" w:cs="仿宋"/>
          <w:color w:val="auto"/>
          <w:kern w:val="0"/>
          <w:sz w:val="32"/>
          <w:szCs w:val="32"/>
          <w:highlight w:val="none"/>
          <w:lang w:bidi="ar"/>
        </w:rPr>
        <w:t>年　　月　　日　　</w:t>
      </w:r>
    </w:p>
    <w:p>
      <w:pPr>
        <w:snapToGrid w:val="0"/>
        <w:spacing w:beforeLines="0" w:afterLines="0" w:line="240" w:lineRule="auto"/>
        <w:jc w:val="both"/>
        <w:rPr>
          <w:rFonts w:hint="eastAsia" w:ascii="黑体" w:hAnsi="黑体" w:eastAsia="黑体" w:cs="黑体"/>
          <w:color w:val="auto"/>
          <w:kern w:val="1"/>
          <w:sz w:val="32"/>
          <w:szCs w:val="32"/>
          <w:highlight w:val="none"/>
        </w:rPr>
      </w:pPr>
      <w:r>
        <w:rPr>
          <w:rFonts w:hint="eastAsia" w:ascii="黑体" w:hAnsi="黑体" w:eastAsia="黑体" w:cs="黑体"/>
          <w:color w:val="auto"/>
          <w:kern w:val="1"/>
          <w:sz w:val="32"/>
          <w:szCs w:val="32"/>
          <w:highlight w:val="none"/>
        </w:rPr>
        <w:t>附件</w:t>
      </w:r>
      <w:r>
        <w:rPr>
          <w:rFonts w:hint="eastAsia" w:ascii="黑体" w:hAnsi="黑体" w:eastAsia="黑体" w:cs="黑体"/>
          <w:color w:val="auto"/>
          <w:kern w:val="1"/>
          <w:sz w:val="32"/>
          <w:szCs w:val="32"/>
          <w:highlight w:val="none"/>
          <w:lang w:val="en-US" w:eastAsia="zh-CN"/>
        </w:rPr>
        <w:t>2</w:t>
      </w:r>
      <w:r>
        <w:rPr>
          <w:rFonts w:hint="eastAsia" w:ascii="黑体" w:hAnsi="黑体" w:eastAsia="黑体" w:cs="黑体"/>
          <w:color w:val="auto"/>
          <w:kern w:val="1"/>
          <w:sz w:val="32"/>
          <w:szCs w:val="32"/>
          <w:highlight w:val="none"/>
        </w:rPr>
        <w:t>-</w:t>
      </w:r>
      <w:r>
        <w:rPr>
          <w:rFonts w:hint="eastAsia" w:ascii="黑体" w:hAnsi="黑体" w:eastAsia="黑体" w:cs="黑体"/>
          <w:color w:val="auto"/>
          <w:kern w:val="1"/>
          <w:sz w:val="32"/>
          <w:szCs w:val="32"/>
          <w:highlight w:val="none"/>
          <w:lang w:val="en-US" w:eastAsia="zh-CN"/>
        </w:rPr>
        <w:t>4</w:t>
      </w:r>
    </w:p>
    <w:p>
      <w:pPr>
        <w:snapToGrid w:val="0"/>
        <w:spacing w:beforeLines="0" w:afterLines="0" w:line="240" w:lineRule="auto"/>
        <w:jc w:val="both"/>
        <w:rPr>
          <w:rFonts w:hint="eastAsia" w:ascii="仿宋" w:hAnsi="仿宋" w:eastAsia="仿宋" w:cs="仿宋"/>
          <w:color w:val="auto"/>
          <w:kern w:val="1"/>
          <w:sz w:val="32"/>
          <w:szCs w:val="32"/>
          <w:highlight w:val="none"/>
        </w:rPr>
      </w:pPr>
      <w:r>
        <w:rPr>
          <w:rFonts w:hint="eastAsia" w:ascii="仿宋" w:hAnsi="仿宋" w:eastAsia="仿宋" w:cs="仿宋"/>
          <w:color w:val="auto"/>
          <w:kern w:val="1"/>
          <w:sz w:val="32"/>
          <w:szCs w:val="32"/>
          <w:highlight w:val="none"/>
        </w:rPr>
        <w:t>　</w:t>
      </w:r>
    </w:p>
    <w:p>
      <w:pPr>
        <w:snapToGrid w:val="0"/>
        <w:spacing w:beforeLines="0" w:afterLines="0" w:line="240" w:lineRule="auto"/>
        <w:jc w:val="center"/>
        <w:rPr>
          <w:rFonts w:hint="eastAsia" w:ascii="方正小标宋简体" w:eastAsia="方正小标宋简体"/>
          <w:color w:val="auto"/>
          <w:sz w:val="44"/>
          <w:szCs w:val="24"/>
          <w:highlight w:val="none"/>
        </w:rPr>
      </w:pPr>
      <w:r>
        <w:rPr>
          <w:rFonts w:hint="eastAsia" w:ascii="方正小标宋简体" w:eastAsia="方正小标宋简体"/>
          <w:color w:val="auto"/>
          <w:sz w:val="44"/>
          <w:szCs w:val="24"/>
          <w:highlight w:val="none"/>
        </w:rPr>
        <w:t>申报项目获得相关财政资金资助情况表</w:t>
      </w:r>
    </w:p>
    <w:p>
      <w:pPr>
        <w:snapToGrid w:val="0"/>
        <w:spacing w:beforeLines="0" w:afterLines="0" w:line="240" w:lineRule="auto"/>
        <w:jc w:val="both"/>
        <w:textAlignment w:val="center"/>
        <w:rPr>
          <w:rFonts w:hint="eastAsia" w:ascii="仿宋" w:hAnsi="仿宋" w:eastAsia="仿宋" w:cs="仿宋"/>
          <w:color w:val="auto"/>
          <w:sz w:val="24"/>
          <w:szCs w:val="24"/>
          <w:highlight w:val="none"/>
        </w:rPr>
      </w:pPr>
    </w:p>
    <w:p>
      <w:pPr>
        <w:snapToGrid w:val="0"/>
        <w:spacing w:beforeLines="0" w:afterLines="0" w:line="240" w:lineRule="auto"/>
        <w:jc w:val="both"/>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单位名称（盖章）：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填表时间：　　年　月　日</w:t>
      </w:r>
    </w:p>
    <w:tbl>
      <w:tblPr>
        <w:tblStyle w:val="21"/>
        <w:tblW w:w="9854" w:type="dxa"/>
        <w:jc w:val="center"/>
        <w:tblLayout w:type="fixed"/>
        <w:tblCellMar>
          <w:top w:w="0" w:type="dxa"/>
          <w:left w:w="108" w:type="dxa"/>
          <w:bottom w:w="0" w:type="dxa"/>
          <w:right w:w="108" w:type="dxa"/>
        </w:tblCellMar>
      </w:tblPr>
      <w:tblGrid>
        <w:gridCol w:w="4439"/>
        <w:gridCol w:w="1353"/>
        <w:gridCol w:w="1353"/>
        <w:gridCol w:w="1353"/>
        <w:gridCol w:w="1356"/>
      </w:tblGrid>
      <w:tr>
        <w:tblPrEx>
          <w:tblCellMar>
            <w:top w:w="0" w:type="dxa"/>
            <w:left w:w="108" w:type="dxa"/>
            <w:bottom w:w="0" w:type="dxa"/>
            <w:right w:w="108" w:type="dxa"/>
          </w:tblCellMar>
        </w:tblPrEx>
        <w:trPr>
          <w:trHeight w:val="90" w:hRule="atLeast"/>
          <w:jc w:val="center"/>
        </w:trPr>
        <w:tc>
          <w:tcPr>
            <w:tcW w:w="4439"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beforeLines="0" w:afterLines="0" w:line="240" w:lineRule="auto"/>
              <w:ind w:firstLine="560" w:firstLineChars="200"/>
              <w:jc w:val="both"/>
              <w:textAlignment w:val="center"/>
              <w:rPr>
                <w:rFonts w:hint="eastAsia" w:ascii="华文仿宋" w:hAnsi="华文仿宋" w:eastAsia="华文仿宋" w:cs="华文仿宋"/>
                <w:b/>
                <w:bCs/>
                <w:color w:val="auto"/>
                <w:sz w:val="24"/>
                <w:szCs w:val="24"/>
                <w:highlight w:val="none"/>
              </w:rPr>
            </w:pPr>
            <w:r>
              <w:rPr>
                <w:rFonts w:hint="eastAsia" w:ascii="仿宋" w:hAnsi="仿宋" w:eastAsia="仿宋" w:cs="仿宋"/>
                <w:color w:val="auto"/>
                <w:sz w:val="28"/>
                <w:szCs w:val="28"/>
                <w:highlight w:val="none"/>
              </w:rPr>
              <w:t>申报项目是否获得过中央、省、市、区级财政资助资金</w:t>
            </w:r>
          </w:p>
        </w:tc>
        <w:tc>
          <w:tcPr>
            <w:tcW w:w="5415" w:type="dxa"/>
            <w:gridSpan w:val="4"/>
            <w:tcBorders>
              <w:top w:val="single" w:color="000000" w:sz="4" w:space="0"/>
              <w:left w:val="single" w:color="000000" w:sz="4" w:space="0"/>
              <w:bottom w:val="single" w:color="000000" w:sz="4" w:space="0"/>
              <w:right w:val="single" w:color="000000"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是□</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否□</w:t>
            </w:r>
          </w:p>
        </w:tc>
      </w:tr>
      <w:tr>
        <w:tblPrEx>
          <w:tblCellMar>
            <w:top w:w="0" w:type="dxa"/>
            <w:left w:w="108" w:type="dxa"/>
            <w:bottom w:w="0" w:type="dxa"/>
            <w:right w:w="108" w:type="dxa"/>
          </w:tblCellMar>
        </w:tblPrEx>
        <w:trPr>
          <w:trHeight w:val="330" w:hRule="atLeast"/>
          <w:jc w:val="center"/>
        </w:trPr>
        <w:tc>
          <w:tcPr>
            <w:tcW w:w="4439" w:type="dxa"/>
            <w:vMerge w:val="restart"/>
            <w:tcBorders>
              <w:top w:val="single" w:color="000000" w:sz="4" w:space="0"/>
              <w:left w:val="single" w:color="000000" w:sz="4" w:space="0"/>
              <w:right w:val="single" w:color="000000" w:sz="4" w:space="0"/>
            </w:tcBorders>
            <w:noWrap w:val="0"/>
            <w:vAlign w:val="center"/>
          </w:tcPr>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累计获得中央、省、市、区级财政资助总额（单位：万元）</w:t>
            </w:r>
          </w:p>
        </w:tc>
        <w:tc>
          <w:tcPr>
            <w:tcW w:w="1353" w:type="dxa"/>
            <w:tcBorders>
              <w:top w:val="single" w:color="000000" w:sz="4" w:space="0"/>
              <w:left w:val="single" w:color="000000" w:sz="4" w:space="0"/>
              <w:bottom w:val="single" w:color="auto" w:sz="4" w:space="0"/>
              <w:right w:val="single" w:color="auto"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中央</w:t>
            </w:r>
          </w:p>
        </w:tc>
        <w:tc>
          <w:tcPr>
            <w:tcW w:w="1353" w:type="dxa"/>
            <w:tcBorders>
              <w:top w:val="single" w:color="000000"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省</w:t>
            </w:r>
          </w:p>
        </w:tc>
        <w:tc>
          <w:tcPr>
            <w:tcW w:w="1353" w:type="dxa"/>
            <w:tcBorders>
              <w:top w:val="single" w:color="000000"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市</w:t>
            </w:r>
          </w:p>
        </w:tc>
        <w:tc>
          <w:tcPr>
            <w:tcW w:w="1356" w:type="dxa"/>
            <w:tcBorders>
              <w:top w:val="single" w:color="000000" w:sz="4" w:space="0"/>
              <w:left w:val="single" w:color="auto" w:sz="4" w:space="0"/>
              <w:bottom w:val="single" w:color="auto" w:sz="4" w:space="0"/>
              <w:right w:val="single" w:color="000000"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区</w:t>
            </w:r>
          </w:p>
        </w:tc>
      </w:tr>
      <w:tr>
        <w:tblPrEx>
          <w:tblCellMar>
            <w:top w:w="0" w:type="dxa"/>
            <w:left w:w="108" w:type="dxa"/>
            <w:bottom w:w="0" w:type="dxa"/>
            <w:right w:w="108" w:type="dxa"/>
          </w:tblCellMar>
        </w:tblPrEx>
        <w:trPr>
          <w:trHeight w:val="90" w:hRule="atLeast"/>
          <w:jc w:val="center"/>
        </w:trPr>
        <w:tc>
          <w:tcPr>
            <w:tcW w:w="4439" w:type="dxa"/>
            <w:vMerge w:val="continue"/>
            <w:tcBorders>
              <w:left w:val="single" w:color="000000" w:sz="4" w:space="0"/>
              <w:bottom w:val="single" w:color="auto" w:sz="4" w:space="0"/>
              <w:right w:val="single" w:color="000000" w:sz="4" w:space="0"/>
            </w:tcBorders>
            <w:noWrap w:val="0"/>
            <w:vAlign w:val="center"/>
          </w:tcPr>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rPr>
            </w:pPr>
          </w:p>
        </w:tc>
        <w:tc>
          <w:tcPr>
            <w:tcW w:w="1353" w:type="dxa"/>
            <w:tcBorders>
              <w:top w:val="single" w:color="auto" w:sz="4" w:space="0"/>
              <w:left w:val="single" w:color="000000" w:sz="4" w:space="0"/>
              <w:bottom w:val="single" w:color="auto" w:sz="4" w:space="0"/>
              <w:right w:val="single" w:color="auto"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c>
          <w:tcPr>
            <w:tcW w:w="135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c>
          <w:tcPr>
            <w:tcW w:w="135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c>
          <w:tcPr>
            <w:tcW w:w="1356" w:type="dxa"/>
            <w:tcBorders>
              <w:top w:val="single" w:color="auto" w:sz="4" w:space="0"/>
              <w:left w:val="single" w:color="auto" w:sz="4" w:space="0"/>
              <w:bottom w:val="single" w:color="auto" w:sz="4" w:space="0"/>
              <w:right w:val="single" w:color="000000"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r>
      <w:tr>
        <w:tblPrEx>
          <w:tblCellMar>
            <w:top w:w="0" w:type="dxa"/>
            <w:left w:w="108" w:type="dxa"/>
            <w:bottom w:w="0" w:type="dxa"/>
            <w:right w:w="108" w:type="dxa"/>
          </w:tblCellMar>
        </w:tblPrEx>
        <w:trPr>
          <w:trHeight w:val="285" w:hRule="atLeast"/>
          <w:jc w:val="center"/>
        </w:trPr>
        <w:tc>
          <w:tcPr>
            <w:tcW w:w="4439" w:type="dxa"/>
            <w:vMerge w:val="restart"/>
            <w:tcBorders>
              <w:top w:val="single" w:color="auto" w:sz="4" w:space="0"/>
              <w:left w:val="single" w:color="000000" w:sz="4" w:space="0"/>
              <w:right w:val="single" w:color="000000" w:sz="4" w:space="0"/>
            </w:tcBorders>
            <w:noWrap w:val="0"/>
            <w:vAlign w:val="center"/>
          </w:tcPr>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除本次申报，</w:t>
            </w:r>
            <w:r>
              <w:rPr>
                <w:rFonts w:hint="eastAsia" w:ascii="仿宋" w:hAnsi="仿宋" w:eastAsia="仿宋" w:cs="仿宋"/>
                <w:color w:val="auto"/>
                <w:sz w:val="28"/>
                <w:szCs w:val="28"/>
                <w:highlight w:val="none"/>
              </w:rPr>
              <w:t>正在申报</w:t>
            </w:r>
            <w:r>
              <w:rPr>
                <w:rFonts w:hint="eastAsia" w:ascii="仿宋" w:hAnsi="仿宋" w:eastAsia="仿宋" w:cs="仿宋"/>
                <w:color w:val="auto"/>
                <w:sz w:val="28"/>
                <w:szCs w:val="28"/>
                <w:highlight w:val="none"/>
                <w:lang w:eastAsia="zh-CN"/>
              </w:rPr>
              <w:t>的</w:t>
            </w:r>
            <w:r>
              <w:rPr>
                <w:rFonts w:hint="eastAsia" w:ascii="仿宋" w:hAnsi="仿宋" w:eastAsia="仿宋" w:cs="仿宋"/>
                <w:color w:val="auto"/>
                <w:sz w:val="28"/>
                <w:szCs w:val="28"/>
                <w:highlight w:val="none"/>
              </w:rPr>
              <w:t>中央、省、市、区级财政资助总额（单位：万元）</w:t>
            </w:r>
          </w:p>
        </w:tc>
        <w:tc>
          <w:tcPr>
            <w:tcW w:w="1353" w:type="dxa"/>
            <w:tcBorders>
              <w:top w:val="single" w:color="auto" w:sz="4" w:space="0"/>
              <w:left w:val="single" w:color="000000" w:sz="4" w:space="0"/>
              <w:bottom w:val="single" w:color="auto" w:sz="4" w:space="0"/>
              <w:right w:val="single" w:color="auto"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中央</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省</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市</w:t>
            </w:r>
          </w:p>
        </w:tc>
        <w:tc>
          <w:tcPr>
            <w:tcW w:w="1356" w:type="dxa"/>
            <w:tcBorders>
              <w:top w:val="single" w:color="auto" w:sz="4" w:space="0"/>
              <w:left w:val="single" w:color="auto" w:sz="4" w:space="0"/>
              <w:bottom w:val="single" w:color="auto" w:sz="4" w:space="0"/>
              <w:right w:val="single" w:color="000000" w:sz="4" w:space="0"/>
            </w:tcBorders>
            <w:noWrap w:val="0"/>
            <w:vAlign w:val="center"/>
          </w:tcPr>
          <w:p>
            <w:pPr>
              <w:snapToGrid w:val="0"/>
              <w:spacing w:beforeLines="0" w:afterLines="0" w:line="240" w:lineRule="auto"/>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区</w:t>
            </w:r>
          </w:p>
        </w:tc>
      </w:tr>
      <w:tr>
        <w:tblPrEx>
          <w:tblCellMar>
            <w:top w:w="0" w:type="dxa"/>
            <w:left w:w="108" w:type="dxa"/>
            <w:bottom w:w="0" w:type="dxa"/>
            <w:right w:w="108" w:type="dxa"/>
          </w:tblCellMar>
        </w:tblPrEx>
        <w:trPr>
          <w:trHeight w:val="90" w:hRule="atLeast"/>
          <w:jc w:val="center"/>
        </w:trPr>
        <w:tc>
          <w:tcPr>
            <w:tcW w:w="4439" w:type="dxa"/>
            <w:vMerge w:val="continue"/>
            <w:tcBorders>
              <w:left w:val="single" w:color="000000" w:sz="4" w:space="0"/>
              <w:bottom w:val="single" w:color="000000" w:sz="4" w:space="0"/>
              <w:right w:val="single" w:color="000000" w:sz="4" w:space="0"/>
            </w:tcBorders>
            <w:noWrap w:val="0"/>
            <w:vAlign w:val="center"/>
          </w:tcPr>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rPr>
            </w:pPr>
          </w:p>
        </w:tc>
        <w:tc>
          <w:tcPr>
            <w:tcW w:w="1353" w:type="dxa"/>
            <w:tcBorders>
              <w:top w:val="single" w:color="auto" w:sz="4" w:space="0"/>
              <w:left w:val="single" w:color="000000" w:sz="4" w:space="0"/>
              <w:bottom w:val="single" w:color="000000" w:sz="4" w:space="0"/>
              <w:right w:val="single" w:color="auto"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c>
          <w:tcPr>
            <w:tcW w:w="1353" w:type="dxa"/>
            <w:tcBorders>
              <w:top w:val="single" w:color="auto" w:sz="4" w:space="0"/>
              <w:left w:val="single" w:color="auto" w:sz="4" w:space="0"/>
              <w:bottom w:val="single" w:color="000000" w:sz="4" w:space="0"/>
              <w:right w:val="single" w:color="auto"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c>
          <w:tcPr>
            <w:tcW w:w="1353" w:type="dxa"/>
            <w:tcBorders>
              <w:top w:val="single" w:color="auto" w:sz="4" w:space="0"/>
              <w:left w:val="single" w:color="auto" w:sz="4" w:space="0"/>
              <w:bottom w:val="single" w:color="000000" w:sz="4" w:space="0"/>
              <w:right w:val="single" w:color="auto"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c>
          <w:tcPr>
            <w:tcW w:w="1356" w:type="dxa"/>
            <w:tcBorders>
              <w:top w:val="single" w:color="auto" w:sz="4" w:space="0"/>
              <w:left w:val="single" w:color="auto" w:sz="4" w:space="0"/>
              <w:bottom w:val="single" w:color="000000" w:sz="4" w:space="0"/>
              <w:right w:val="single" w:color="000000" w:sz="4" w:space="0"/>
            </w:tcBorders>
            <w:noWrap w:val="0"/>
            <w:vAlign w:val="center"/>
          </w:tcPr>
          <w:p>
            <w:pPr>
              <w:snapToGrid w:val="0"/>
              <w:spacing w:beforeLines="0" w:afterLines="0" w:line="240" w:lineRule="auto"/>
              <w:ind w:firstLine="560" w:firstLineChars="200"/>
              <w:jc w:val="center"/>
              <w:textAlignment w:val="center"/>
              <w:rPr>
                <w:rFonts w:hint="eastAsia" w:ascii="仿宋" w:hAnsi="仿宋" w:eastAsia="仿宋" w:cs="仿宋"/>
                <w:color w:val="auto"/>
                <w:sz w:val="28"/>
                <w:szCs w:val="28"/>
                <w:highlight w:val="none"/>
              </w:rPr>
            </w:pPr>
          </w:p>
        </w:tc>
      </w:tr>
      <w:tr>
        <w:tblPrEx>
          <w:tblCellMar>
            <w:top w:w="0" w:type="dxa"/>
            <w:left w:w="108" w:type="dxa"/>
            <w:bottom w:w="0" w:type="dxa"/>
            <w:right w:w="108" w:type="dxa"/>
          </w:tblCellMar>
        </w:tblPrEx>
        <w:trPr>
          <w:trHeight w:val="90" w:hRule="atLeast"/>
          <w:jc w:val="center"/>
        </w:trPr>
        <w:tc>
          <w:tcPr>
            <w:tcW w:w="4439"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申报</w:t>
            </w:r>
            <w:r>
              <w:rPr>
                <w:rFonts w:hint="eastAsia" w:ascii="仿宋" w:hAnsi="仿宋" w:eastAsia="仿宋" w:cs="仿宋"/>
                <w:color w:val="auto"/>
                <w:sz w:val="28"/>
                <w:szCs w:val="28"/>
                <w:highlight w:val="none"/>
                <w:lang w:eastAsia="zh-CN"/>
              </w:rPr>
              <w:t>项目</w:t>
            </w:r>
            <w:r>
              <w:rPr>
                <w:rFonts w:hint="eastAsia" w:ascii="仿宋" w:hAnsi="仿宋" w:eastAsia="仿宋" w:cs="仿宋"/>
                <w:color w:val="auto"/>
                <w:sz w:val="28"/>
                <w:szCs w:val="28"/>
                <w:highlight w:val="none"/>
              </w:rPr>
              <w:t>累计获得中央、省、市、区级财政资助总额占项目总投资的百分比</w:t>
            </w:r>
          </w:p>
        </w:tc>
        <w:tc>
          <w:tcPr>
            <w:tcW w:w="5415" w:type="dxa"/>
            <w:gridSpan w:val="4"/>
            <w:tcBorders>
              <w:top w:val="single" w:color="000000" w:sz="4" w:space="0"/>
              <w:left w:val="single" w:color="000000" w:sz="4" w:space="0"/>
              <w:bottom w:val="single" w:color="000000" w:sz="4" w:space="0"/>
              <w:right w:val="single" w:color="000000" w:sz="4" w:space="0"/>
            </w:tcBorders>
            <w:noWrap w:val="0"/>
            <w:vAlign w:val="center"/>
          </w:tcPr>
          <w:p>
            <w:pPr>
              <w:snapToGrid w:val="0"/>
              <w:spacing w:beforeLines="0" w:afterLines="0" w:line="240" w:lineRule="auto"/>
              <w:jc w:val="both"/>
              <w:textAlignment w:val="center"/>
              <w:rPr>
                <w:rFonts w:hint="eastAsia" w:ascii="仿宋" w:hAnsi="仿宋" w:eastAsia="仿宋" w:cs="仿宋"/>
                <w:color w:val="auto"/>
                <w:sz w:val="24"/>
                <w:szCs w:val="24"/>
                <w:highlight w:val="none"/>
              </w:rPr>
            </w:pPr>
          </w:p>
        </w:tc>
      </w:tr>
      <w:tr>
        <w:tblPrEx>
          <w:tblCellMar>
            <w:top w:w="0" w:type="dxa"/>
            <w:left w:w="108" w:type="dxa"/>
            <w:bottom w:w="0" w:type="dxa"/>
            <w:right w:w="108" w:type="dxa"/>
          </w:tblCellMar>
        </w:tblPrEx>
        <w:trPr>
          <w:trHeight w:val="6809" w:hRule="atLeast"/>
          <w:jc w:val="center"/>
        </w:trPr>
        <w:tc>
          <w:tcPr>
            <w:tcW w:w="9854" w:type="dxa"/>
            <w:gridSpan w:val="5"/>
            <w:tcBorders>
              <w:top w:val="single" w:color="000000" w:sz="4" w:space="0"/>
              <w:left w:val="single" w:color="000000" w:sz="4" w:space="0"/>
              <w:bottom w:val="single" w:color="000000" w:sz="4" w:space="0"/>
              <w:right w:val="single" w:color="000000" w:sz="4" w:space="0"/>
            </w:tcBorders>
            <w:noWrap w:val="0"/>
            <w:vAlign w:val="top"/>
          </w:tcPr>
          <w:p>
            <w:pPr>
              <w:snapToGrid w:val="0"/>
              <w:spacing w:beforeLines="0" w:afterLines="0" w:line="240" w:lineRule="auto"/>
              <w:ind w:firstLine="640" w:firstLineChars="200"/>
              <w:jc w:val="both"/>
              <w:textAlignment w:val="center"/>
              <w:rPr>
                <w:rFonts w:hint="eastAsia" w:ascii="方正黑体_GBK" w:hAnsi="方正黑体_GBK" w:eastAsia="方正黑体_GBK" w:cs="方正黑体_GBK"/>
                <w:color w:val="auto"/>
                <w:sz w:val="32"/>
                <w:szCs w:val="32"/>
                <w:highlight w:val="none"/>
                <w:lang w:val="en-US" w:eastAsia="zh-CN"/>
              </w:rPr>
            </w:pPr>
          </w:p>
          <w:p>
            <w:pPr>
              <w:snapToGrid w:val="0"/>
              <w:spacing w:beforeLines="0" w:afterLines="0" w:line="240" w:lineRule="auto"/>
              <w:ind w:firstLine="640" w:firstLineChars="200"/>
              <w:jc w:val="both"/>
              <w:textAlignment w:val="center"/>
              <w:rPr>
                <w:rFonts w:hint="eastAsia" w:ascii="方正黑体_GBK" w:hAnsi="方正黑体_GBK" w:eastAsia="方正黑体_GBK" w:cs="方正黑体_GBK"/>
                <w:color w:val="auto"/>
                <w:sz w:val="28"/>
                <w:szCs w:val="28"/>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一、已获得相关财政资金资助概况</w:t>
            </w:r>
            <w:r>
              <w:rPr>
                <w:rFonts w:hint="eastAsia" w:ascii="方正黑体_GBK" w:hAnsi="方正黑体_GBK" w:eastAsia="方正黑体_GBK" w:cs="方正黑体_GBK"/>
                <w:color w:val="auto"/>
                <w:sz w:val="21"/>
                <w:szCs w:val="21"/>
                <w:highlight w:val="none"/>
                <w:lang w:val="en-US" w:eastAsia="zh-CN"/>
              </w:rPr>
              <w:t>（已拨付）</w:t>
            </w:r>
          </w:p>
          <w:p>
            <w:pPr>
              <w:snapToGrid w:val="0"/>
              <w:spacing w:beforeLines="0" w:afterLines="0" w:line="240" w:lineRule="auto"/>
              <w:ind w:firstLine="560" w:firstLineChars="200"/>
              <w:jc w:val="both"/>
              <w:textAlignment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1.****年**月**日，《*****政策》，扶持资金***万元。</w:t>
            </w:r>
          </w:p>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2.****年**月**日，《*****政策》，扶持资金***万元。</w:t>
            </w:r>
          </w:p>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w:t>
            </w:r>
          </w:p>
          <w:p>
            <w:pPr>
              <w:snapToGrid w:val="0"/>
              <w:spacing w:before="0" w:beforeLines="0" w:afterLines="0" w:line="240" w:lineRule="auto"/>
              <w:ind w:firstLine="640" w:firstLineChars="200"/>
              <w:jc w:val="both"/>
              <w:textAlignment w:val="center"/>
              <w:rPr>
                <w:rFonts w:hint="eastAsia" w:ascii="方正黑体_GBK" w:hAnsi="方正黑体_GBK" w:eastAsia="方正黑体_GBK" w:cs="方正黑体_GBK"/>
                <w:color w:val="auto"/>
                <w:sz w:val="21"/>
                <w:szCs w:val="21"/>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二、正在申报、待拨付相关财政资金资助概况</w:t>
            </w:r>
            <w:r>
              <w:rPr>
                <w:rFonts w:hint="eastAsia" w:ascii="方正黑体_GBK" w:hAnsi="方正黑体_GBK" w:eastAsia="方正黑体_GBK" w:cs="方正黑体_GBK"/>
                <w:color w:val="auto"/>
                <w:sz w:val="21"/>
                <w:szCs w:val="21"/>
                <w:highlight w:val="none"/>
                <w:lang w:val="en-US" w:eastAsia="zh-CN"/>
              </w:rPr>
              <w:t>（不含本次申报）</w:t>
            </w:r>
          </w:p>
          <w:p>
            <w:pPr>
              <w:snapToGrid w:val="0"/>
              <w:spacing w:beforeLines="0" w:afterLines="0" w:line="240" w:lineRule="auto"/>
              <w:ind w:firstLine="560" w:firstLineChars="200"/>
              <w:jc w:val="both"/>
              <w:textAlignment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1.****年**月**日，《*****政策》，扶持资金***万元。</w:t>
            </w:r>
          </w:p>
          <w:p>
            <w:pPr>
              <w:snapToGrid w:val="0"/>
              <w:spacing w:beforeLines="0" w:afterLines="0" w:line="240" w:lineRule="auto"/>
              <w:ind w:firstLine="560" w:firstLineChars="200"/>
              <w:jc w:val="both"/>
              <w:textAlignment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2.****年**月**日，《*****政策》，扶持资金***万元。</w:t>
            </w:r>
          </w:p>
          <w:p>
            <w:pPr>
              <w:snapToGrid w:val="0"/>
              <w:spacing w:beforeLines="0" w:afterLines="0" w:line="240" w:lineRule="auto"/>
              <w:jc w:val="both"/>
              <w:textAlignment w:val="center"/>
              <w:rPr>
                <w:rFonts w:hint="eastAsia" w:ascii="仿宋" w:hAnsi="仿宋" w:eastAsia="仿宋" w:cs="仿宋"/>
                <w:color w:val="auto"/>
                <w:sz w:val="24"/>
                <w:szCs w:val="24"/>
                <w:highlight w:val="none"/>
              </w:rPr>
            </w:pPr>
          </w:p>
        </w:tc>
      </w:tr>
    </w:tbl>
    <w:p>
      <w:pPr>
        <w:snapToGrid w:val="0"/>
        <w:spacing w:beforeLines="0" w:afterLines="0" w:line="240" w:lineRule="auto"/>
        <w:jc w:val="both"/>
        <w:rPr>
          <w:rFonts w:hint="eastAsia" w:ascii="宋体" w:hAnsi="宋体" w:eastAsia="仿宋_GB2312" w:cs="Times"/>
          <w:b/>
          <w:color w:val="auto"/>
          <w:kern w:val="0"/>
          <w:sz w:val="44"/>
          <w:szCs w:val="44"/>
          <w:highlight w:val="none"/>
        </w:rPr>
      </w:pPr>
    </w:p>
    <w:p>
      <w:pPr>
        <w:snapToGrid w:val="0"/>
        <w:spacing w:beforeLines="0" w:afterLines="0" w:line="240" w:lineRule="auto"/>
        <w:jc w:val="both"/>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rPr>
        <w:br w:type="page"/>
      </w:r>
      <w:r>
        <w:rPr>
          <w:rFonts w:hint="eastAsia" w:ascii="黑体" w:hAnsi="黑体" w:eastAsia="黑体" w:cs="黑体"/>
          <w:color w:val="auto"/>
          <w:kern w:val="0"/>
          <w:sz w:val="32"/>
          <w:szCs w:val="32"/>
          <w:highlight w:val="none"/>
        </w:rPr>
        <w:t>附件</w:t>
      </w:r>
      <w:r>
        <w:rPr>
          <w:rFonts w:hint="eastAsia" w:ascii="黑体" w:hAnsi="黑体" w:eastAsia="黑体" w:cs="黑体"/>
          <w:color w:val="auto"/>
          <w:kern w:val="0"/>
          <w:sz w:val="32"/>
          <w:szCs w:val="32"/>
          <w:highlight w:val="none"/>
          <w:lang w:val="en-US" w:eastAsia="zh-CN"/>
        </w:rPr>
        <w:t>3</w:t>
      </w:r>
    </w:p>
    <w:p>
      <w:pPr>
        <w:snapToGrid w:val="0"/>
        <w:spacing w:beforeLines="0" w:afterLines="0" w:line="240" w:lineRule="auto"/>
        <w:jc w:val="both"/>
        <w:rPr>
          <w:rFonts w:hint="eastAsia" w:ascii="黑体" w:hAnsi="黑体" w:eastAsia="黑体" w:cs="黑体"/>
          <w:color w:val="auto"/>
          <w:kern w:val="0"/>
          <w:sz w:val="32"/>
          <w:szCs w:val="32"/>
          <w:highlight w:val="none"/>
          <w:lang w:val="en-US" w:eastAsia="zh-CN"/>
        </w:rPr>
      </w:pPr>
    </w:p>
    <w:p>
      <w:pPr>
        <w:snapToGrid w:val="0"/>
        <w:spacing w:beforeLines="0" w:afterLines="0" w:line="240" w:lineRule="auto"/>
        <w:ind w:right="0" w:rightChars="0"/>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开展物流业务的相关经营资质</w:t>
      </w:r>
    </w:p>
    <w:p>
      <w:pPr>
        <w:snapToGrid w:val="0"/>
        <w:spacing w:beforeLines="0" w:afterLines="0" w:line="240" w:lineRule="auto"/>
        <w:ind w:right="0" w:rightChars="0"/>
        <w:jc w:val="both"/>
        <w:rPr>
          <w:rFonts w:hint="eastAsia" w:ascii="华文仿宋" w:hAnsi="华文仿宋" w:eastAsia="华文仿宋" w:cs="华文仿宋"/>
          <w:color w:val="FF0000"/>
          <w:sz w:val="32"/>
          <w:szCs w:val="32"/>
          <w:highlight w:val="none"/>
          <w:lang w:eastAsia="zh-CN"/>
        </w:rPr>
      </w:pPr>
    </w:p>
    <w:p>
      <w:pPr>
        <w:keepNext w:val="0"/>
        <w:keepLines w:val="0"/>
        <w:pageBreakBefore w:val="0"/>
        <w:kinsoku/>
        <w:wordWrap/>
        <w:overflowPunct/>
        <w:topLinePunct w:val="0"/>
        <w:autoSpaceDE/>
        <w:autoSpaceDN/>
        <w:bidi w:val="0"/>
        <w:adjustRightInd/>
        <w:spacing w:beforeLines="0" w:after="0" w:afterLines="0" w:line="579" w:lineRule="exact"/>
        <w:jc w:val="both"/>
        <w:textAlignment w:val="auto"/>
        <w:rPr>
          <w:rFonts w:hint="eastAsia" w:ascii="仿宋" w:hAnsi="仿宋" w:eastAsia="仿宋" w:cs="仿宋"/>
          <w:b w:val="0"/>
          <w:bCs w:val="0"/>
          <w:color w:val="auto"/>
          <w:kern w:val="1"/>
          <w:sz w:val="32"/>
          <w:szCs w:val="32"/>
          <w:highlight w:val="none"/>
          <w:lang w:bidi="ar"/>
        </w:rPr>
      </w:pPr>
      <w:r>
        <w:rPr>
          <w:rFonts w:hint="eastAsia" w:ascii="仿宋" w:hAnsi="仿宋" w:eastAsia="仿宋" w:cs="仿宋"/>
          <w:b w:val="0"/>
          <w:bCs w:val="0"/>
          <w:color w:val="auto"/>
          <w:kern w:val="1"/>
          <w:sz w:val="32"/>
          <w:szCs w:val="32"/>
          <w:highlight w:val="none"/>
          <w:lang w:eastAsia="zh-CN" w:bidi="ar"/>
        </w:rPr>
        <w:t>包括但不限于下列种类，企业根据实际经营情况提供：</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 w:eastAsia="zh-CN" w:bidi="ar"/>
        </w:rPr>
      </w:pPr>
      <w:r>
        <w:rPr>
          <w:rFonts w:hint="eastAsia" w:ascii="仿宋" w:hAnsi="仿宋" w:eastAsia="仿宋" w:cs="仿宋"/>
          <w:b w:val="0"/>
          <w:bCs w:val="0"/>
          <w:color w:val="auto"/>
          <w:kern w:val="1"/>
          <w:sz w:val="32"/>
          <w:szCs w:val="32"/>
          <w:highlight w:val="none"/>
          <w:lang w:val="en-US" w:eastAsia="zh-CN" w:bidi="ar"/>
        </w:rPr>
        <w:t>1.</w:t>
      </w:r>
      <w:r>
        <w:rPr>
          <w:rFonts w:hint="eastAsia" w:ascii="仿宋" w:hAnsi="仿宋" w:eastAsia="仿宋" w:cs="仿宋"/>
          <w:b w:val="0"/>
          <w:bCs w:val="0"/>
          <w:color w:val="auto"/>
          <w:kern w:val="1"/>
          <w:sz w:val="32"/>
          <w:szCs w:val="32"/>
          <w:highlight w:val="none"/>
          <w:lang w:val="en" w:eastAsia="zh-CN" w:bidi="ar"/>
        </w:rPr>
        <w:t>舱单备案登记表。</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2.报关单位备案证明。</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3.道路运输经营许可证。</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4.快递业务经营许可证。</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5.海关准予行政许可决定书。</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6.国际货运代理企业备案表。</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7.出入境检验检疫报检企业备案表。</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 w:eastAsia="zh-CN" w:bidi="ar"/>
        </w:rPr>
        <w:t>8.</w:t>
      </w:r>
      <w:r>
        <w:rPr>
          <w:rFonts w:hint="eastAsia" w:ascii="仿宋" w:hAnsi="仿宋" w:eastAsia="仿宋" w:cs="仿宋"/>
          <w:b w:val="0"/>
          <w:bCs w:val="0"/>
          <w:color w:val="auto"/>
          <w:kern w:val="1"/>
          <w:sz w:val="32"/>
          <w:szCs w:val="32"/>
          <w:highlight w:val="none"/>
          <w:lang w:val="en-US" w:eastAsia="zh-CN" w:bidi="ar"/>
        </w:rPr>
        <w:t>海关进出口货物收发货人备案回执。</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9.经营海关监管作业场所企业注册登记证书。</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eastAsia"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10.港口经营许可证、国内船舶管理业务经营许可证、国内水路运输经营许可证。</w:t>
      </w:r>
    </w:p>
    <w:p>
      <w:pPr>
        <w:keepNext w:val="0"/>
        <w:keepLines w:val="0"/>
        <w:pageBreakBefore w:val="0"/>
        <w:kinsoku/>
        <w:wordWrap/>
        <w:overflowPunct/>
        <w:topLinePunct w:val="0"/>
        <w:autoSpaceDE/>
        <w:autoSpaceDN/>
        <w:bidi w:val="0"/>
        <w:adjustRightInd/>
        <w:spacing w:beforeLines="0" w:after="0" w:afterLines="0" w:line="579" w:lineRule="exact"/>
        <w:ind w:firstLine="640" w:firstLineChars="200"/>
        <w:jc w:val="both"/>
        <w:textAlignment w:val="auto"/>
        <w:rPr>
          <w:rFonts w:hint="default" w:ascii="仿宋" w:hAnsi="仿宋" w:eastAsia="仿宋" w:cs="仿宋"/>
          <w:b w:val="0"/>
          <w:bCs w:val="0"/>
          <w:color w:val="auto"/>
          <w:kern w:val="1"/>
          <w:sz w:val="32"/>
          <w:szCs w:val="32"/>
          <w:highlight w:val="none"/>
          <w:lang w:val="en-US" w:eastAsia="zh-CN" w:bidi="ar"/>
        </w:rPr>
      </w:pPr>
      <w:r>
        <w:rPr>
          <w:rFonts w:hint="eastAsia" w:ascii="仿宋" w:hAnsi="仿宋" w:eastAsia="仿宋" w:cs="仿宋"/>
          <w:b w:val="0"/>
          <w:bCs w:val="0"/>
          <w:color w:val="auto"/>
          <w:kern w:val="1"/>
          <w:sz w:val="32"/>
          <w:szCs w:val="32"/>
          <w:highlight w:val="none"/>
          <w:lang w:val="en-US" w:eastAsia="zh-CN" w:bidi="ar"/>
        </w:rPr>
        <w:t>11.可提供的其它经营资质材料。</w:t>
      </w:r>
    </w:p>
    <w:p>
      <w:pPr>
        <w:keepNext w:val="0"/>
        <w:keepLines w:val="0"/>
        <w:pageBreakBefore w:val="0"/>
        <w:kinsoku/>
        <w:wordWrap/>
        <w:overflowPunct/>
        <w:topLinePunct w:val="0"/>
        <w:autoSpaceDE/>
        <w:autoSpaceDN/>
        <w:bidi w:val="0"/>
        <w:adjustRightInd/>
        <w:snapToGrid w:val="0"/>
        <w:spacing w:beforeLines="0" w:afterLines="0" w:line="579" w:lineRule="exact"/>
        <w:ind w:left="0" w:leftChars="0" w:firstLine="640" w:firstLineChars="200"/>
        <w:textAlignment w:val="auto"/>
        <w:rPr>
          <w:rFonts w:hint="eastAsia" w:ascii="华文仿宋" w:hAnsi="华文仿宋" w:eastAsia="华文仿宋" w:cs="华文仿宋"/>
          <w:color w:val="auto"/>
          <w:sz w:val="32"/>
          <w:szCs w:val="32"/>
          <w:highlight w:val="none"/>
          <w:lang w:val="en-US" w:eastAsia="zh-CN"/>
        </w:rPr>
      </w:pPr>
    </w:p>
    <w:p>
      <w:pPr>
        <w:snapToGrid w:val="0"/>
        <w:spacing w:beforeLines="0" w:afterLines="0" w:line="240" w:lineRule="auto"/>
        <w:jc w:val="both"/>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rPr>
        <w:br w:type="page"/>
      </w:r>
      <w:r>
        <w:rPr>
          <w:rFonts w:hint="eastAsia" w:ascii="黑体" w:hAnsi="黑体" w:eastAsia="黑体" w:cs="黑体"/>
          <w:color w:val="auto"/>
          <w:kern w:val="0"/>
          <w:sz w:val="32"/>
          <w:szCs w:val="32"/>
          <w:highlight w:val="none"/>
        </w:rPr>
        <w:t>附件</w:t>
      </w:r>
      <w:r>
        <w:rPr>
          <w:rFonts w:hint="eastAsia" w:ascii="黑体" w:hAnsi="黑体" w:eastAsia="黑体" w:cs="黑体"/>
          <w:color w:val="auto"/>
          <w:kern w:val="0"/>
          <w:sz w:val="32"/>
          <w:szCs w:val="32"/>
          <w:highlight w:val="none"/>
          <w:lang w:val="en-US" w:eastAsia="zh-CN"/>
        </w:rPr>
        <w:t>4</w:t>
      </w:r>
    </w:p>
    <w:p>
      <w:pPr>
        <w:snapToGrid w:val="0"/>
        <w:spacing w:beforeLines="0" w:afterLines="0" w:line="240" w:lineRule="auto"/>
        <w:jc w:val="both"/>
        <w:rPr>
          <w:rFonts w:hint="eastAsia" w:ascii="方正小标宋简体" w:hAnsi="华文仿宋" w:eastAsia="方正小标宋简体"/>
          <w:color w:val="auto"/>
          <w:sz w:val="32"/>
          <w:szCs w:val="32"/>
          <w:highlight w:val="none"/>
        </w:rPr>
      </w:pPr>
    </w:p>
    <w:p>
      <w:pPr>
        <w:snapToGrid w:val="0"/>
        <w:spacing w:beforeLines="0" w:afterLines="0" w:line="240" w:lineRule="auto"/>
        <w:jc w:val="center"/>
        <w:rPr>
          <w:rFonts w:hint="eastAsia" w:ascii="方正小标宋简体" w:hAnsi="华文仿宋" w:eastAsia="方正小标宋简体"/>
          <w:color w:val="auto"/>
          <w:sz w:val="44"/>
          <w:szCs w:val="44"/>
          <w:highlight w:val="none"/>
        </w:rPr>
      </w:pPr>
      <w:r>
        <w:rPr>
          <w:rFonts w:hint="eastAsia" w:ascii="方正小标宋简体" w:hAnsi="华文仿宋" w:eastAsia="方正小标宋简体"/>
          <w:color w:val="auto"/>
          <w:sz w:val="44"/>
          <w:szCs w:val="44"/>
          <w:highlight w:val="none"/>
        </w:rPr>
        <w:t>各区申报受理机构及联系方式</w:t>
      </w:r>
    </w:p>
    <w:p>
      <w:pPr>
        <w:snapToGrid w:val="0"/>
        <w:spacing w:beforeLines="0" w:afterLines="0" w:line="240" w:lineRule="auto"/>
        <w:jc w:val="both"/>
        <w:rPr>
          <w:rFonts w:hint="eastAsia" w:ascii="方正小标宋简体" w:hAnsi="华文仿宋" w:eastAsia="方正小标宋简体"/>
          <w:color w:val="auto"/>
          <w:sz w:val="15"/>
          <w:szCs w:val="44"/>
          <w:highlight w:val="none"/>
        </w:rPr>
      </w:pPr>
    </w:p>
    <w:tbl>
      <w:tblPr>
        <w:tblStyle w:val="21"/>
        <w:tblW w:w="9462" w:type="dxa"/>
        <w:jc w:val="center"/>
        <w:shd w:val="clear" w:color="auto" w:fill="FFFF00"/>
        <w:tblLayout w:type="fixed"/>
        <w:tblCellMar>
          <w:top w:w="0" w:type="dxa"/>
          <w:left w:w="108" w:type="dxa"/>
          <w:bottom w:w="0" w:type="dxa"/>
          <w:right w:w="108" w:type="dxa"/>
        </w:tblCellMar>
      </w:tblPr>
      <w:tblGrid>
        <w:gridCol w:w="918"/>
        <w:gridCol w:w="1905"/>
        <w:gridCol w:w="2311"/>
        <w:gridCol w:w="1189"/>
        <w:gridCol w:w="1405"/>
        <w:gridCol w:w="1734"/>
      </w:tblGrid>
      <w:tr>
        <w:tblPrEx>
          <w:tblCellMar>
            <w:top w:w="0" w:type="dxa"/>
            <w:left w:w="108" w:type="dxa"/>
            <w:bottom w:w="0" w:type="dxa"/>
            <w:right w:w="108" w:type="dxa"/>
          </w:tblCellMar>
        </w:tblPrEx>
        <w:trPr>
          <w:trHeight w:val="1006" w:hRule="atLeast"/>
          <w:jc w:val="center"/>
        </w:trPr>
        <w:tc>
          <w:tcPr>
            <w:tcW w:w="91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序号</w:t>
            </w:r>
          </w:p>
        </w:tc>
        <w:tc>
          <w:tcPr>
            <w:tcW w:w="1905"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所属区</w:t>
            </w:r>
          </w:p>
        </w:tc>
        <w:tc>
          <w:tcPr>
            <w:tcW w:w="2311"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受理机构</w:t>
            </w:r>
          </w:p>
        </w:tc>
        <w:tc>
          <w:tcPr>
            <w:tcW w:w="1189"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联系人</w:t>
            </w:r>
          </w:p>
        </w:tc>
        <w:tc>
          <w:tcPr>
            <w:tcW w:w="1405"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咨询电话</w:t>
            </w:r>
          </w:p>
        </w:tc>
        <w:tc>
          <w:tcPr>
            <w:tcW w:w="1734"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申报材料接收地址</w:t>
            </w:r>
          </w:p>
        </w:tc>
      </w:tr>
      <w:tr>
        <w:tblPrEx>
          <w:tblCellMar>
            <w:top w:w="0" w:type="dxa"/>
            <w:left w:w="108" w:type="dxa"/>
            <w:bottom w:w="0" w:type="dxa"/>
            <w:right w:w="108" w:type="dxa"/>
          </w:tblCellMar>
        </w:tblPrEx>
        <w:trPr>
          <w:trHeight w:val="965" w:hRule="atLeast"/>
          <w:jc w:val="center"/>
        </w:trPr>
        <w:tc>
          <w:tcPr>
            <w:tcW w:w="918"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w:t>
            </w:r>
          </w:p>
        </w:tc>
        <w:tc>
          <w:tcPr>
            <w:tcW w:w="1905"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鹤洲新区（筹）—</w:t>
            </w:r>
            <w:r>
              <w:rPr>
                <w:rFonts w:hint="eastAsia" w:ascii="仿宋" w:hAnsi="仿宋" w:eastAsia="仿宋" w:cs="仿宋"/>
                <w:color w:val="auto"/>
                <w:kern w:val="0"/>
                <w:sz w:val="28"/>
                <w:szCs w:val="28"/>
                <w:highlight w:val="none"/>
              </w:rPr>
              <w:t>珠海万山海洋开发试验区（珠海保税区）</w:t>
            </w:r>
          </w:p>
        </w:tc>
        <w:tc>
          <w:tcPr>
            <w:tcW w:w="2311"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珠海万山海洋开发试验区（珠海保税区）科技创新和商务局</w:t>
            </w:r>
          </w:p>
        </w:tc>
        <w:tc>
          <w:tcPr>
            <w:tcW w:w="1189"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胡佩</w:t>
            </w:r>
          </w:p>
        </w:tc>
        <w:tc>
          <w:tcPr>
            <w:tcW w:w="1405"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8</w:t>
            </w:r>
            <w:r>
              <w:rPr>
                <w:rFonts w:hint="eastAsia" w:ascii="仿宋" w:hAnsi="仿宋" w:eastAsia="仿宋" w:cs="仿宋"/>
                <w:color w:val="auto"/>
                <w:kern w:val="0"/>
                <w:sz w:val="28"/>
                <w:szCs w:val="28"/>
                <w:highlight w:val="none"/>
                <w:lang w:val="en-US" w:eastAsia="zh-CN"/>
              </w:rPr>
              <w:t>938581</w:t>
            </w:r>
          </w:p>
        </w:tc>
        <w:tc>
          <w:tcPr>
            <w:tcW w:w="1734"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both"/>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bidi="ar-SA"/>
              </w:rPr>
              <w:t>珠海市保税区利是达星际广场北塔1103室</w:t>
            </w:r>
          </w:p>
        </w:tc>
      </w:tr>
      <w:tr>
        <w:tblPrEx>
          <w:tblCellMar>
            <w:top w:w="0" w:type="dxa"/>
            <w:left w:w="108" w:type="dxa"/>
            <w:bottom w:w="0" w:type="dxa"/>
            <w:right w:w="108" w:type="dxa"/>
          </w:tblCellMar>
        </w:tblPrEx>
        <w:trPr>
          <w:trHeight w:val="90" w:hRule="atLeast"/>
          <w:jc w:val="center"/>
        </w:trPr>
        <w:tc>
          <w:tcPr>
            <w:tcW w:w="918"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w:t>
            </w:r>
          </w:p>
        </w:tc>
        <w:tc>
          <w:tcPr>
            <w:tcW w:w="1905"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香洲区</w:t>
            </w:r>
          </w:p>
        </w:tc>
        <w:tc>
          <w:tcPr>
            <w:tcW w:w="2311"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香洲区商务局</w:t>
            </w:r>
          </w:p>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商贸促进室</w:t>
            </w:r>
          </w:p>
        </w:tc>
        <w:tc>
          <w:tcPr>
            <w:tcW w:w="1189"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 w:eastAsia="zh-CN"/>
              </w:rPr>
            </w:pPr>
            <w:r>
              <w:rPr>
                <w:rFonts w:hint="eastAsia" w:ascii="仿宋" w:hAnsi="仿宋" w:eastAsia="仿宋" w:cs="仿宋"/>
                <w:color w:val="auto"/>
                <w:kern w:val="0"/>
                <w:sz w:val="28"/>
                <w:szCs w:val="28"/>
                <w:highlight w:val="none"/>
                <w:lang w:val="en" w:eastAsia="zh-CN"/>
              </w:rPr>
              <w:t>陈凤珠</w:t>
            </w:r>
          </w:p>
        </w:tc>
        <w:tc>
          <w:tcPr>
            <w:tcW w:w="1405"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default" w:ascii="仿宋" w:hAnsi="仿宋" w:eastAsia="仿宋" w:cs="仿宋"/>
                <w:color w:val="auto"/>
                <w:kern w:val="0"/>
                <w:sz w:val="28"/>
                <w:szCs w:val="28"/>
                <w:highlight w:val="none"/>
                <w:lang w:val="en-US" w:eastAsia="zh-CN"/>
              </w:rPr>
            </w:pPr>
            <w:r>
              <w:rPr>
                <w:rFonts w:hint="default" w:ascii="仿宋" w:hAnsi="仿宋" w:eastAsia="仿宋" w:cs="仿宋"/>
                <w:color w:val="auto"/>
                <w:kern w:val="0"/>
                <w:sz w:val="28"/>
                <w:szCs w:val="28"/>
                <w:highlight w:val="none"/>
                <w:lang w:val="en"/>
              </w:rPr>
              <w:t>2516932</w:t>
            </w:r>
          </w:p>
        </w:tc>
        <w:tc>
          <w:tcPr>
            <w:tcW w:w="1734"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both"/>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珠海市香洲区翠景路99号324室</w:t>
            </w:r>
          </w:p>
        </w:tc>
      </w:tr>
      <w:tr>
        <w:tblPrEx>
          <w:tblCellMar>
            <w:top w:w="0" w:type="dxa"/>
            <w:left w:w="108" w:type="dxa"/>
            <w:bottom w:w="0" w:type="dxa"/>
            <w:right w:w="108" w:type="dxa"/>
          </w:tblCellMar>
        </w:tblPrEx>
        <w:trPr>
          <w:trHeight w:val="90" w:hRule="atLeast"/>
          <w:jc w:val="center"/>
        </w:trPr>
        <w:tc>
          <w:tcPr>
            <w:tcW w:w="918"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3</w:t>
            </w:r>
          </w:p>
        </w:tc>
        <w:tc>
          <w:tcPr>
            <w:tcW w:w="1905"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金湾区</w:t>
            </w:r>
          </w:p>
        </w:tc>
        <w:tc>
          <w:tcPr>
            <w:tcW w:w="2311"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rPr>
              <w:t>珠海市金湾区科技和工业信息化局</w:t>
            </w:r>
            <w:r>
              <w:rPr>
                <w:rFonts w:hint="eastAsia" w:ascii="仿宋" w:hAnsi="仿宋" w:eastAsia="仿宋" w:cs="仿宋"/>
                <w:color w:val="auto"/>
                <w:kern w:val="0"/>
                <w:sz w:val="28"/>
                <w:szCs w:val="28"/>
                <w:highlight w:val="none"/>
                <w:lang w:eastAsia="zh-CN"/>
              </w:rPr>
              <w:t>商务组</w:t>
            </w:r>
          </w:p>
        </w:tc>
        <w:tc>
          <w:tcPr>
            <w:tcW w:w="1189"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张雪莹</w:t>
            </w:r>
          </w:p>
        </w:tc>
        <w:tc>
          <w:tcPr>
            <w:tcW w:w="1405"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7261993</w:t>
            </w:r>
          </w:p>
        </w:tc>
        <w:tc>
          <w:tcPr>
            <w:tcW w:w="1734"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both"/>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金湾区市民服务中心B</w:t>
            </w:r>
            <w:r>
              <w:rPr>
                <w:rFonts w:hint="eastAsia" w:ascii="仿宋" w:hAnsi="仿宋" w:eastAsia="仿宋" w:cs="仿宋"/>
                <w:color w:val="auto"/>
                <w:kern w:val="0"/>
                <w:sz w:val="28"/>
                <w:szCs w:val="28"/>
                <w:highlight w:val="none"/>
                <w:lang w:val="en-US" w:eastAsia="zh-CN"/>
              </w:rPr>
              <w:t>-6</w:t>
            </w:r>
            <w:r>
              <w:rPr>
                <w:rFonts w:hint="eastAsia" w:ascii="仿宋" w:hAnsi="仿宋" w:eastAsia="仿宋" w:cs="仿宋"/>
                <w:color w:val="auto"/>
                <w:kern w:val="0"/>
                <w:sz w:val="28"/>
                <w:szCs w:val="28"/>
                <w:highlight w:val="none"/>
              </w:rPr>
              <w:t>12室</w:t>
            </w:r>
          </w:p>
        </w:tc>
      </w:tr>
      <w:tr>
        <w:tblPrEx>
          <w:tblCellMar>
            <w:top w:w="0" w:type="dxa"/>
            <w:left w:w="108" w:type="dxa"/>
            <w:bottom w:w="0" w:type="dxa"/>
            <w:right w:w="108" w:type="dxa"/>
          </w:tblCellMar>
        </w:tblPrEx>
        <w:trPr>
          <w:trHeight w:val="90" w:hRule="atLeast"/>
          <w:jc w:val="center"/>
        </w:trPr>
        <w:tc>
          <w:tcPr>
            <w:tcW w:w="918"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4</w:t>
            </w:r>
          </w:p>
        </w:tc>
        <w:tc>
          <w:tcPr>
            <w:tcW w:w="1905" w:type="dxa"/>
            <w:tcBorders>
              <w:top w:val="nil"/>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斗门区</w:t>
            </w:r>
          </w:p>
        </w:tc>
        <w:tc>
          <w:tcPr>
            <w:tcW w:w="2311"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rPr>
              <w:t>斗门区科技和工业信息化局</w:t>
            </w:r>
            <w:r>
              <w:rPr>
                <w:rFonts w:hint="eastAsia" w:ascii="仿宋" w:hAnsi="仿宋" w:eastAsia="仿宋" w:cs="仿宋"/>
                <w:color w:val="auto"/>
                <w:kern w:val="0"/>
                <w:sz w:val="28"/>
                <w:szCs w:val="28"/>
                <w:highlight w:val="none"/>
                <w:lang w:eastAsia="zh-CN"/>
              </w:rPr>
              <w:t>商务股（口岸股）</w:t>
            </w:r>
          </w:p>
        </w:tc>
        <w:tc>
          <w:tcPr>
            <w:tcW w:w="1189"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赵培杰</w:t>
            </w:r>
          </w:p>
        </w:tc>
        <w:tc>
          <w:tcPr>
            <w:tcW w:w="1405"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278</w:t>
            </w: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rPr>
              <w:t>092</w:t>
            </w:r>
          </w:p>
        </w:tc>
        <w:tc>
          <w:tcPr>
            <w:tcW w:w="1734" w:type="dxa"/>
            <w:tcBorders>
              <w:top w:val="nil"/>
              <w:left w:val="nil"/>
              <w:bottom w:val="single" w:color="auto" w:sz="4" w:space="0"/>
              <w:right w:val="single" w:color="auto" w:sz="4" w:space="0"/>
            </w:tcBorders>
            <w:shd w:val="clear" w:color="auto" w:fill="auto"/>
            <w:noWrap w:val="0"/>
            <w:vAlign w:val="center"/>
          </w:tcPr>
          <w:p>
            <w:pPr>
              <w:snapToGrid w:val="0"/>
              <w:spacing w:beforeLines="0" w:afterLines="0" w:line="240" w:lineRule="auto"/>
              <w:jc w:val="both"/>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斗门区井岸镇桥北二路19号</w:t>
            </w:r>
          </w:p>
        </w:tc>
      </w:tr>
      <w:tr>
        <w:tblPrEx>
          <w:tblCellMar>
            <w:top w:w="0" w:type="dxa"/>
            <w:left w:w="108" w:type="dxa"/>
            <w:bottom w:w="0" w:type="dxa"/>
            <w:right w:w="108" w:type="dxa"/>
          </w:tblCellMar>
        </w:tblPrEx>
        <w:trPr>
          <w:trHeight w:val="282" w:hRule="atLeast"/>
          <w:jc w:val="center"/>
        </w:trPr>
        <w:tc>
          <w:tcPr>
            <w:tcW w:w="91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5</w:t>
            </w:r>
          </w:p>
        </w:tc>
        <w:tc>
          <w:tcPr>
            <w:tcW w:w="1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高新区</w:t>
            </w:r>
          </w:p>
        </w:tc>
        <w:tc>
          <w:tcPr>
            <w:tcW w:w="2311"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高新区</w:t>
            </w:r>
            <w:r>
              <w:rPr>
                <w:rFonts w:hint="eastAsia" w:ascii="仿宋" w:hAnsi="仿宋" w:eastAsia="仿宋" w:cs="仿宋"/>
                <w:color w:val="auto"/>
                <w:kern w:val="0"/>
                <w:sz w:val="28"/>
                <w:szCs w:val="28"/>
                <w:highlight w:val="none"/>
                <w:lang w:val="en-US" w:eastAsia="zh-CN"/>
              </w:rPr>
              <w:t>商务</w:t>
            </w:r>
            <w:r>
              <w:rPr>
                <w:rFonts w:hint="eastAsia" w:ascii="仿宋" w:hAnsi="仿宋" w:eastAsia="仿宋" w:cs="仿宋"/>
                <w:color w:val="auto"/>
                <w:kern w:val="0"/>
                <w:sz w:val="28"/>
                <w:szCs w:val="28"/>
                <w:highlight w:val="none"/>
              </w:rPr>
              <w:t>局</w:t>
            </w:r>
          </w:p>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商贸流通部</w:t>
            </w:r>
          </w:p>
        </w:tc>
        <w:tc>
          <w:tcPr>
            <w:tcW w:w="1189"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孙传昊</w:t>
            </w:r>
          </w:p>
        </w:tc>
        <w:tc>
          <w:tcPr>
            <w:tcW w:w="1405"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3629742</w:t>
            </w:r>
          </w:p>
        </w:tc>
        <w:tc>
          <w:tcPr>
            <w:tcW w:w="1734"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both"/>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珠海市高新区唐家湾镇香山路439号创新发展大厦A栋17楼1719室</w:t>
            </w:r>
          </w:p>
        </w:tc>
      </w:tr>
      <w:tr>
        <w:tblPrEx>
          <w:tblCellMar>
            <w:top w:w="0" w:type="dxa"/>
            <w:left w:w="108" w:type="dxa"/>
            <w:bottom w:w="0" w:type="dxa"/>
            <w:right w:w="108" w:type="dxa"/>
          </w:tblCellMar>
        </w:tblPrEx>
        <w:trPr>
          <w:trHeight w:val="90" w:hRule="atLeast"/>
          <w:jc w:val="center"/>
        </w:trPr>
        <w:tc>
          <w:tcPr>
            <w:tcW w:w="91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6</w:t>
            </w:r>
          </w:p>
        </w:tc>
        <w:tc>
          <w:tcPr>
            <w:tcW w:w="19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经济开发区</w:t>
            </w:r>
          </w:p>
        </w:tc>
        <w:tc>
          <w:tcPr>
            <w:tcW w:w="2311"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经济发展局</w:t>
            </w:r>
            <w:r>
              <w:rPr>
                <w:rFonts w:hint="eastAsia" w:ascii="仿宋" w:hAnsi="仿宋" w:eastAsia="仿宋" w:cs="仿宋"/>
                <w:color w:val="auto"/>
                <w:kern w:val="0"/>
                <w:sz w:val="28"/>
                <w:szCs w:val="28"/>
                <w:highlight w:val="none"/>
                <w:lang w:val="en-US" w:eastAsia="zh-CN"/>
              </w:rPr>
              <w:t>商务室</w:t>
            </w:r>
          </w:p>
        </w:tc>
        <w:tc>
          <w:tcPr>
            <w:tcW w:w="1189"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郑佳良</w:t>
            </w:r>
          </w:p>
        </w:tc>
        <w:tc>
          <w:tcPr>
            <w:tcW w:w="1405"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7233215</w:t>
            </w:r>
          </w:p>
        </w:tc>
        <w:tc>
          <w:tcPr>
            <w:tcW w:w="1734" w:type="dxa"/>
            <w:tcBorders>
              <w:top w:val="single" w:color="auto" w:sz="4" w:space="0"/>
              <w:left w:val="nil"/>
              <w:bottom w:val="single" w:color="auto" w:sz="4" w:space="0"/>
              <w:right w:val="single" w:color="auto" w:sz="4" w:space="0"/>
            </w:tcBorders>
            <w:shd w:val="clear" w:color="auto" w:fill="auto"/>
            <w:noWrap w:val="0"/>
            <w:vAlign w:val="center"/>
          </w:tcPr>
          <w:p>
            <w:pPr>
              <w:snapToGrid w:val="0"/>
              <w:spacing w:beforeLines="0" w:afterLines="0" w:line="240" w:lineRule="auto"/>
              <w:jc w:val="both"/>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珠海市金湾区南水镇榕湾路16号高栏港大厦1401</w:t>
            </w:r>
          </w:p>
        </w:tc>
      </w:tr>
    </w:tbl>
    <w:p>
      <w:pPr>
        <w:spacing w:beforeLines="0" w:afterLines="0" w:line="240" w:lineRule="auto"/>
        <w:jc w:val="both"/>
        <w:rPr>
          <w:rFonts w:hint="eastAsia" w:ascii="黑体" w:hAnsi="黑体" w:eastAsia="黑体" w:cs="黑体"/>
          <w:color w:val="auto"/>
          <w:kern w:val="0"/>
          <w:sz w:val="32"/>
          <w:szCs w:val="32"/>
          <w:highlight w:val="none"/>
        </w:rPr>
      </w:pPr>
    </w:p>
    <w:p>
      <w:pPr>
        <w:spacing w:beforeLines="0" w:afterLines="0" w:line="240" w:lineRule="auto"/>
        <w:jc w:val="both"/>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br w:type="page"/>
      </w:r>
      <w:r>
        <w:rPr>
          <w:rFonts w:hint="eastAsia" w:ascii="黑体" w:hAnsi="黑体" w:eastAsia="黑体" w:cs="黑体"/>
          <w:color w:val="auto"/>
          <w:kern w:val="0"/>
          <w:sz w:val="32"/>
          <w:szCs w:val="32"/>
          <w:highlight w:val="none"/>
        </w:rPr>
        <w:t>附件</w:t>
      </w:r>
      <w:r>
        <w:rPr>
          <w:rFonts w:hint="eastAsia" w:ascii="黑体" w:hAnsi="黑体" w:eastAsia="黑体" w:cs="黑体"/>
          <w:color w:val="auto"/>
          <w:kern w:val="0"/>
          <w:sz w:val="32"/>
          <w:szCs w:val="32"/>
          <w:highlight w:val="none"/>
          <w:lang w:val="en-US" w:eastAsia="zh-CN"/>
        </w:rPr>
        <w:t>5</w:t>
      </w:r>
    </w:p>
    <w:p>
      <w:pPr>
        <w:spacing w:beforeLines="0" w:afterLines="0" w:line="240" w:lineRule="auto"/>
        <w:jc w:val="both"/>
        <w:rPr>
          <w:rFonts w:hint="eastAsia" w:ascii="方正小标宋简体" w:hAnsi="华文中宋" w:eastAsia="方正小标宋简体" w:cs="宋体"/>
          <w:bCs/>
          <w:color w:val="auto"/>
          <w:kern w:val="0"/>
          <w:sz w:val="32"/>
          <w:szCs w:val="32"/>
          <w:highlight w:val="none"/>
        </w:rPr>
      </w:pPr>
    </w:p>
    <w:p>
      <w:pPr>
        <w:spacing w:beforeLines="0" w:afterLines="0" w:line="240" w:lineRule="auto"/>
        <w:jc w:val="center"/>
        <w:rPr>
          <w:rFonts w:hint="eastAsia" w:ascii="方正小标宋简体" w:hAnsi="华文中宋" w:eastAsia="方正小标宋简体" w:cs="宋体"/>
          <w:bCs/>
          <w:color w:val="auto"/>
          <w:kern w:val="0"/>
          <w:sz w:val="44"/>
          <w:szCs w:val="44"/>
          <w:highlight w:val="none"/>
        </w:rPr>
      </w:pPr>
      <w:r>
        <w:rPr>
          <w:rFonts w:hint="eastAsia" w:ascii="方正小标宋简体" w:hAnsi="华文中宋" w:eastAsia="方正小标宋简体" w:cs="宋体"/>
          <w:bCs/>
          <w:color w:val="auto"/>
          <w:kern w:val="0"/>
          <w:sz w:val="44"/>
          <w:szCs w:val="44"/>
          <w:highlight w:val="none"/>
        </w:rPr>
        <w:t>不支持费用清单</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3545"/>
        <w:gridCol w:w="1018"/>
        <w:gridCol w:w="3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pacing w:beforeLines="0" w:afterLines="0" w:line="240" w:lineRule="auto"/>
              <w:jc w:val="center"/>
              <w:rPr>
                <w:rFonts w:hint="eastAsia" w:ascii="方正黑体_GBK" w:hAnsi="方正黑体_GBK" w:eastAsia="方正黑体_GBK" w:cs="方正黑体_GBK"/>
                <w:color w:val="auto"/>
                <w:kern w:val="0"/>
                <w:sz w:val="28"/>
                <w:szCs w:val="28"/>
                <w:highlight w:val="none"/>
                <w:vertAlign w:val="baseline"/>
                <w:lang w:eastAsia="zh-CN"/>
              </w:rPr>
            </w:pPr>
            <w:r>
              <w:rPr>
                <w:rFonts w:hint="eastAsia" w:ascii="方正黑体_GBK" w:hAnsi="方正黑体_GBK" w:eastAsia="方正黑体_GBK" w:cs="方正黑体_GBK"/>
                <w:color w:val="auto"/>
                <w:kern w:val="0"/>
                <w:sz w:val="28"/>
                <w:szCs w:val="28"/>
                <w:highlight w:val="none"/>
                <w:vertAlign w:val="baseline"/>
                <w:lang w:eastAsia="zh-CN"/>
              </w:rPr>
              <w:t>序号</w:t>
            </w:r>
          </w:p>
        </w:tc>
        <w:tc>
          <w:tcPr>
            <w:tcW w:w="3545" w:type="dxa"/>
            <w:noWrap w:val="0"/>
            <w:vAlign w:val="center"/>
          </w:tcPr>
          <w:p>
            <w:pPr>
              <w:spacing w:beforeLines="0" w:afterLines="0" w:line="240" w:lineRule="auto"/>
              <w:jc w:val="center"/>
              <w:rPr>
                <w:rFonts w:hint="eastAsia" w:ascii="方正黑体_GBK" w:hAnsi="方正黑体_GBK" w:eastAsia="方正黑体_GBK" w:cs="方正黑体_GBK"/>
                <w:color w:val="auto"/>
                <w:kern w:val="0"/>
                <w:sz w:val="28"/>
                <w:szCs w:val="28"/>
                <w:highlight w:val="none"/>
                <w:vertAlign w:val="baseline"/>
                <w:lang w:eastAsia="zh-CN"/>
              </w:rPr>
            </w:pPr>
            <w:r>
              <w:rPr>
                <w:rFonts w:hint="eastAsia" w:ascii="方正黑体_GBK" w:hAnsi="方正黑体_GBK" w:eastAsia="方正黑体_GBK" w:cs="方正黑体_GBK"/>
                <w:color w:val="auto"/>
                <w:kern w:val="0"/>
                <w:sz w:val="28"/>
                <w:szCs w:val="28"/>
                <w:highlight w:val="none"/>
                <w:vertAlign w:val="baseline"/>
                <w:lang w:eastAsia="zh-CN"/>
              </w:rPr>
              <w:t>名称</w:t>
            </w:r>
          </w:p>
        </w:tc>
        <w:tc>
          <w:tcPr>
            <w:tcW w:w="1018" w:type="dxa"/>
            <w:noWrap w:val="0"/>
            <w:vAlign w:val="center"/>
          </w:tcPr>
          <w:p>
            <w:pPr>
              <w:spacing w:beforeLines="0" w:afterLines="0" w:line="240" w:lineRule="auto"/>
              <w:jc w:val="center"/>
              <w:rPr>
                <w:rFonts w:hint="eastAsia" w:ascii="方正黑体_GBK" w:hAnsi="方正黑体_GBK" w:eastAsia="方正黑体_GBK" w:cs="方正黑体_GBK"/>
                <w:color w:val="auto"/>
                <w:kern w:val="0"/>
                <w:sz w:val="28"/>
                <w:szCs w:val="28"/>
                <w:highlight w:val="none"/>
                <w:vertAlign w:val="baseline"/>
                <w:lang w:val="en-US" w:eastAsia="zh-CN" w:bidi="ar-SA"/>
              </w:rPr>
            </w:pPr>
            <w:r>
              <w:rPr>
                <w:rFonts w:hint="eastAsia" w:ascii="方正黑体_GBK" w:hAnsi="方正黑体_GBK" w:eastAsia="方正黑体_GBK" w:cs="方正黑体_GBK"/>
                <w:color w:val="auto"/>
                <w:kern w:val="0"/>
                <w:sz w:val="28"/>
                <w:szCs w:val="28"/>
                <w:highlight w:val="none"/>
                <w:vertAlign w:val="baseline"/>
                <w:lang w:eastAsia="zh-CN"/>
              </w:rPr>
              <w:t>序号</w:t>
            </w:r>
          </w:p>
        </w:tc>
        <w:tc>
          <w:tcPr>
            <w:tcW w:w="3392" w:type="dxa"/>
            <w:noWrap w:val="0"/>
            <w:vAlign w:val="center"/>
          </w:tcPr>
          <w:p>
            <w:pPr>
              <w:spacing w:beforeLines="0" w:afterLines="0" w:line="240" w:lineRule="auto"/>
              <w:jc w:val="center"/>
              <w:rPr>
                <w:rFonts w:hint="eastAsia" w:ascii="方正黑体_GBK" w:hAnsi="方正黑体_GBK" w:eastAsia="方正黑体_GBK" w:cs="方正黑体_GBK"/>
                <w:color w:val="auto"/>
                <w:kern w:val="0"/>
                <w:sz w:val="28"/>
                <w:szCs w:val="28"/>
                <w:highlight w:val="none"/>
                <w:vertAlign w:val="baseline"/>
                <w:lang w:val="en-US" w:eastAsia="zh-CN" w:bidi="ar-SA"/>
              </w:rPr>
            </w:pPr>
            <w:r>
              <w:rPr>
                <w:rFonts w:hint="eastAsia" w:ascii="方正黑体_GBK" w:hAnsi="方正黑体_GBK" w:eastAsia="方正黑体_GBK" w:cs="方正黑体_GBK"/>
                <w:color w:val="auto"/>
                <w:kern w:val="0"/>
                <w:sz w:val="28"/>
                <w:szCs w:val="28"/>
                <w:highlight w:val="none"/>
                <w:vertAlign w:val="baseline"/>
                <w:lang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1</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土地使用成本（含购地款、土地租赁费、征地拆迁费）</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13</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租金费用（用于生产经营的仓储租金除外）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2</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企业注册资本金</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14</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3</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办公设施（办公楼）</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15</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空调（冷库制冷设备除外）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4</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勘察设计费用</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16</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市场推广费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5</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员工宿舍</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17</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广告费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6</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办公设备</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18</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燃料费用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7</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人员工资、人工费</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19</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差旅费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8</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经费、招待费</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20</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知识产权费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9</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装修费用</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21</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宣传费用（出版物）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10</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流动资金</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22</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项目管理费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11</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运费</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23</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63"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12</w:t>
            </w:r>
          </w:p>
        </w:tc>
        <w:tc>
          <w:tcPr>
            <w:tcW w:w="3545"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购买非货运交通工具</w:t>
            </w:r>
          </w:p>
        </w:tc>
        <w:tc>
          <w:tcPr>
            <w:tcW w:w="1018" w:type="dxa"/>
            <w:noWrap w:val="0"/>
            <w:vAlign w:val="center"/>
          </w:tcPr>
          <w:p>
            <w:pPr>
              <w:snapToGrid w:val="0"/>
              <w:spacing w:beforeLines="0" w:afterLines="0" w:line="240" w:lineRule="auto"/>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24</w:t>
            </w:r>
          </w:p>
        </w:tc>
        <w:tc>
          <w:tcPr>
            <w:tcW w:w="3392" w:type="dxa"/>
            <w:noWrap w:val="0"/>
            <w:vAlign w:val="center"/>
          </w:tcPr>
          <w:p>
            <w:pPr>
              <w:snapToGrid w:val="0"/>
              <w:spacing w:beforeLines="0" w:afterLines="0" w:line="240" w:lineRule="auto"/>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增值税进项税额</w:t>
            </w:r>
          </w:p>
        </w:tc>
      </w:tr>
    </w:tbl>
    <w:p>
      <w:pPr>
        <w:spacing w:beforeLines="0" w:afterLines="0" w:line="240" w:lineRule="auto"/>
        <w:jc w:val="both"/>
        <w:rPr>
          <w:rFonts w:hint="eastAsia" w:ascii="黑体" w:hAnsi="黑体" w:eastAsia="黑体" w:cs="黑体"/>
          <w:color w:val="auto"/>
          <w:kern w:val="0"/>
          <w:sz w:val="32"/>
          <w:szCs w:val="32"/>
          <w:highlight w:val="none"/>
        </w:rPr>
      </w:pPr>
    </w:p>
    <w:p>
      <w:pPr>
        <w:spacing w:beforeLines="0" w:afterLines="0" w:line="240" w:lineRule="auto"/>
        <w:jc w:val="both"/>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br w:type="page"/>
      </w:r>
      <w:r>
        <w:rPr>
          <w:rFonts w:hint="eastAsia" w:ascii="黑体" w:hAnsi="黑体" w:eastAsia="黑体" w:cs="黑体"/>
          <w:color w:val="auto"/>
          <w:kern w:val="0"/>
          <w:sz w:val="32"/>
          <w:szCs w:val="32"/>
          <w:highlight w:val="none"/>
        </w:rPr>
        <w:t>附件</w:t>
      </w:r>
      <w:r>
        <w:rPr>
          <w:rFonts w:hint="eastAsia" w:ascii="黑体" w:hAnsi="黑体" w:eastAsia="黑体" w:cs="黑体"/>
          <w:color w:val="auto"/>
          <w:kern w:val="0"/>
          <w:sz w:val="32"/>
          <w:szCs w:val="32"/>
          <w:highlight w:val="none"/>
          <w:lang w:val="en-US" w:eastAsia="zh-CN"/>
        </w:rPr>
        <w:t>6</w:t>
      </w:r>
    </w:p>
    <w:p>
      <w:pPr>
        <w:spacing w:beforeLines="0" w:afterLines="0" w:line="579" w:lineRule="exact"/>
        <w:jc w:val="left"/>
        <w:rPr>
          <w:rFonts w:hint="eastAsia" w:ascii="黑体" w:hAnsi="黑体" w:eastAsia="黑体" w:cs="黑体"/>
          <w:color w:val="auto"/>
          <w:kern w:val="0"/>
          <w:sz w:val="32"/>
          <w:szCs w:val="32"/>
          <w:highlight w:val="none"/>
        </w:rPr>
      </w:pPr>
    </w:p>
    <w:p>
      <w:pPr>
        <w:spacing w:before="0" w:beforeLines="0" w:afterLines="0" w:line="579" w:lineRule="exact"/>
        <w:jc w:val="center"/>
        <w:rPr>
          <w:rFonts w:hint="eastAsia" w:ascii="方正小标宋简体" w:hAnsi="方正小标宋简体" w:eastAsia="方正小标宋简体" w:cs="方正小标宋简体"/>
          <w:b w:val="0"/>
          <w:bCs w:val="0"/>
          <w:i w:val="0"/>
          <w:iCs w:val="0"/>
          <w:color w:val="auto"/>
          <w:spacing w:val="0"/>
          <w:sz w:val="44"/>
          <w:szCs w:val="44"/>
          <w:highlight w:val="none"/>
          <w:u w:val="none"/>
          <w:lang w:val="en-US" w:eastAsia="zh-CN"/>
        </w:rPr>
      </w:pPr>
      <w:r>
        <w:rPr>
          <w:rFonts w:hint="eastAsia" w:ascii="方正小标宋简体" w:hAnsi="方正小标宋简体" w:eastAsia="方正小标宋简体" w:cs="方正小标宋简体"/>
          <w:b w:val="0"/>
          <w:bCs w:val="0"/>
          <w:i w:val="0"/>
          <w:iCs w:val="0"/>
          <w:color w:val="auto"/>
          <w:spacing w:val="0"/>
          <w:sz w:val="44"/>
          <w:szCs w:val="44"/>
          <w:highlight w:val="none"/>
          <w:u w:val="none"/>
          <w:lang w:val="en-US" w:eastAsia="zh-CN"/>
        </w:rPr>
        <w:t>珠海市财政惠企利民服务平台（</w:t>
      </w:r>
      <w:r>
        <w:rPr>
          <w:rFonts w:hint="eastAsia" w:ascii="方正小标宋简体" w:hAnsi="方正小标宋简体" w:eastAsia="方正小标宋简体" w:cs="方正小标宋简体"/>
          <w:color w:val="auto"/>
          <w:sz w:val="44"/>
          <w:szCs w:val="44"/>
          <w:highlight w:val="none"/>
          <w:u w:val="none"/>
        </w:rPr>
        <w:t>企业</w:t>
      </w:r>
      <w:r>
        <w:rPr>
          <w:rFonts w:hint="eastAsia" w:ascii="方正小标宋简体" w:hAnsi="方正小标宋简体" w:eastAsia="方正小标宋简体" w:cs="方正小标宋简体"/>
          <w:color w:val="auto"/>
          <w:sz w:val="44"/>
          <w:szCs w:val="44"/>
          <w:highlight w:val="none"/>
          <w:u w:val="none"/>
          <w:lang w:val="en-US" w:eastAsia="zh-CN"/>
        </w:rPr>
        <w:t>/</w:t>
      </w:r>
      <w:r>
        <w:rPr>
          <w:rFonts w:hint="eastAsia" w:ascii="方正小标宋简体" w:hAnsi="方正小标宋简体" w:eastAsia="方正小标宋简体" w:cs="方正小标宋简体"/>
          <w:color w:val="auto"/>
          <w:sz w:val="44"/>
          <w:szCs w:val="44"/>
          <w:highlight w:val="none"/>
          <w:u w:val="none"/>
        </w:rPr>
        <w:t>个人</w:t>
      </w:r>
      <w:r>
        <w:rPr>
          <w:rFonts w:hint="eastAsia" w:ascii="方正小标宋简体" w:hAnsi="方正小标宋简体" w:eastAsia="方正小标宋简体" w:cs="方正小标宋简体"/>
          <w:b w:val="0"/>
          <w:bCs w:val="0"/>
          <w:i w:val="0"/>
          <w:iCs w:val="0"/>
          <w:color w:val="auto"/>
          <w:spacing w:val="0"/>
          <w:sz w:val="44"/>
          <w:szCs w:val="44"/>
          <w:highlight w:val="none"/>
          <w:u w:val="none"/>
          <w:lang w:val="en-US" w:eastAsia="zh-CN"/>
        </w:rPr>
        <w:t>）</w:t>
      </w:r>
    </w:p>
    <w:p>
      <w:pPr>
        <w:spacing w:before="0" w:line="579" w:lineRule="exact"/>
        <w:jc w:val="center"/>
        <w:rPr>
          <w:rFonts w:hint="eastAsia" w:ascii="方正小标宋简体" w:hAnsi="方正小标宋简体" w:eastAsia="方正小标宋简体" w:cs="方正小标宋简体"/>
          <w:b w:val="0"/>
          <w:bCs w:val="0"/>
          <w:i w:val="0"/>
          <w:iCs w:val="0"/>
          <w:color w:val="auto"/>
          <w:spacing w:val="0"/>
          <w:sz w:val="44"/>
          <w:szCs w:val="44"/>
          <w:highlight w:val="none"/>
          <w:u w:val="none"/>
          <w:lang w:val="en-US" w:eastAsia="zh-CN"/>
        </w:rPr>
      </w:pPr>
      <w:r>
        <w:rPr>
          <w:rFonts w:hint="eastAsia" w:ascii="方正小标宋简体" w:hAnsi="方正小标宋简体" w:eastAsia="方正小标宋简体" w:cs="方正小标宋简体"/>
          <w:b w:val="0"/>
          <w:bCs w:val="0"/>
          <w:i w:val="0"/>
          <w:iCs w:val="0"/>
          <w:color w:val="auto"/>
          <w:spacing w:val="0"/>
          <w:sz w:val="44"/>
          <w:szCs w:val="44"/>
          <w:highlight w:val="none"/>
          <w:u w:val="none"/>
          <w:lang w:val="en-US" w:eastAsia="zh-CN"/>
        </w:rPr>
        <w:t>操作指引</w:t>
      </w:r>
    </w:p>
    <w:p>
      <w:pPr>
        <w:jc w:val="center"/>
        <w:rPr>
          <w:rFonts w:hint="eastAsia" w:ascii="Times New Roman" w:eastAsia="宋体"/>
          <w:color w:val="auto"/>
          <w:sz w:val="20"/>
          <w:highlight w:val="none"/>
          <w:lang w:eastAsia="zh-CN"/>
        </w:rPr>
      </w:pPr>
      <w:r>
        <w:rPr>
          <w:rFonts w:hint="eastAsia" w:ascii="Times New Roman"/>
          <w:color w:val="auto"/>
          <w:sz w:val="20"/>
          <w:highlight w:val="none"/>
        </w:rPr>
        <w:drawing>
          <wp:inline distT="0" distB="0" distL="114300" distR="114300">
            <wp:extent cx="3992880" cy="1153160"/>
            <wp:effectExtent l="0" t="0" r="7620" b="8890"/>
            <wp:docPr id="1" name="图片 34" descr="lALPBE1XffE0Mz7NAZzNBZM_1427_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lALPBE1XffE0Mz7NAZzNBZM_1427_412"/>
                    <pic:cNvPicPr>
                      <a:picLocks noChangeAspect="1"/>
                    </pic:cNvPicPr>
                  </pic:nvPicPr>
                  <pic:blipFill>
                    <a:blip r:embed="rId10"/>
                    <a:stretch>
                      <a:fillRect/>
                    </a:stretch>
                  </pic:blipFill>
                  <pic:spPr>
                    <a:xfrm>
                      <a:off x="0" y="0"/>
                      <a:ext cx="3992880" cy="1153160"/>
                    </a:xfrm>
                    <a:prstGeom prst="rect">
                      <a:avLst/>
                    </a:prstGeom>
                    <a:noFill/>
                    <a:ln>
                      <a:noFill/>
                    </a:ln>
                  </pic:spPr>
                </pic:pic>
              </a:graphicData>
            </a:graphic>
          </wp:inline>
        </w:drawing>
      </w:r>
    </w:p>
    <w:p>
      <w:pPr>
        <w:rPr>
          <w:rFonts w:ascii="Times New Roman"/>
          <w:color w:val="auto"/>
          <w:sz w:val="20"/>
          <w:highlight w:val="none"/>
        </w:rPr>
      </w:pPr>
    </w:p>
    <w:p>
      <w:pPr>
        <w:rPr>
          <w:rFonts w:ascii="Times New Roman"/>
          <w:color w:val="auto"/>
          <w:sz w:val="20"/>
          <w:highlight w:val="none"/>
        </w:rPr>
      </w:pPr>
    </w:p>
    <w:p>
      <w:pPr>
        <w:rPr>
          <w:rFonts w:ascii="Times New Roman"/>
          <w:color w:val="auto"/>
          <w:sz w:val="20"/>
          <w:highlight w:val="none"/>
        </w:rPr>
      </w:pPr>
    </w:p>
    <w:p>
      <w:pPr>
        <w:rPr>
          <w:rFonts w:ascii="Times New Roman"/>
          <w:color w:val="auto"/>
          <w:sz w:val="20"/>
          <w:highlight w:val="none"/>
        </w:rPr>
      </w:pPr>
    </w:p>
    <w:p>
      <w:pPr>
        <w:spacing w:before="170"/>
        <w:ind w:right="221"/>
        <w:jc w:val="center"/>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企业/个人使用手册</w:t>
      </w:r>
    </w:p>
    <w:p>
      <w:pPr>
        <w:spacing w:before="170"/>
        <w:ind w:right="221"/>
        <w:jc w:val="center"/>
        <w:rPr>
          <w:rFonts w:hint="eastAsia" w:ascii="黑体" w:hAnsi="黑体" w:eastAsia="黑体" w:cs="黑体"/>
          <w:b/>
          <w:color w:val="auto"/>
          <w:sz w:val="32"/>
          <w:szCs w:val="32"/>
          <w:highlight w:val="none"/>
        </w:rPr>
      </w:pPr>
    </w:p>
    <w:p>
      <w:pPr>
        <w:spacing w:before="170"/>
        <w:ind w:left="0" w:right="221"/>
        <w:jc w:val="center"/>
        <w:rPr>
          <w:rFonts w:hint="eastAsia" w:ascii="黑体" w:hAnsi="黑体" w:eastAsia="黑体" w:cs="黑体"/>
          <w:b/>
          <w:color w:val="auto"/>
          <w:sz w:val="32"/>
          <w:szCs w:val="32"/>
          <w:highlight w:val="none"/>
        </w:rPr>
      </w:pPr>
      <w:r>
        <w:rPr>
          <w:rFonts w:hint="eastAsia" w:ascii="黑体" w:hAnsi="黑体" w:eastAsia="黑体" w:cs="黑体"/>
          <w:b/>
          <w:color w:val="auto"/>
          <w:sz w:val="32"/>
          <w:szCs w:val="32"/>
          <w:highlight w:val="none"/>
        </w:rPr>
        <w:t>（申报单位）</w:t>
      </w:r>
    </w:p>
    <w:p>
      <w:pPr>
        <w:ind w:left="456" w:right="224"/>
        <w:jc w:val="center"/>
        <w:rPr>
          <w:b/>
          <w:color w:val="auto"/>
          <w:sz w:val="48"/>
          <w:highlight w:val="none"/>
        </w:rPr>
      </w:pPr>
    </w:p>
    <w:p>
      <w:pPr>
        <w:spacing w:before="170"/>
        <w:ind w:right="224" w:firstLine="2409" w:firstLineChars="800"/>
        <w:rPr>
          <w:b/>
          <w:color w:val="auto"/>
          <w:sz w:val="30"/>
          <w:highlight w:val="none"/>
        </w:rPr>
      </w:pPr>
    </w:p>
    <w:p>
      <w:pPr>
        <w:spacing w:before="170"/>
        <w:ind w:right="221"/>
        <w:jc w:val="center"/>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主办单位：珠海市财政局</w:t>
      </w:r>
    </w:p>
    <w:p>
      <w:pPr>
        <w:spacing w:before="170"/>
        <w:ind w:right="221"/>
        <w:jc w:val="center"/>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承建单位：广州政企互联科技有限公司</w:t>
      </w:r>
    </w:p>
    <w:p>
      <w:pPr>
        <w:ind w:left="456" w:right="224" w:firstLine="642" w:firstLineChars="200"/>
        <w:jc w:val="center"/>
        <w:rPr>
          <w:rFonts w:ascii="黑体" w:hAnsi="黑体" w:eastAsia="黑体" w:cs="黑体"/>
          <w:b/>
          <w:color w:val="auto"/>
          <w:sz w:val="32"/>
          <w:szCs w:val="32"/>
          <w:highlight w:val="none"/>
        </w:rPr>
      </w:pPr>
    </w:p>
    <w:p>
      <w:pPr>
        <w:spacing w:before="170"/>
        <w:ind w:right="221"/>
        <w:jc w:val="center"/>
        <w:rPr>
          <w:rFonts w:ascii="黑体" w:hAnsi="黑体" w:eastAsia="黑体" w:cs="黑体"/>
          <w:b/>
          <w:color w:val="auto"/>
          <w:sz w:val="32"/>
          <w:szCs w:val="32"/>
          <w:highlight w:val="none"/>
        </w:rPr>
        <w:sectPr>
          <w:headerReference r:id="rId5" w:type="default"/>
          <w:pgSz w:w="11850" w:h="16840"/>
          <w:pgMar w:top="567" w:right="1134" w:bottom="567" w:left="1134" w:header="0" w:footer="510" w:gutter="0"/>
          <w:pgNumType w:fmt="decimal"/>
          <w:cols w:space="720" w:num="1"/>
          <w:rtlGutter w:val="0"/>
          <w:docGrid w:linePitch="1" w:charSpace="0"/>
        </w:sectPr>
      </w:pPr>
      <w:r>
        <w:rPr>
          <w:rFonts w:hint="eastAsia" w:ascii="黑体" w:hAnsi="黑体" w:eastAsia="黑体" w:cs="黑体"/>
          <w:b/>
          <w:color w:val="auto"/>
          <w:sz w:val="32"/>
          <w:szCs w:val="32"/>
          <w:highlight w:val="none"/>
        </w:rPr>
        <w:t>202</w:t>
      </w:r>
      <w:r>
        <w:rPr>
          <w:rFonts w:hint="eastAsia" w:ascii="黑体" w:hAnsi="黑体" w:eastAsia="黑体" w:cs="黑体"/>
          <w:b/>
          <w:color w:val="auto"/>
          <w:sz w:val="32"/>
          <w:szCs w:val="32"/>
          <w:highlight w:val="none"/>
          <w:lang w:val="en-US" w:eastAsia="zh-CN"/>
        </w:rPr>
        <w:t>4</w:t>
      </w:r>
      <w:r>
        <w:rPr>
          <w:rFonts w:hint="eastAsia" w:ascii="黑体" w:hAnsi="黑体" w:eastAsia="黑体" w:cs="黑体"/>
          <w:b/>
          <w:color w:val="auto"/>
          <w:sz w:val="32"/>
          <w:szCs w:val="32"/>
          <w:highlight w:val="none"/>
        </w:rPr>
        <w:t>年</w:t>
      </w:r>
    </w:p>
    <w:p>
      <w:pPr>
        <w:keepNext w:val="0"/>
        <w:keepLines w:val="0"/>
        <w:pageBreakBefore w:val="0"/>
        <w:widowControl w:val="0"/>
        <w:kinsoku w:val="0"/>
        <w:wordWrap/>
        <w:overflowPunct w:val="0"/>
        <w:topLinePunct w:val="0"/>
        <w:bidi w:val="0"/>
        <w:adjustRightInd/>
        <w:snapToGrid/>
        <w:spacing w:line="579" w:lineRule="exact"/>
        <w:ind w:firstLine="640" w:firstLineChars="200"/>
        <w:jc w:val="left"/>
        <w:textAlignment w:val="auto"/>
        <w:rPr>
          <w:rFonts w:hint="eastAsia" w:ascii="华文仿宋" w:hAnsi="华文仿宋" w:eastAsia="华文仿宋" w:cs="华文仿宋"/>
          <w:color w:val="auto"/>
          <w:sz w:val="32"/>
          <w:szCs w:val="32"/>
          <w:highlight w:val="none"/>
        </w:rPr>
      </w:pPr>
      <w:r>
        <w:rPr>
          <w:rFonts w:hint="eastAsia" w:ascii="仿宋" w:hAnsi="仿宋" w:eastAsia="仿宋" w:cs="仿宋"/>
          <w:color w:val="auto"/>
          <w:kern w:val="0"/>
          <w:sz w:val="32"/>
          <w:szCs w:val="32"/>
          <w:highlight w:val="none"/>
          <w:lang w:eastAsia="zh-CN"/>
        </w:rPr>
        <w:t>为了更好的为您服务，请仔细阅读本使用手册，谢谢！</w:t>
      </w:r>
    </w:p>
    <w:p>
      <w:pPr>
        <w:keepNext w:val="0"/>
        <w:keepLines w:val="0"/>
        <w:pageBreakBefore w:val="0"/>
        <w:widowControl w:val="0"/>
        <w:numPr>
          <w:ilvl w:val="1"/>
          <w:numId w:val="2"/>
        </w:numPr>
        <w:kinsoku w:val="0"/>
        <w:wordWrap/>
        <w:overflowPunct w:val="0"/>
        <w:topLinePunct w:val="0"/>
        <w:autoSpaceDE w:val="0"/>
        <w:autoSpaceDN w:val="0"/>
        <w:bidi w:val="0"/>
        <w:adjustRightInd/>
        <w:snapToGrid/>
        <w:spacing w:before="156" w:beforeLines="50" w:line="579" w:lineRule="exact"/>
        <w:ind w:left="0" w:right="105" w:rightChars="50" w:firstLine="640" w:firstLineChars="200"/>
        <w:jc w:val="left"/>
        <w:textAlignment w:val="auto"/>
        <w:rPr>
          <w:rFonts w:hint="eastAsia" w:ascii="华文仿宋" w:hAnsi="华文仿宋" w:eastAsia="华文仿宋" w:cs="华文仿宋"/>
          <w:color w:val="auto"/>
          <w:sz w:val="32"/>
          <w:szCs w:val="32"/>
          <w:highlight w:val="none"/>
          <w:u w:val="single"/>
        </w:rPr>
      </w:pPr>
      <w:r>
        <w:rPr>
          <w:rFonts w:hint="eastAsia" w:ascii="仿宋" w:hAnsi="仿宋" w:eastAsia="仿宋" w:cs="仿宋"/>
          <w:color w:val="auto"/>
          <w:kern w:val="0"/>
          <w:sz w:val="32"/>
          <w:szCs w:val="32"/>
          <w:highlight w:val="none"/>
          <w:lang w:eastAsia="zh-CN"/>
        </w:rPr>
        <w:t>平台网址：</w:t>
      </w:r>
      <w:r>
        <w:rPr>
          <w:rFonts w:hint="eastAsia" w:ascii="仿宋" w:hAnsi="仿宋" w:eastAsia="仿宋" w:cs="仿宋"/>
          <w:color w:val="auto"/>
          <w:kern w:val="0"/>
          <w:sz w:val="32"/>
          <w:szCs w:val="32"/>
          <w:highlight w:val="none"/>
          <w:u w:val="single"/>
          <w:lang w:eastAsia="zh-CN"/>
        </w:rPr>
        <w:t>https://113.106.103.75/#/home</w:t>
      </w:r>
    </w:p>
    <w:p>
      <w:pPr>
        <w:keepNext w:val="0"/>
        <w:keepLines w:val="0"/>
        <w:pageBreakBefore w:val="0"/>
        <w:widowControl w:val="0"/>
        <w:numPr>
          <w:ilvl w:val="1"/>
          <w:numId w:val="2"/>
        </w:numPr>
        <w:kinsoku w:val="0"/>
        <w:wordWrap/>
        <w:overflowPunct w:val="0"/>
        <w:topLinePunct w:val="0"/>
        <w:autoSpaceDE w:val="0"/>
        <w:autoSpaceDN w:val="0"/>
        <w:bidi w:val="0"/>
        <w:adjustRightInd/>
        <w:snapToGrid/>
        <w:spacing w:before="156" w:beforeLines="50" w:line="579" w:lineRule="exact"/>
        <w:ind w:left="0" w:right="105" w:rightChars="50" w:firstLine="640" w:firstLineChars="200"/>
        <w:jc w:val="left"/>
        <w:textAlignment w:val="auto"/>
        <w:rPr>
          <w:rFonts w:hint="eastAsia" w:ascii="华文仿宋" w:hAnsi="华文仿宋" w:eastAsia="华文仿宋" w:cs="华文仿宋"/>
          <w:color w:val="auto"/>
          <w:sz w:val="32"/>
          <w:szCs w:val="32"/>
          <w:highlight w:val="none"/>
        </w:rPr>
      </w:pPr>
      <w:r>
        <w:rPr>
          <w:rFonts w:hint="eastAsia" w:ascii="仿宋" w:hAnsi="仿宋" w:eastAsia="仿宋" w:cs="仿宋"/>
          <w:color w:val="auto"/>
          <w:kern w:val="0"/>
          <w:sz w:val="32"/>
          <w:szCs w:val="32"/>
          <w:highlight w:val="none"/>
          <w:lang w:eastAsia="zh-CN"/>
        </w:rPr>
        <w:t>推荐登录浏览器：</w:t>
      </w:r>
      <w:r>
        <w:rPr>
          <w:rFonts w:hint="eastAsia" w:ascii="仿宋" w:hAnsi="仿宋" w:eastAsia="仿宋" w:cs="仿宋"/>
          <w:color w:val="auto"/>
          <w:kern w:val="0"/>
          <w:sz w:val="32"/>
          <w:szCs w:val="32"/>
          <w:highlight w:val="none"/>
          <w:u w:val="single"/>
          <w:lang w:eastAsia="zh-CN"/>
        </w:rPr>
        <w:t>下载安装谷歌Chrome浏览器</w:t>
      </w:r>
    </w:p>
    <w:p>
      <w:pPr>
        <w:keepNext w:val="0"/>
        <w:keepLines w:val="0"/>
        <w:pageBreakBefore w:val="0"/>
        <w:widowControl w:val="0"/>
        <w:numPr>
          <w:ilvl w:val="1"/>
          <w:numId w:val="2"/>
        </w:numPr>
        <w:kinsoku w:val="0"/>
        <w:wordWrap/>
        <w:overflowPunct w:val="0"/>
        <w:topLinePunct w:val="0"/>
        <w:autoSpaceDE w:val="0"/>
        <w:autoSpaceDN w:val="0"/>
        <w:bidi w:val="0"/>
        <w:adjustRightInd/>
        <w:snapToGrid/>
        <w:spacing w:before="156" w:beforeLines="50" w:line="579" w:lineRule="exact"/>
        <w:ind w:left="0" w:right="105" w:rightChars="50" w:firstLine="640" w:firstLineChars="200"/>
        <w:jc w:val="left"/>
        <w:textAlignment w:val="auto"/>
        <w:rPr>
          <w:rFonts w:hint="eastAsia" w:ascii="华文仿宋" w:hAnsi="华文仿宋" w:eastAsia="华文仿宋" w:cs="华文仿宋"/>
          <w:color w:val="auto"/>
          <w:sz w:val="32"/>
          <w:szCs w:val="32"/>
          <w:highlight w:val="none"/>
        </w:rPr>
      </w:pPr>
      <w:r>
        <w:rPr>
          <w:rFonts w:hint="eastAsia" w:ascii="仿宋" w:hAnsi="仿宋" w:eastAsia="仿宋" w:cs="仿宋"/>
          <w:color w:val="auto"/>
          <w:kern w:val="0"/>
          <w:sz w:val="32"/>
          <w:szCs w:val="32"/>
          <w:highlight w:val="none"/>
          <w:lang w:eastAsia="zh-CN"/>
        </w:rPr>
        <w:t>Chrome下载网址</w:t>
      </w:r>
      <w:r>
        <w:rPr>
          <w:rFonts w:hint="eastAsia" w:ascii="仿宋" w:hAnsi="仿宋" w:eastAsia="仿宋" w:cs="仿宋"/>
          <w:color w:val="auto"/>
          <w:kern w:val="0"/>
          <w:sz w:val="32"/>
          <w:szCs w:val="32"/>
          <w:highlight w:val="none"/>
          <w:u w:val="single"/>
          <w:lang w:eastAsia="zh-CN"/>
        </w:rPr>
        <w:t>：</w:t>
      </w:r>
      <w:r>
        <w:rPr>
          <w:rFonts w:hint="eastAsia" w:ascii="仿宋" w:hAnsi="仿宋" w:eastAsia="仿宋" w:cs="仿宋"/>
          <w:color w:val="auto"/>
          <w:kern w:val="0"/>
          <w:sz w:val="32"/>
          <w:szCs w:val="32"/>
          <w:highlight w:val="none"/>
          <w:u w:val="single"/>
          <w:lang w:eastAsia="zh-CN"/>
        </w:rPr>
        <w:fldChar w:fldCharType="begin"/>
      </w:r>
      <w:r>
        <w:rPr>
          <w:rFonts w:hint="eastAsia" w:ascii="仿宋" w:hAnsi="仿宋" w:eastAsia="仿宋" w:cs="仿宋"/>
          <w:color w:val="auto"/>
          <w:kern w:val="0"/>
          <w:sz w:val="32"/>
          <w:szCs w:val="32"/>
          <w:highlight w:val="none"/>
          <w:u w:val="single"/>
          <w:lang w:eastAsia="zh-CN"/>
        </w:rPr>
        <w:instrText xml:space="preserve"> HYPERLINK "https://www.google.cn/chrome/" </w:instrText>
      </w:r>
      <w:r>
        <w:rPr>
          <w:rFonts w:hint="eastAsia" w:ascii="仿宋" w:hAnsi="仿宋" w:eastAsia="仿宋" w:cs="仿宋"/>
          <w:color w:val="auto"/>
          <w:kern w:val="0"/>
          <w:sz w:val="32"/>
          <w:szCs w:val="32"/>
          <w:highlight w:val="none"/>
          <w:u w:val="single"/>
          <w:lang w:eastAsia="zh-CN"/>
        </w:rPr>
        <w:fldChar w:fldCharType="separate"/>
      </w:r>
      <w:r>
        <w:rPr>
          <w:rFonts w:hint="eastAsia" w:ascii="仿宋" w:hAnsi="仿宋" w:eastAsia="仿宋" w:cs="仿宋"/>
          <w:color w:val="auto"/>
          <w:kern w:val="0"/>
          <w:sz w:val="32"/>
          <w:szCs w:val="32"/>
          <w:highlight w:val="none"/>
          <w:u w:val="single"/>
          <w:lang w:eastAsia="zh-CN"/>
        </w:rPr>
        <w:t>https://www.google.cn/chrome/</w:t>
      </w:r>
      <w:r>
        <w:rPr>
          <w:rFonts w:hint="eastAsia" w:ascii="仿宋" w:hAnsi="仿宋" w:eastAsia="仿宋" w:cs="仿宋"/>
          <w:color w:val="auto"/>
          <w:kern w:val="0"/>
          <w:sz w:val="32"/>
          <w:szCs w:val="32"/>
          <w:highlight w:val="none"/>
          <w:u w:val="single"/>
          <w:lang w:eastAsia="zh-CN"/>
        </w:rPr>
        <w:fldChar w:fldCharType="end"/>
      </w:r>
    </w:p>
    <w:p>
      <w:pPr>
        <w:keepNext w:val="0"/>
        <w:keepLines w:val="0"/>
        <w:pageBreakBefore w:val="0"/>
        <w:widowControl w:val="0"/>
        <w:numPr>
          <w:ilvl w:val="1"/>
          <w:numId w:val="2"/>
        </w:numPr>
        <w:kinsoku w:val="0"/>
        <w:wordWrap/>
        <w:overflowPunct w:val="0"/>
        <w:topLinePunct w:val="0"/>
        <w:autoSpaceDE w:val="0"/>
        <w:autoSpaceDN w:val="0"/>
        <w:bidi w:val="0"/>
        <w:adjustRightInd/>
        <w:snapToGrid/>
        <w:spacing w:before="156" w:beforeLines="50" w:line="579" w:lineRule="exact"/>
        <w:ind w:left="0" w:right="105" w:rightChars="50" w:firstLine="640" w:firstLineChars="200"/>
        <w:jc w:val="left"/>
        <w:textAlignment w:val="auto"/>
        <w:rPr>
          <w:rFonts w:hint="eastAsia" w:ascii="仿宋" w:hAnsi="仿宋" w:eastAsia="仿宋" w:cs="仿宋"/>
          <w:color w:val="auto"/>
          <w:kern w:val="0"/>
          <w:sz w:val="32"/>
          <w:szCs w:val="32"/>
          <w:highlight w:val="none"/>
          <w:u w:val="single"/>
          <w:lang w:eastAsia="zh-CN"/>
        </w:rPr>
      </w:pPr>
      <w:r>
        <w:rPr>
          <w:rFonts w:hint="eastAsia" w:ascii="仿宋" w:hAnsi="仿宋" w:eastAsia="仿宋" w:cs="仿宋"/>
          <w:color w:val="auto"/>
          <w:kern w:val="0"/>
          <w:sz w:val="32"/>
          <w:szCs w:val="32"/>
          <w:highlight w:val="none"/>
          <w:lang w:eastAsia="zh-CN"/>
        </w:rPr>
        <w:t>技术咨询电话：</w:t>
      </w:r>
      <w:r>
        <w:rPr>
          <w:rFonts w:hint="eastAsia" w:ascii="仿宋" w:hAnsi="仿宋" w:eastAsia="仿宋" w:cs="仿宋"/>
          <w:color w:val="auto"/>
          <w:kern w:val="0"/>
          <w:sz w:val="32"/>
          <w:szCs w:val="32"/>
          <w:highlight w:val="none"/>
          <w:u w:val="single"/>
          <w:lang w:eastAsia="zh-CN"/>
        </w:rPr>
        <w:t>0756-2602052，0756-2510670</w:t>
      </w: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156" w:beforeLines="50" w:line="579" w:lineRule="exact"/>
        <w:ind w:right="105" w:rightChars="50"/>
        <w:jc w:val="left"/>
        <w:textAlignment w:val="auto"/>
        <w:rPr>
          <w:rFonts w:hint="eastAsia" w:ascii="华文仿宋" w:hAnsi="华文仿宋" w:eastAsia="华文仿宋" w:cs="华文仿宋"/>
          <w:color w:val="auto"/>
          <w:sz w:val="32"/>
          <w:szCs w:val="32"/>
          <w:highlight w:val="none"/>
        </w:rPr>
      </w:pPr>
    </w:p>
    <w:p>
      <w:pPr>
        <w:spacing w:line="360" w:lineRule="auto"/>
        <w:jc w:val="center"/>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44"/>
          <w:szCs w:val="44"/>
          <w:highlight w:val="none"/>
        </w:rPr>
        <w:t>目录</w:t>
      </w:r>
    </w:p>
    <w:p>
      <w:pPr>
        <w:pStyle w:val="18"/>
        <w:keepNext w:val="0"/>
        <w:keepLines w:val="0"/>
        <w:pageBreakBefore w:val="0"/>
        <w:widowControl w:val="0"/>
        <w:tabs>
          <w:tab w:val="right" w:leader="dot" w:pos="8640"/>
          <w:tab w:val="clear" w:pos="8380"/>
        </w:tabs>
        <w:wordWrap/>
        <w:topLinePunct w:val="0"/>
        <w:bidi w:val="0"/>
        <w:adjustRightInd/>
        <w:snapToGrid/>
        <w:spacing w:before="313" w:beforeLines="100" w:after="313" w:afterLines="100" w:line="579" w:lineRule="exact"/>
        <w:jc w:val="left"/>
        <w:textAlignment w:val="auto"/>
        <w:rPr>
          <w:rFonts w:hint="eastAsia" w:ascii="方正黑体_GBK" w:hAnsi="方正黑体_GBK" w:eastAsia="方正黑体_GBK" w:cs="方正黑体_GBK"/>
          <w:color w:val="auto"/>
          <w:sz w:val="32"/>
          <w:highlight w:val="none"/>
        </w:rPr>
      </w:pPr>
      <w:r>
        <w:rPr>
          <w:rFonts w:hint="eastAsia" w:ascii="方正黑体_GBK" w:hAnsi="方正黑体_GBK" w:eastAsia="方正黑体_GBK" w:cs="方正黑体_GBK"/>
          <w:color w:val="auto"/>
          <w:sz w:val="32"/>
          <w:highlight w:val="none"/>
        </w:rPr>
        <w:fldChar w:fldCharType="begin"/>
      </w:r>
      <w:r>
        <w:rPr>
          <w:rFonts w:hint="eastAsia" w:ascii="方正黑体_GBK" w:hAnsi="方正黑体_GBK" w:eastAsia="方正黑体_GBK" w:cs="方正黑体_GBK"/>
          <w:color w:val="auto"/>
          <w:sz w:val="32"/>
          <w:highlight w:val="none"/>
        </w:rPr>
        <w:instrText xml:space="preserve">TOC \o "1-1" \h \u </w:instrText>
      </w:r>
      <w:r>
        <w:rPr>
          <w:rFonts w:hint="eastAsia" w:ascii="方正黑体_GBK" w:hAnsi="方正黑体_GBK" w:eastAsia="方正黑体_GBK" w:cs="方正黑体_GBK"/>
          <w:color w:val="auto"/>
          <w:sz w:val="32"/>
          <w:highlight w:val="none"/>
        </w:rPr>
        <w:fldChar w:fldCharType="separate"/>
      </w:r>
      <w:r>
        <w:rPr>
          <w:rFonts w:hint="eastAsia" w:ascii="方正黑体_GBK" w:hAnsi="方正黑体_GBK" w:eastAsia="方正黑体_GBK" w:cs="方正黑体_GBK"/>
          <w:color w:val="auto"/>
          <w:highlight w:val="none"/>
        </w:rPr>
        <w:fldChar w:fldCharType="begin"/>
      </w:r>
      <w:r>
        <w:rPr>
          <w:rFonts w:hint="eastAsia" w:ascii="方正黑体_GBK" w:hAnsi="方正黑体_GBK" w:eastAsia="方正黑体_GBK" w:cs="方正黑体_GBK"/>
          <w:color w:val="auto"/>
          <w:highlight w:val="none"/>
        </w:rPr>
        <w:instrText xml:space="preserve"> HYPERLINK \l "_Toc27185" </w:instrText>
      </w:r>
      <w:r>
        <w:rPr>
          <w:rFonts w:hint="eastAsia" w:ascii="方正黑体_GBK" w:hAnsi="方正黑体_GBK" w:eastAsia="方正黑体_GBK" w:cs="方正黑体_GBK"/>
          <w:color w:val="auto"/>
          <w:highlight w:val="none"/>
        </w:rPr>
        <w:fldChar w:fldCharType="separate"/>
      </w:r>
      <w:r>
        <w:rPr>
          <w:rFonts w:hint="eastAsia" w:ascii="方正黑体_GBK" w:hAnsi="方正黑体_GBK" w:eastAsia="方正黑体_GBK" w:cs="方正黑体_GBK"/>
          <w:color w:val="auto"/>
          <w:sz w:val="32"/>
          <w:highlight w:val="none"/>
        </w:rPr>
        <w:t>一、账号注册</w:t>
      </w:r>
      <w:r>
        <w:rPr>
          <w:rFonts w:hint="eastAsia" w:ascii="方正黑体_GBK" w:hAnsi="方正黑体_GBK" w:eastAsia="方正黑体_GBK" w:cs="方正黑体_GBK"/>
          <w:color w:val="auto"/>
          <w:sz w:val="32"/>
          <w:highlight w:val="none"/>
        </w:rPr>
        <w:tab/>
      </w:r>
      <w:r>
        <w:rPr>
          <w:rFonts w:hint="eastAsia" w:ascii="方正黑体_GBK" w:hAnsi="方正黑体_GBK" w:eastAsia="方正黑体_GBK" w:cs="方正黑体_GBK"/>
          <w:color w:val="auto"/>
          <w:sz w:val="32"/>
          <w:highlight w:val="none"/>
        </w:rPr>
        <w:fldChar w:fldCharType="begin"/>
      </w:r>
      <w:r>
        <w:rPr>
          <w:rFonts w:hint="eastAsia" w:ascii="方正黑体_GBK" w:hAnsi="方正黑体_GBK" w:eastAsia="方正黑体_GBK" w:cs="方正黑体_GBK"/>
          <w:color w:val="auto"/>
          <w:sz w:val="32"/>
          <w:highlight w:val="none"/>
        </w:rPr>
        <w:instrText xml:space="preserve"> PAGEREF _Toc27185 </w:instrText>
      </w:r>
      <w:r>
        <w:rPr>
          <w:rFonts w:hint="eastAsia" w:ascii="方正黑体_GBK" w:hAnsi="方正黑体_GBK" w:eastAsia="方正黑体_GBK" w:cs="方正黑体_GBK"/>
          <w:color w:val="auto"/>
          <w:sz w:val="32"/>
          <w:highlight w:val="none"/>
        </w:rPr>
        <w:fldChar w:fldCharType="separate"/>
      </w:r>
      <w:r>
        <w:rPr>
          <w:rFonts w:hint="eastAsia" w:ascii="方正黑体_GBK" w:hAnsi="方正黑体_GBK" w:eastAsia="方正黑体_GBK" w:cs="方正黑体_GBK"/>
          <w:color w:val="auto"/>
          <w:sz w:val="32"/>
          <w:highlight w:val="none"/>
        </w:rPr>
        <w:t>29</w:t>
      </w:r>
      <w:r>
        <w:rPr>
          <w:rFonts w:hint="eastAsia" w:ascii="方正黑体_GBK" w:hAnsi="方正黑体_GBK" w:eastAsia="方正黑体_GBK" w:cs="方正黑体_GBK"/>
          <w:color w:val="auto"/>
          <w:sz w:val="32"/>
          <w:highlight w:val="none"/>
        </w:rPr>
        <w:fldChar w:fldCharType="end"/>
      </w:r>
      <w:r>
        <w:rPr>
          <w:rFonts w:hint="eastAsia" w:ascii="方正黑体_GBK" w:hAnsi="方正黑体_GBK" w:eastAsia="方正黑体_GBK" w:cs="方正黑体_GBK"/>
          <w:color w:val="auto"/>
          <w:sz w:val="32"/>
          <w:highlight w:val="none"/>
        </w:rPr>
        <w:fldChar w:fldCharType="end"/>
      </w:r>
    </w:p>
    <w:p>
      <w:pPr>
        <w:pStyle w:val="18"/>
        <w:keepNext w:val="0"/>
        <w:keepLines w:val="0"/>
        <w:pageBreakBefore w:val="0"/>
        <w:widowControl w:val="0"/>
        <w:tabs>
          <w:tab w:val="right" w:leader="dot" w:pos="8640"/>
          <w:tab w:val="clear" w:pos="8380"/>
        </w:tabs>
        <w:wordWrap/>
        <w:topLinePunct w:val="0"/>
        <w:bidi w:val="0"/>
        <w:adjustRightInd/>
        <w:snapToGrid/>
        <w:spacing w:before="313" w:beforeLines="100" w:after="313" w:afterLines="100" w:line="579" w:lineRule="exact"/>
        <w:jc w:val="left"/>
        <w:textAlignment w:val="auto"/>
        <w:rPr>
          <w:rFonts w:hint="eastAsia" w:ascii="方正黑体_GBK" w:hAnsi="方正黑体_GBK" w:eastAsia="方正黑体_GBK" w:cs="方正黑体_GBK"/>
          <w:color w:val="auto"/>
          <w:sz w:val="32"/>
          <w:highlight w:val="none"/>
        </w:rPr>
      </w:pPr>
      <w:r>
        <w:rPr>
          <w:rFonts w:hint="eastAsia" w:ascii="方正黑体_GBK" w:hAnsi="方正黑体_GBK" w:eastAsia="方正黑体_GBK" w:cs="方正黑体_GBK"/>
          <w:color w:val="auto"/>
          <w:highlight w:val="none"/>
        </w:rPr>
        <w:fldChar w:fldCharType="begin"/>
      </w:r>
      <w:r>
        <w:rPr>
          <w:rFonts w:hint="eastAsia" w:ascii="方正黑体_GBK" w:hAnsi="方正黑体_GBK" w:eastAsia="方正黑体_GBK" w:cs="方正黑体_GBK"/>
          <w:color w:val="auto"/>
          <w:highlight w:val="none"/>
        </w:rPr>
        <w:instrText xml:space="preserve"> HYPERLINK \l "_Toc32531" </w:instrText>
      </w:r>
      <w:r>
        <w:rPr>
          <w:rFonts w:hint="eastAsia" w:ascii="方正黑体_GBK" w:hAnsi="方正黑体_GBK" w:eastAsia="方正黑体_GBK" w:cs="方正黑体_GBK"/>
          <w:color w:val="auto"/>
          <w:highlight w:val="none"/>
        </w:rPr>
        <w:fldChar w:fldCharType="separate"/>
      </w:r>
      <w:r>
        <w:rPr>
          <w:rFonts w:hint="eastAsia" w:ascii="方正黑体_GBK" w:hAnsi="方正黑体_GBK" w:eastAsia="方正黑体_GBK" w:cs="方正黑体_GBK"/>
          <w:color w:val="auto"/>
          <w:sz w:val="32"/>
          <w:highlight w:val="none"/>
        </w:rPr>
        <w:t>二、账号登录</w:t>
      </w:r>
      <w:r>
        <w:rPr>
          <w:rFonts w:hint="eastAsia" w:ascii="方正黑体_GBK" w:hAnsi="方正黑体_GBK" w:eastAsia="方正黑体_GBK" w:cs="方正黑体_GBK"/>
          <w:color w:val="auto"/>
          <w:sz w:val="32"/>
          <w:highlight w:val="none"/>
        </w:rPr>
        <w:tab/>
      </w:r>
      <w:r>
        <w:rPr>
          <w:rFonts w:hint="eastAsia" w:ascii="方正黑体_GBK" w:hAnsi="方正黑体_GBK" w:eastAsia="方正黑体_GBK" w:cs="方正黑体_GBK"/>
          <w:color w:val="auto"/>
          <w:sz w:val="32"/>
          <w:highlight w:val="none"/>
        </w:rPr>
        <w:fldChar w:fldCharType="begin"/>
      </w:r>
      <w:r>
        <w:rPr>
          <w:rFonts w:hint="eastAsia" w:ascii="方正黑体_GBK" w:hAnsi="方正黑体_GBK" w:eastAsia="方正黑体_GBK" w:cs="方正黑体_GBK"/>
          <w:color w:val="auto"/>
          <w:sz w:val="32"/>
          <w:highlight w:val="none"/>
        </w:rPr>
        <w:instrText xml:space="preserve"> PAGEREF _Toc32531 </w:instrText>
      </w:r>
      <w:r>
        <w:rPr>
          <w:rFonts w:hint="eastAsia" w:ascii="方正黑体_GBK" w:hAnsi="方正黑体_GBK" w:eastAsia="方正黑体_GBK" w:cs="方正黑体_GBK"/>
          <w:color w:val="auto"/>
          <w:sz w:val="32"/>
          <w:highlight w:val="none"/>
        </w:rPr>
        <w:fldChar w:fldCharType="separate"/>
      </w:r>
      <w:r>
        <w:rPr>
          <w:rFonts w:hint="eastAsia" w:ascii="方正黑体_GBK" w:hAnsi="方正黑体_GBK" w:eastAsia="方正黑体_GBK" w:cs="方正黑体_GBK"/>
          <w:color w:val="auto"/>
          <w:sz w:val="32"/>
          <w:highlight w:val="none"/>
        </w:rPr>
        <w:t>31</w:t>
      </w:r>
      <w:r>
        <w:rPr>
          <w:rFonts w:hint="eastAsia" w:ascii="方正黑体_GBK" w:hAnsi="方正黑体_GBK" w:eastAsia="方正黑体_GBK" w:cs="方正黑体_GBK"/>
          <w:color w:val="auto"/>
          <w:sz w:val="32"/>
          <w:highlight w:val="none"/>
        </w:rPr>
        <w:fldChar w:fldCharType="end"/>
      </w:r>
      <w:r>
        <w:rPr>
          <w:rFonts w:hint="eastAsia" w:ascii="方正黑体_GBK" w:hAnsi="方正黑体_GBK" w:eastAsia="方正黑体_GBK" w:cs="方正黑体_GBK"/>
          <w:color w:val="auto"/>
          <w:sz w:val="32"/>
          <w:highlight w:val="none"/>
        </w:rPr>
        <w:fldChar w:fldCharType="end"/>
      </w:r>
    </w:p>
    <w:p>
      <w:pPr>
        <w:pStyle w:val="18"/>
        <w:keepNext w:val="0"/>
        <w:keepLines w:val="0"/>
        <w:pageBreakBefore w:val="0"/>
        <w:widowControl w:val="0"/>
        <w:tabs>
          <w:tab w:val="right" w:leader="dot" w:pos="8640"/>
          <w:tab w:val="clear" w:pos="8380"/>
        </w:tabs>
        <w:wordWrap/>
        <w:topLinePunct w:val="0"/>
        <w:bidi w:val="0"/>
        <w:adjustRightInd/>
        <w:snapToGrid/>
        <w:spacing w:before="313" w:beforeLines="100" w:after="313" w:afterLines="100" w:line="579" w:lineRule="exact"/>
        <w:jc w:val="left"/>
        <w:textAlignment w:val="auto"/>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highlight w:val="none"/>
        </w:rPr>
        <w:fldChar w:fldCharType="begin"/>
      </w:r>
      <w:r>
        <w:rPr>
          <w:rFonts w:hint="eastAsia" w:ascii="方正黑体_GBK" w:hAnsi="方正黑体_GBK" w:eastAsia="方正黑体_GBK" w:cs="方正黑体_GBK"/>
          <w:color w:val="auto"/>
          <w:highlight w:val="none"/>
        </w:rPr>
        <w:instrText xml:space="preserve"> HYPERLINK \l "_Toc16830" </w:instrText>
      </w:r>
      <w:r>
        <w:rPr>
          <w:rFonts w:hint="eastAsia" w:ascii="方正黑体_GBK" w:hAnsi="方正黑体_GBK" w:eastAsia="方正黑体_GBK" w:cs="方正黑体_GBK"/>
          <w:color w:val="auto"/>
          <w:highlight w:val="none"/>
        </w:rPr>
        <w:fldChar w:fldCharType="separate"/>
      </w:r>
      <w:r>
        <w:rPr>
          <w:rFonts w:hint="eastAsia" w:ascii="方正黑体_GBK" w:hAnsi="方正黑体_GBK" w:eastAsia="方正黑体_GBK" w:cs="方正黑体_GBK"/>
          <w:color w:val="auto"/>
          <w:sz w:val="32"/>
          <w:highlight w:val="none"/>
        </w:rPr>
        <w:t>三、查找、申报项目</w:t>
      </w:r>
      <w:r>
        <w:rPr>
          <w:rFonts w:hint="eastAsia" w:ascii="方正黑体_GBK" w:hAnsi="方正黑体_GBK" w:eastAsia="方正黑体_GBK" w:cs="方正黑体_GBK"/>
          <w:color w:val="auto"/>
          <w:sz w:val="32"/>
          <w:highlight w:val="none"/>
        </w:rPr>
        <w:tab/>
      </w:r>
      <w:r>
        <w:rPr>
          <w:rFonts w:hint="eastAsia" w:ascii="方正黑体_GBK" w:hAnsi="方正黑体_GBK" w:eastAsia="方正黑体_GBK" w:cs="方正黑体_GBK"/>
          <w:color w:val="auto"/>
          <w:sz w:val="32"/>
          <w:highlight w:val="none"/>
        </w:rPr>
        <w:fldChar w:fldCharType="begin"/>
      </w:r>
      <w:r>
        <w:rPr>
          <w:rFonts w:hint="eastAsia" w:ascii="方正黑体_GBK" w:hAnsi="方正黑体_GBK" w:eastAsia="方正黑体_GBK" w:cs="方正黑体_GBK"/>
          <w:color w:val="auto"/>
          <w:sz w:val="32"/>
          <w:highlight w:val="none"/>
        </w:rPr>
        <w:instrText xml:space="preserve"> PAGEREF _Toc16830 </w:instrText>
      </w:r>
      <w:r>
        <w:rPr>
          <w:rFonts w:hint="eastAsia" w:ascii="方正黑体_GBK" w:hAnsi="方正黑体_GBK" w:eastAsia="方正黑体_GBK" w:cs="方正黑体_GBK"/>
          <w:color w:val="auto"/>
          <w:sz w:val="32"/>
          <w:highlight w:val="none"/>
        </w:rPr>
        <w:fldChar w:fldCharType="separate"/>
      </w:r>
      <w:r>
        <w:rPr>
          <w:rFonts w:hint="eastAsia" w:ascii="方正黑体_GBK" w:hAnsi="方正黑体_GBK" w:eastAsia="方正黑体_GBK" w:cs="方正黑体_GBK"/>
          <w:color w:val="auto"/>
          <w:sz w:val="32"/>
          <w:highlight w:val="none"/>
        </w:rPr>
        <w:t>32</w:t>
      </w:r>
      <w:r>
        <w:rPr>
          <w:rFonts w:hint="eastAsia" w:ascii="方正黑体_GBK" w:hAnsi="方正黑体_GBK" w:eastAsia="方正黑体_GBK" w:cs="方正黑体_GBK"/>
          <w:color w:val="auto"/>
          <w:sz w:val="32"/>
          <w:highlight w:val="none"/>
        </w:rPr>
        <w:fldChar w:fldCharType="end"/>
      </w:r>
      <w:r>
        <w:rPr>
          <w:rFonts w:hint="eastAsia" w:ascii="方正黑体_GBK" w:hAnsi="方正黑体_GBK" w:eastAsia="方正黑体_GBK" w:cs="方正黑体_GBK"/>
          <w:color w:val="auto"/>
          <w:sz w:val="32"/>
          <w:highlight w:val="none"/>
        </w:rPr>
        <w:fldChar w:fldCharType="end"/>
      </w:r>
    </w:p>
    <w:p>
      <w:pPr>
        <w:pStyle w:val="18"/>
        <w:keepNext w:val="0"/>
        <w:keepLines w:val="0"/>
        <w:pageBreakBefore w:val="0"/>
        <w:widowControl w:val="0"/>
        <w:tabs>
          <w:tab w:val="right" w:leader="dot" w:pos="8640"/>
          <w:tab w:val="clear" w:pos="8380"/>
        </w:tabs>
        <w:wordWrap/>
        <w:topLinePunct w:val="0"/>
        <w:bidi w:val="0"/>
        <w:adjustRightInd/>
        <w:snapToGrid/>
        <w:spacing w:before="313" w:beforeLines="100" w:after="313" w:afterLines="100" w:line="579" w:lineRule="exact"/>
        <w:jc w:val="left"/>
        <w:textAlignment w:val="auto"/>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highlight w:val="none"/>
        </w:rPr>
        <w:fldChar w:fldCharType="begin"/>
      </w:r>
      <w:r>
        <w:rPr>
          <w:rFonts w:hint="eastAsia" w:ascii="方正黑体_GBK" w:hAnsi="方正黑体_GBK" w:eastAsia="方正黑体_GBK" w:cs="方正黑体_GBK"/>
          <w:color w:val="auto"/>
          <w:highlight w:val="none"/>
        </w:rPr>
        <w:instrText xml:space="preserve"> HYPERLINK \l "_Toc31864" </w:instrText>
      </w:r>
      <w:r>
        <w:rPr>
          <w:rFonts w:hint="eastAsia" w:ascii="方正黑体_GBK" w:hAnsi="方正黑体_GBK" w:eastAsia="方正黑体_GBK" w:cs="方正黑体_GBK"/>
          <w:color w:val="auto"/>
          <w:highlight w:val="none"/>
        </w:rPr>
        <w:fldChar w:fldCharType="separate"/>
      </w:r>
      <w:r>
        <w:rPr>
          <w:rFonts w:hint="eastAsia" w:ascii="方正黑体_GBK" w:hAnsi="方正黑体_GBK" w:eastAsia="方正黑体_GBK" w:cs="方正黑体_GBK"/>
          <w:color w:val="auto"/>
          <w:sz w:val="32"/>
          <w:highlight w:val="none"/>
        </w:rPr>
        <w:t>四、项目进度查询</w:t>
      </w:r>
      <w:r>
        <w:rPr>
          <w:rFonts w:hint="eastAsia" w:ascii="方正黑体_GBK" w:hAnsi="方正黑体_GBK" w:eastAsia="方正黑体_GBK" w:cs="方正黑体_GBK"/>
          <w:color w:val="auto"/>
          <w:sz w:val="32"/>
          <w:highlight w:val="none"/>
        </w:rPr>
        <w:tab/>
      </w:r>
      <w:r>
        <w:rPr>
          <w:rFonts w:hint="eastAsia" w:ascii="方正黑体_GBK" w:hAnsi="方正黑体_GBK" w:eastAsia="方正黑体_GBK" w:cs="方正黑体_GBK"/>
          <w:color w:val="auto"/>
          <w:sz w:val="32"/>
          <w:highlight w:val="none"/>
        </w:rPr>
        <w:fldChar w:fldCharType="begin"/>
      </w:r>
      <w:r>
        <w:rPr>
          <w:rFonts w:hint="eastAsia" w:ascii="方正黑体_GBK" w:hAnsi="方正黑体_GBK" w:eastAsia="方正黑体_GBK" w:cs="方正黑体_GBK"/>
          <w:color w:val="auto"/>
          <w:sz w:val="32"/>
          <w:highlight w:val="none"/>
        </w:rPr>
        <w:instrText xml:space="preserve"> PAGEREF _Toc31864 </w:instrText>
      </w:r>
      <w:r>
        <w:rPr>
          <w:rFonts w:hint="eastAsia" w:ascii="方正黑体_GBK" w:hAnsi="方正黑体_GBK" w:eastAsia="方正黑体_GBK" w:cs="方正黑体_GBK"/>
          <w:color w:val="auto"/>
          <w:sz w:val="32"/>
          <w:highlight w:val="none"/>
        </w:rPr>
        <w:fldChar w:fldCharType="separate"/>
      </w:r>
      <w:r>
        <w:rPr>
          <w:rFonts w:hint="eastAsia" w:ascii="方正黑体_GBK" w:hAnsi="方正黑体_GBK" w:eastAsia="方正黑体_GBK" w:cs="方正黑体_GBK"/>
          <w:color w:val="auto"/>
          <w:sz w:val="32"/>
          <w:highlight w:val="none"/>
        </w:rPr>
        <w:t>34</w:t>
      </w:r>
      <w:r>
        <w:rPr>
          <w:rFonts w:hint="eastAsia" w:ascii="方正黑体_GBK" w:hAnsi="方正黑体_GBK" w:eastAsia="方正黑体_GBK" w:cs="方正黑体_GBK"/>
          <w:color w:val="auto"/>
          <w:sz w:val="32"/>
          <w:highlight w:val="none"/>
        </w:rPr>
        <w:fldChar w:fldCharType="end"/>
      </w:r>
      <w:r>
        <w:rPr>
          <w:rFonts w:hint="eastAsia" w:ascii="方正黑体_GBK" w:hAnsi="方正黑体_GBK" w:eastAsia="方正黑体_GBK" w:cs="方正黑体_GBK"/>
          <w:color w:val="auto"/>
          <w:sz w:val="32"/>
          <w:highlight w:val="none"/>
        </w:rPr>
        <w:fldChar w:fldCharType="end"/>
      </w:r>
    </w:p>
    <w:p>
      <w:pPr>
        <w:pStyle w:val="18"/>
        <w:keepNext w:val="0"/>
        <w:keepLines w:val="0"/>
        <w:pageBreakBefore w:val="0"/>
        <w:widowControl w:val="0"/>
        <w:tabs>
          <w:tab w:val="right" w:leader="dot" w:pos="8640"/>
          <w:tab w:val="clear" w:pos="8380"/>
        </w:tabs>
        <w:wordWrap/>
        <w:topLinePunct w:val="0"/>
        <w:bidi w:val="0"/>
        <w:adjustRightInd/>
        <w:snapToGrid/>
        <w:spacing w:before="313" w:beforeLines="100" w:after="313" w:afterLines="100" w:line="579" w:lineRule="exact"/>
        <w:jc w:val="left"/>
        <w:textAlignment w:val="auto"/>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highlight w:val="none"/>
        </w:rPr>
        <w:fldChar w:fldCharType="begin"/>
      </w:r>
      <w:r>
        <w:rPr>
          <w:rFonts w:hint="eastAsia" w:ascii="方正黑体_GBK" w:hAnsi="方正黑体_GBK" w:eastAsia="方正黑体_GBK" w:cs="方正黑体_GBK"/>
          <w:color w:val="auto"/>
          <w:highlight w:val="none"/>
        </w:rPr>
        <w:instrText xml:space="preserve"> HYPERLINK \l "_Toc28682" </w:instrText>
      </w:r>
      <w:r>
        <w:rPr>
          <w:rFonts w:hint="eastAsia" w:ascii="方正黑体_GBK" w:hAnsi="方正黑体_GBK" w:eastAsia="方正黑体_GBK" w:cs="方正黑体_GBK"/>
          <w:color w:val="auto"/>
          <w:highlight w:val="none"/>
        </w:rPr>
        <w:fldChar w:fldCharType="separate"/>
      </w:r>
      <w:r>
        <w:rPr>
          <w:rFonts w:hint="eastAsia" w:ascii="方正黑体_GBK" w:hAnsi="方正黑体_GBK" w:eastAsia="方正黑体_GBK" w:cs="方正黑体_GBK"/>
          <w:color w:val="auto"/>
          <w:sz w:val="32"/>
          <w:highlight w:val="none"/>
        </w:rPr>
        <w:t>五、下载打印</w:t>
      </w:r>
      <w:r>
        <w:rPr>
          <w:rFonts w:hint="eastAsia" w:ascii="方正黑体_GBK" w:hAnsi="方正黑体_GBK" w:eastAsia="方正黑体_GBK" w:cs="方正黑体_GBK"/>
          <w:color w:val="auto"/>
          <w:sz w:val="32"/>
          <w:highlight w:val="none"/>
        </w:rPr>
        <w:tab/>
      </w:r>
      <w:r>
        <w:rPr>
          <w:rFonts w:hint="eastAsia" w:ascii="方正黑体_GBK" w:hAnsi="方正黑体_GBK" w:eastAsia="方正黑体_GBK" w:cs="方正黑体_GBK"/>
          <w:color w:val="auto"/>
          <w:sz w:val="32"/>
          <w:highlight w:val="none"/>
        </w:rPr>
        <w:fldChar w:fldCharType="begin"/>
      </w:r>
      <w:r>
        <w:rPr>
          <w:rFonts w:hint="eastAsia" w:ascii="方正黑体_GBK" w:hAnsi="方正黑体_GBK" w:eastAsia="方正黑体_GBK" w:cs="方正黑体_GBK"/>
          <w:color w:val="auto"/>
          <w:sz w:val="32"/>
          <w:highlight w:val="none"/>
        </w:rPr>
        <w:instrText xml:space="preserve"> PAGEREF _Toc28682 </w:instrText>
      </w:r>
      <w:r>
        <w:rPr>
          <w:rFonts w:hint="eastAsia" w:ascii="方正黑体_GBK" w:hAnsi="方正黑体_GBK" w:eastAsia="方正黑体_GBK" w:cs="方正黑体_GBK"/>
          <w:color w:val="auto"/>
          <w:sz w:val="32"/>
          <w:highlight w:val="none"/>
        </w:rPr>
        <w:fldChar w:fldCharType="separate"/>
      </w:r>
      <w:r>
        <w:rPr>
          <w:rFonts w:hint="eastAsia" w:ascii="方正黑体_GBK" w:hAnsi="方正黑体_GBK" w:eastAsia="方正黑体_GBK" w:cs="方正黑体_GBK"/>
          <w:color w:val="auto"/>
          <w:sz w:val="32"/>
          <w:highlight w:val="none"/>
        </w:rPr>
        <w:t>35</w:t>
      </w:r>
      <w:r>
        <w:rPr>
          <w:rFonts w:hint="eastAsia" w:ascii="方正黑体_GBK" w:hAnsi="方正黑体_GBK" w:eastAsia="方正黑体_GBK" w:cs="方正黑体_GBK"/>
          <w:color w:val="auto"/>
          <w:sz w:val="32"/>
          <w:highlight w:val="none"/>
        </w:rPr>
        <w:fldChar w:fldCharType="end"/>
      </w:r>
      <w:r>
        <w:rPr>
          <w:rFonts w:hint="eastAsia" w:ascii="方正黑体_GBK" w:hAnsi="方正黑体_GBK" w:eastAsia="方正黑体_GBK" w:cs="方正黑体_GBK"/>
          <w:color w:val="auto"/>
          <w:sz w:val="32"/>
          <w:highlight w:val="none"/>
        </w:rPr>
        <w:fldChar w:fldCharType="end"/>
      </w:r>
    </w:p>
    <w:p>
      <w:pPr>
        <w:pStyle w:val="18"/>
        <w:keepNext w:val="0"/>
        <w:keepLines w:val="0"/>
        <w:pageBreakBefore w:val="0"/>
        <w:widowControl w:val="0"/>
        <w:tabs>
          <w:tab w:val="right" w:leader="dot" w:pos="8640"/>
          <w:tab w:val="clear" w:pos="8380"/>
        </w:tabs>
        <w:wordWrap/>
        <w:topLinePunct w:val="0"/>
        <w:bidi w:val="0"/>
        <w:adjustRightInd/>
        <w:snapToGrid/>
        <w:spacing w:before="313" w:beforeLines="100" w:after="313" w:afterLines="100" w:line="579" w:lineRule="exact"/>
        <w:jc w:val="left"/>
        <w:textAlignment w:val="auto"/>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highlight w:val="none"/>
        </w:rPr>
        <w:fldChar w:fldCharType="begin"/>
      </w:r>
      <w:r>
        <w:rPr>
          <w:rFonts w:hint="eastAsia" w:ascii="方正黑体_GBK" w:hAnsi="方正黑体_GBK" w:eastAsia="方正黑体_GBK" w:cs="方正黑体_GBK"/>
          <w:color w:val="auto"/>
          <w:highlight w:val="none"/>
        </w:rPr>
        <w:instrText xml:space="preserve"> HYPERLINK \l "_Toc26177" </w:instrText>
      </w:r>
      <w:r>
        <w:rPr>
          <w:rFonts w:hint="eastAsia" w:ascii="方正黑体_GBK" w:hAnsi="方正黑体_GBK" w:eastAsia="方正黑体_GBK" w:cs="方正黑体_GBK"/>
          <w:color w:val="auto"/>
          <w:highlight w:val="none"/>
        </w:rPr>
        <w:fldChar w:fldCharType="separate"/>
      </w:r>
      <w:r>
        <w:rPr>
          <w:rFonts w:hint="eastAsia" w:ascii="方正黑体_GBK" w:hAnsi="方正黑体_GBK" w:eastAsia="方正黑体_GBK" w:cs="方正黑体_GBK"/>
          <w:color w:val="auto"/>
          <w:sz w:val="32"/>
          <w:highlight w:val="none"/>
        </w:rPr>
        <w:t>六、项目退回修改</w:t>
      </w:r>
      <w:r>
        <w:rPr>
          <w:rFonts w:hint="eastAsia" w:ascii="方正黑体_GBK" w:hAnsi="方正黑体_GBK" w:eastAsia="方正黑体_GBK" w:cs="方正黑体_GBK"/>
          <w:color w:val="auto"/>
          <w:sz w:val="32"/>
          <w:highlight w:val="none"/>
        </w:rPr>
        <w:tab/>
      </w:r>
      <w:r>
        <w:rPr>
          <w:rFonts w:hint="eastAsia" w:ascii="方正黑体_GBK" w:hAnsi="方正黑体_GBK" w:eastAsia="方正黑体_GBK" w:cs="方正黑体_GBK"/>
          <w:color w:val="auto"/>
          <w:sz w:val="32"/>
          <w:highlight w:val="none"/>
        </w:rPr>
        <w:fldChar w:fldCharType="begin"/>
      </w:r>
      <w:r>
        <w:rPr>
          <w:rFonts w:hint="eastAsia" w:ascii="方正黑体_GBK" w:hAnsi="方正黑体_GBK" w:eastAsia="方正黑体_GBK" w:cs="方正黑体_GBK"/>
          <w:color w:val="auto"/>
          <w:sz w:val="32"/>
          <w:highlight w:val="none"/>
        </w:rPr>
        <w:instrText xml:space="preserve"> PAGEREF _Toc26177 </w:instrText>
      </w:r>
      <w:r>
        <w:rPr>
          <w:rFonts w:hint="eastAsia" w:ascii="方正黑体_GBK" w:hAnsi="方正黑体_GBK" w:eastAsia="方正黑体_GBK" w:cs="方正黑体_GBK"/>
          <w:color w:val="auto"/>
          <w:sz w:val="32"/>
          <w:highlight w:val="none"/>
        </w:rPr>
        <w:fldChar w:fldCharType="separate"/>
      </w:r>
      <w:r>
        <w:rPr>
          <w:rFonts w:hint="eastAsia" w:ascii="方正黑体_GBK" w:hAnsi="方正黑体_GBK" w:eastAsia="方正黑体_GBK" w:cs="方正黑体_GBK"/>
          <w:color w:val="auto"/>
          <w:sz w:val="32"/>
          <w:highlight w:val="none"/>
        </w:rPr>
        <w:t>36</w:t>
      </w:r>
      <w:r>
        <w:rPr>
          <w:rFonts w:hint="eastAsia" w:ascii="方正黑体_GBK" w:hAnsi="方正黑体_GBK" w:eastAsia="方正黑体_GBK" w:cs="方正黑体_GBK"/>
          <w:color w:val="auto"/>
          <w:sz w:val="32"/>
          <w:highlight w:val="none"/>
        </w:rPr>
        <w:fldChar w:fldCharType="end"/>
      </w:r>
      <w:r>
        <w:rPr>
          <w:rFonts w:hint="eastAsia" w:ascii="方正黑体_GBK" w:hAnsi="方正黑体_GBK" w:eastAsia="方正黑体_GBK" w:cs="方正黑体_GBK"/>
          <w:color w:val="auto"/>
          <w:sz w:val="32"/>
          <w:highlight w:val="none"/>
        </w:rPr>
        <w:fldChar w:fldCharType="end"/>
      </w:r>
    </w:p>
    <w:p>
      <w:pPr>
        <w:keepNext w:val="0"/>
        <w:keepLines w:val="0"/>
        <w:pageBreakBefore w:val="0"/>
        <w:widowControl w:val="0"/>
        <w:kinsoku w:val="0"/>
        <w:wordWrap/>
        <w:overflowPunct w:val="0"/>
        <w:topLinePunct w:val="0"/>
        <w:autoSpaceDE w:val="0"/>
        <w:autoSpaceDN w:val="0"/>
        <w:bidi w:val="0"/>
        <w:adjustRightInd/>
        <w:snapToGrid/>
        <w:spacing w:before="313" w:beforeLines="100" w:after="313" w:afterLines="100" w:line="579" w:lineRule="exact"/>
        <w:ind w:right="105" w:rightChars="50"/>
        <w:jc w:val="left"/>
        <w:textAlignment w:val="auto"/>
        <w:rPr>
          <w:rFonts w:ascii="微软雅黑" w:hAnsi="微软雅黑" w:eastAsia="微软雅黑"/>
          <w:color w:val="auto"/>
          <w:szCs w:val="21"/>
          <w:highlight w:val="none"/>
        </w:rPr>
        <w:sectPr>
          <w:headerReference r:id="rId6" w:type="default"/>
          <w:footerReference r:id="rId7" w:type="default"/>
          <w:pgSz w:w="11850" w:h="16840"/>
          <w:pgMar w:top="567" w:right="1134" w:bottom="567" w:left="1134" w:header="851" w:footer="510" w:gutter="0"/>
          <w:pgNumType w:fmt="decimal"/>
          <w:cols w:space="720" w:num="1"/>
          <w:rtlGutter w:val="0"/>
          <w:docGrid w:type="lines" w:linePitch="312" w:charSpace="0"/>
        </w:sectPr>
      </w:pPr>
      <w:r>
        <w:rPr>
          <w:rFonts w:hint="eastAsia" w:ascii="方正黑体_GBK" w:hAnsi="方正黑体_GBK" w:eastAsia="方正黑体_GBK" w:cs="方正黑体_GBK"/>
          <w:color w:val="auto"/>
          <w:sz w:val="32"/>
          <w:szCs w:val="32"/>
          <w:highlight w:val="none"/>
        </w:rPr>
        <w:fldChar w:fldCharType="end"/>
      </w:r>
    </w:p>
    <w:p>
      <w:pPr>
        <w:pStyle w:val="2"/>
        <w:pageBreakBefore w:val="0"/>
        <w:widowControl w:val="0"/>
        <w:numPr>
          <w:ilvl w:val="0"/>
          <w:numId w:val="3"/>
        </w:numPr>
        <w:kinsoku/>
        <w:wordWrap/>
        <w:overflowPunct/>
        <w:topLinePunct w:val="0"/>
        <w:autoSpaceDE/>
        <w:autoSpaceDN/>
        <w:bidi w:val="0"/>
        <w:adjustRightInd/>
        <w:snapToGrid/>
        <w:spacing w:line="579" w:lineRule="exact"/>
        <w:ind w:firstLine="0"/>
        <w:textAlignment w:val="auto"/>
        <w:rPr>
          <w:b w:val="0"/>
          <w:bCs/>
          <w:color w:val="auto"/>
          <w:sz w:val="32"/>
          <w:szCs w:val="32"/>
          <w:highlight w:val="none"/>
        </w:rPr>
      </w:pPr>
      <w:bookmarkStart w:id="0" w:name="_Toc27185"/>
      <w:r>
        <w:rPr>
          <w:rFonts w:hint="eastAsia"/>
          <w:b w:val="0"/>
          <w:bCs/>
          <w:color w:val="auto"/>
          <w:sz w:val="32"/>
          <w:szCs w:val="32"/>
          <w:highlight w:val="none"/>
        </w:rPr>
        <w:t>账号注册</w:t>
      </w:r>
      <w:bookmarkEnd w:id="0"/>
    </w:p>
    <w:p>
      <w:pPr>
        <w:pageBreakBefore w:val="0"/>
        <w:widowControl w:val="0"/>
        <w:numPr>
          <w:ilvl w:val="0"/>
          <w:numId w:val="4"/>
        </w:numPr>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点击首页右上方“登录”，选择登录方式；</w:t>
      </w:r>
    </w:p>
    <w:p>
      <w:pPr>
        <w:spacing w:line="360" w:lineRule="auto"/>
        <w:rPr>
          <w:color w:val="auto"/>
          <w:highlight w:val="none"/>
        </w:rPr>
      </w:pPr>
      <w:r>
        <w:rPr>
          <w:color w:val="auto"/>
          <w:highlight w:val="none"/>
        </w:rPr>
        <w:drawing>
          <wp:inline distT="0" distB="0" distL="114300" distR="114300">
            <wp:extent cx="5400040" cy="2663825"/>
            <wp:effectExtent l="0" t="0" r="10160" b="3175"/>
            <wp:docPr id="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pic:cNvPicPr>
                      <a:picLocks noChangeAspect="1"/>
                    </pic:cNvPicPr>
                  </pic:nvPicPr>
                  <pic:blipFill>
                    <a:blip r:embed="rId11"/>
                    <a:stretch>
                      <a:fillRect/>
                    </a:stretch>
                  </pic:blipFill>
                  <pic:spPr>
                    <a:xfrm>
                      <a:off x="0" y="0"/>
                      <a:ext cx="5400040" cy="2663825"/>
                    </a:xfrm>
                    <a:prstGeom prst="rect">
                      <a:avLst/>
                    </a:prstGeom>
                    <a:noFill/>
                    <a:ln>
                      <a:noFill/>
                    </a:ln>
                  </pic:spPr>
                </pic:pic>
              </a:graphicData>
            </a:graphic>
          </wp:inline>
        </w:drawing>
      </w:r>
    </w:p>
    <w:p>
      <w:pPr>
        <w:numPr>
          <w:ilvl w:val="0"/>
          <w:numId w:val="4"/>
        </w:numPr>
        <w:spacing w:line="360" w:lineRule="auto"/>
        <w:ind w:firstLine="640" w:firstLineChars="200"/>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页面跳转至“广东省统一身份认证平台登录/注册”；</w:t>
      </w:r>
    </w:p>
    <w:p>
      <w:pPr>
        <w:spacing w:line="360" w:lineRule="auto"/>
        <w:jc w:val="both"/>
        <w:rPr>
          <w:rFonts w:ascii="宋体" w:hAnsi="宋体" w:eastAsia="宋体" w:cs="宋体"/>
          <w:color w:val="auto"/>
          <w:sz w:val="24"/>
          <w:highlight w:val="none"/>
        </w:rPr>
      </w:pPr>
      <w:r>
        <w:rPr>
          <w:color w:val="auto"/>
          <w:highlight w:val="none"/>
        </w:rPr>
        <w:drawing>
          <wp:inline distT="0" distB="0" distL="114300" distR="114300">
            <wp:extent cx="5400040" cy="2649220"/>
            <wp:effectExtent l="0" t="0" r="10160" b="17780"/>
            <wp:docPr id="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6"/>
                    <pic:cNvPicPr>
                      <a:picLocks noChangeAspect="1"/>
                    </pic:cNvPicPr>
                  </pic:nvPicPr>
                  <pic:blipFill>
                    <a:blip r:embed="rId12"/>
                    <a:stretch>
                      <a:fillRect/>
                    </a:stretch>
                  </pic:blipFill>
                  <pic:spPr>
                    <a:xfrm>
                      <a:off x="0" y="0"/>
                      <a:ext cx="5400040" cy="2649220"/>
                    </a:xfrm>
                    <a:prstGeom prst="rect">
                      <a:avLst/>
                    </a:prstGeom>
                    <a:noFill/>
                    <a:ln>
                      <a:noFill/>
                    </a:ln>
                  </pic:spPr>
                </pic:pic>
              </a:graphicData>
            </a:graphic>
          </wp:inline>
        </w:drawing>
      </w:r>
    </w:p>
    <w:p>
      <w:pPr>
        <w:spacing w:line="360" w:lineRule="auto"/>
        <w:rPr>
          <w:rFonts w:hint="eastAsia" w:ascii="华文仿宋" w:hAnsi="华文仿宋" w:eastAsia="华文仿宋" w:cs="华文仿宋"/>
          <w:color w:val="auto"/>
          <w:sz w:val="32"/>
          <w:szCs w:val="32"/>
          <w:highlight w:val="none"/>
        </w:rPr>
      </w:pPr>
      <w:r>
        <w:rPr>
          <w:rFonts w:ascii="宋体" w:hAnsi="宋体" w:eastAsia="宋体" w:cs="宋体"/>
          <w:color w:val="auto"/>
          <w:sz w:val="24"/>
          <w:highlight w:val="none"/>
        </w:rPr>
        <w:br w:type="column"/>
      </w:r>
      <w:r>
        <w:rPr>
          <w:rFonts w:hint="eastAsia" w:ascii="华文仿宋" w:hAnsi="华文仿宋" w:eastAsia="华文仿宋" w:cs="华文仿宋"/>
          <w:color w:val="auto"/>
          <w:sz w:val="32"/>
          <w:szCs w:val="32"/>
          <w:highlight w:val="none"/>
        </w:rPr>
        <w:t>点击“立即注册”，开始注册；</w:t>
      </w:r>
    </w:p>
    <w:p>
      <w:pPr>
        <w:spacing w:line="360" w:lineRule="auto"/>
        <w:jc w:val="both"/>
        <w:rPr>
          <w:rFonts w:ascii="宋体" w:hAnsi="宋体" w:eastAsia="宋体" w:cs="宋体"/>
          <w:color w:val="auto"/>
          <w:highlight w:val="none"/>
        </w:rPr>
      </w:pPr>
      <w:r>
        <w:rPr>
          <w:color w:val="auto"/>
          <w:highlight w:val="none"/>
        </w:rPr>
        <w:drawing>
          <wp:inline distT="0" distB="0" distL="114300" distR="114300">
            <wp:extent cx="5400040" cy="2537460"/>
            <wp:effectExtent l="0" t="0" r="10160" b="15240"/>
            <wp:docPr id="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7"/>
                    <pic:cNvPicPr>
                      <a:picLocks noChangeAspect="1"/>
                    </pic:cNvPicPr>
                  </pic:nvPicPr>
                  <pic:blipFill>
                    <a:blip r:embed="rId13"/>
                    <a:stretch>
                      <a:fillRect/>
                    </a:stretch>
                  </pic:blipFill>
                  <pic:spPr>
                    <a:xfrm>
                      <a:off x="0" y="0"/>
                      <a:ext cx="5400040" cy="2537460"/>
                    </a:xfrm>
                    <a:prstGeom prst="rect">
                      <a:avLst/>
                    </a:prstGeom>
                    <a:noFill/>
                    <a:ln>
                      <a:noFill/>
                    </a:ln>
                  </pic:spPr>
                </pic:pic>
              </a:graphicData>
            </a:graphic>
          </wp:inline>
        </w:drawing>
      </w:r>
    </w:p>
    <w:p>
      <w:pPr>
        <w:keepNext w:val="0"/>
        <w:keepLines w:val="0"/>
        <w:pageBreakBefore w:val="0"/>
        <w:widowControl w:val="0"/>
        <w:numPr>
          <w:ilvl w:val="0"/>
          <w:numId w:val="4"/>
        </w:numPr>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选择注册方式；</w:t>
      </w:r>
      <w:r>
        <w:rPr>
          <w:rFonts w:hint="eastAsia" w:ascii="华文仿宋" w:hAnsi="华文仿宋" w:eastAsia="华文仿宋" w:cs="华文仿宋"/>
          <w:b/>
          <w:bCs/>
          <w:color w:val="auto"/>
          <w:sz w:val="32"/>
          <w:szCs w:val="32"/>
          <w:highlight w:val="none"/>
        </w:rPr>
        <w:t>若注册单位账号请点击法人注册</w:t>
      </w:r>
      <w:r>
        <w:rPr>
          <w:rFonts w:hint="eastAsia" w:ascii="华文仿宋" w:hAnsi="华文仿宋" w:eastAsia="华文仿宋" w:cs="华文仿宋"/>
          <w:color w:val="auto"/>
          <w:sz w:val="32"/>
          <w:szCs w:val="32"/>
          <w:highlight w:val="none"/>
        </w:rPr>
        <w:t>；（法人注册最后扫码环节可由经办人扫码，第二步实名核验可跳过）</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华文仿宋" w:hAnsi="华文仿宋" w:eastAsia="华文仿宋" w:cs="华文仿宋"/>
          <w:b/>
          <w:bCs/>
          <w:color w:val="auto"/>
          <w:sz w:val="32"/>
          <w:szCs w:val="32"/>
          <w:highlight w:val="none"/>
          <w:lang w:val="en-US" w:eastAsia="zh-CN"/>
        </w:rPr>
      </w:pPr>
      <w:r>
        <w:rPr>
          <w:rFonts w:hint="eastAsia" w:ascii="华文仿宋" w:hAnsi="华文仿宋" w:eastAsia="华文仿宋" w:cs="华文仿宋"/>
          <w:b/>
          <w:bCs/>
          <w:color w:val="auto"/>
          <w:sz w:val="32"/>
          <w:szCs w:val="32"/>
          <w:highlight w:val="none"/>
          <w:lang w:val="en-US" w:eastAsia="zh-CN"/>
        </w:rPr>
        <w:t>如已有单位账号，可以在省统一身份认证平台上用单位账号绑定对应的个人账号作为单位经办人。</w:t>
      </w:r>
    </w:p>
    <w:p>
      <w:pPr>
        <w:spacing w:line="360" w:lineRule="auto"/>
        <w:rPr>
          <w:color w:val="auto"/>
          <w:highlight w:val="none"/>
        </w:rPr>
      </w:pPr>
      <w:r>
        <w:rPr>
          <w:color w:val="auto"/>
          <w:highlight w:val="none"/>
        </w:rPr>
        <w:drawing>
          <wp:inline distT="0" distB="0" distL="114300" distR="114300">
            <wp:extent cx="5400040" cy="3037840"/>
            <wp:effectExtent l="0" t="0" r="10160" b="10160"/>
            <wp:docPr id="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8"/>
                    <pic:cNvPicPr>
                      <a:picLocks noChangeAspect="1"/>
                    </pic:cNvPicPr>
                  </pic:nvPicPr>
                  <pic:blipFill>
                    <a:blip r:embed="rId14"/>
                    <a:stretch>
                      <a:fillRect/>
                    </a:stretch>
                  </pic:blipFill>
                  <pic:spPr>
                    <a:xfrm>
                      <a:off x="0" y="0"/>
                      <a:ext cx="5400040" cy="3037840"/>
                    </a:xfrm>
                    <a:prstGeom prst="rect">
                      <a:avLst/>
                    </a:prstGeom>
                    <a:noFill/>
                    <a:ln>
                      <a:noFill/>
                    </a:ln>
                  </pic:spPr>
                </pic:pic>
              </a:graphicData>
            </a:graphic>
          </wp:inline>
        </w:drawing>
      </w:r>
    </w:p>
    <w:p>
      <w:pPr>
        <w:pStyle w:val="2"/>
        <w:pageBreakBefore w:val="0"/>
        <w:widowControl w:val="0"/>
        <w:numPr>
          <w:ilvl w:val="0"/>
          <w:numId w:val="5"/>
        </w:numPr>
        <w:kinsoku/>
        <w:wordWrap/>
        <w:overflowPunct/>
        <w:topLinePunct w:val="0"/>
        <w:autoSpaceDE/>
        <w:autoSpaceDN/>
        <w:bidi w:val="0"/>
        <w:adjustRightInd/>
        <w:snapToGrid/>
        <w:spacing w:line="579" w:lineRule="exact"/>
        <w:textAlignment w:val="auto"/>
        <w:rPr>
          <w:rFonts w:hint="eastAsia" w:ascii="方正黑体_GBK" w:hAnsi="方正黑体_GBK" w:eastAsia="方正黑体_GBK" w:cs="方正黑体_GBK"/>
          <w:b w:val="0"/>
          <w:bCs/>
          <w:color w:val="auto"/>
          <w:sz w:val="32"/>
          <w:szCs w:val="32"/>
          <w:highlight w:val="none"/>
        </w:rPr>
      </w:pPr>
      <w:bookmarkStart w:id="1" w:name="_Toc32531"/>
      <w:r>
        <w:rPr>
          <w:rFonts w:hint="eastAsia" w:ascii="方正黑体_GBK" w:hAnsi="方正黑体_GBK" w:eastAsia="方正黑体_GBK" w:cs="方正黑体_GBK"/>
          <w:b w:val="0"/>
          <w:bCs/>
          <w:color w:val="auto"/>
          <w:sz w:val="32"/>
          <w:szCs w:val="32"/>
          <w:highlight w:val="none"/>
        </w:rPr>
        <w:t>账号登录</w:t>
      </w:r>
      <w:bookmarkEnd w:id="1"/>
    </w:p>
    <w:p>
      <w:pPr>
        <w:pageBreakBefore w:val="0"/>
        <w:widowControl w:val="0"/>
        <w:numPr>
          <w:ilvl w:val="0"/>
          <w:numId w:val="6"/>
        </w:numPr>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点击首页右上方“登录”，请选择您的身份；</w:t>
      </w:r>
    </w:p>
    <w:p>
      <w:pPr>
        <w:spacing w:line="360" w:lineRule="auto"/>
        <w:rPr>
          <w:color w:val="auto"/>
          <w:highlight w:val="none"/>
        </w:rPr>
      </w:pPr>
      <w:r>
        <w:rPr>
          <w:color w:val="auto"/>
          <w:highlight w:val="none"/>
        </w:rPr>
        <w:drawing>
          <wp:inline distT="0" distB="0" distL="114300" distR="114300">
            <wp:extent cx="5400040" cy="2663825"/>
            <wp:effectExtent l="0" t="0" r="10160" b="3175"/>
            <wp:docPr id="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9"/>
                    <pic:cNvPicPr>
                      <a:picLocks noChangeAspect="1"/>
                    </pic:cNvPicPr>
                  </pic:nvPicPr>
                  <pic:blipFill>
                    <a:blip r:embed="rId11"/>
                    <a:stretch>
                      <a:fillRect/>
                    </a:stretch>
                  </pic:blipFill>
                  <pic:spPr>
                    <a:xfrm>
                      <a:off x="0" y="0"/>
                      <a:ext cx="5400040" cy="2663825"/>
                    </a:xfrm>
                    <a:prstGeom prst="rect">
                      <a:avLst/>
                    </a:prstGeom>
                    <a:noFill/>
                    <a:ln>
                      <a:noFill/>
                    </a:ln>
                  </pic:spPr>
                </pic:pic>
              </a:graphicData>
            </a:graphic>
          </wp:inline>
        </w:drawing>
      </w:r>
    </w:p>
    <w:p>
      <w:pPr>
        <w:keepNext w:val="0"/>
        <w:keepLines w:val="0"/>
        <w:pageBreakBefore w:val="0"/>
        <w:widowControl w:val="0"/>
        <w:numPr>
          <w:ilvl w:val="0"/>
          <w:numId w:val="6"/>
        </w:numPr>
        <w:kinsoku/>
        <w:wordWrap/>
        <w:overflowPunct/>
        <w:topLinePunct w:val="0"/>
        <w:autoSpaceDE/>
        <w:autoSpaceDN/>
        <w:bidi w:val="0"/>
        <w:adjustRightInd/>
        <w:snapToGrid/>
        <w:spacing w:line="579" w:lineRule="exact"/>
        <w:ind w:firstLine="640" w:firstLineChars="200"/>
        <w:textAlignment w:val="auto"/>
        <w:rPr>
          <w:rFonts w:ascii="宋体" w:hAnsi="宋体" w:eastAsia="宋体" w:cs="宋体"/>
          <w:color w:val="auto"/>
          <w:sz w:val="24"/>
          <w:highlight w:val="none"/>
        </w:rPr>
      </w:pPr>
      <w:r>
        <w:rPr>
          <w:rFonts w:hint="eastAsia" w:ascii="华文仿宋" w:hAnsi="华文仿宋" w:eastAsia="华文仿宋" w:cs="华文仿宋"/>
          <w:color w:val="auto"/>
          <w:sz w:val="32"/>
          <w:szCs w:val="32"/>
          <w:highlight w:val="none"/>
        </w:rPr>
        <w:t>进入广东省统一身份认证平台后，可选择扫码或账号密码，进行登录。</w:t>
      </w:r>
    </w:p>
    <w:p>
      <w:pPr>
        <w:spacing w:line="360" w:lineRule="auto"/>
        <w:rPr>
          <w:rFonts w:ascii="宋体" w:hAnsi="宋体" w:eastAsia="宋体" w:cs="宋体"/>
          <w:color w:val="auto"/>
          <w:highlight w:val="none"/>
        </w:rPr>
      </w:pPr>
      <w:r>
        <w:rPr>
          <w:color w:val="auto"/>
          <w:highlight w:val="none"/>
        </w:rPr>
        <w:drawing>
          <wp:inline distT="0" distB="0" distL="114300" distR="114300">
            <wp:extent cx="5400040" cy="2550795"/>
            <wp:effectExtent l="0" t="0" r="10160" b="1905"/>
            <wp:docPr id="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0"/>
                    <pic:cNvPicPr>
                      <a:picLocks noChangeAspect="1"/>
                    </pic:cNvPicPr>
                  </pic:nvPicPr>
                  <pic:blipFill>
                    <a:blip r:embed="rId15"/>
                    <a:stretch>
                      <a:fillRect/>
                    </a:stretch>
                  </pic:blipFill>
                  <pic:spPr>
                    <a:xfrm>
                      <a:off x="0" y="0"/>
                      <a:ext cx="5400040" cy="2550795"/>
                    </a:xfrm>
                    <a:prstGeom prst="rect">
                      <a:avLst/>
                    </a:prstGeom>
                    <a:noFill/>
                    <a:ln>
                      <a:noFill/>
                    </a:ln>
                  </pic:spPr>
                </pic:pic>
              </a:graphicData>
            </a:graphic>
          </wp:inline>
        </w:drawing>
      </w:r>
    </w:p>
    <w:p>
      <w:pPr>
        <w:spacing w:line="579" w:lineRule="exact"/>
        <w:rPr>
          <w:rFonts w:hint="eastAsia" w:ascii="方正黑体_GBK" w:hAnsi="方正黑体_GBK" w:eastAsia="方正黑体_GBK" w:cs="方正黑体_GBK"/>
          <w:b w:val="0"/>
          <w:bCs/>
          <w:color w:val="auto"/>
          <w:sz w:val="32"/>
          <w:szCs w:val="32"/>
          <w:highlight w:val="none"/>
        </w:rPr>
      </w:pPr>
      <w:r>
        <w:rPr>
          <w:rFonts w:ascii="宋体" w:hAnsi="宋体" w:eastAsia="宋体" w:cs="宋体"/>
          <w:color w:val="auto"/>
          <w:highlight w:val="none"/>
        </w:rPr>
        <w:br w:type="column"/>
      </w:r>
      <w:bookmarkStart w:id="2" w:name="_Toc16830"/>
      <w:r>
        <w:rPr>
          <w:rFonts w:hint="eastAsia" w:ascii="方正黑体_GBK" w:hAnsi="方正黑体_GBK" w:eastAsia="方正黑体_GBK" w:cs="方正黑体_GBK"/>
          <w:b w:val="0"/>
          <w:bCs/>
          <w:color w:val="auto"/>
          <w:sz w:val="32"/>
          <w:szCs w:val="32"/>
          <w:highlight w:val="none"/>
          <w:lang w:eastAsia="zh-CN"/>
        </w:rPr>
        <w:t>三、</w:t>
      </w:r>
      <w:r>
        <w:rPr>
          <w:rFonts w:hint="eastAsia" w:ascii="方正黑体_GBK" w:hAnsi="方正黑体_GBK" w:eastAsia="方正黑体_GBK" w:cs="方正黑体_GBK"/>
          <w:b w:val="0"/>
          <w:bCs/>
          <w:color w:val="auto"/>
          <w:sz w:val="32"/>
          <w:szCs w:val="32"/>
          <w:highlight w:val="none"/>
        </w:rPr>
        <w:t>查找、申报项目</w:t>
      </w:r>
      <w:bookmarkEnd w:id="2"/>
    </w:p>
    <w:p>
      <w:pPr>
        <w:pageBreakBefore w:val="0"/>
        <w:widowControl w:val="0"/>
        <w:numPr>
          <w:ilvl w:val="0"/>
          <w:numId w:val="7"/>
        </w:numPr>
        <w:kinsoku/>
        <w:wordWrap/>
        <w:overflowPunct/>
        <w:topLinePunct w:val="0"/>
        <w:autoSpaceDE/>
        <w:autoSpaceDN/>
        <w:bidi w:val="0"/>
        <w:adjustRightInd/>
        <w:snapToGrid/>
        <w:spacing w:line="579" w:lineRule="exact"/>
        <w:ind w:firstLine="425"/>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查找项目；</w:t>
      </w:r>
    </w:p>
    <w:p>
      <w:pPr>
        <w:pageBreakBefore w:val="0"/>
        <w:widowControl w:val="0"/>
        <w:numPr>
          <w:ilvl w:val="0"/>
          <w:numId w:val="8"/>
        </w:numPr>
        <w:kinsoku/>
        <w:wordWrap/>
        <w:overflowPunct/>
        <w:topLinePunct w:val="0"/>
        <w:autoSpaceDE/>
        <w:autoSpaceDN/>
        <w:bidi w:val="0"/>
        <w:adjustRightInd/>
        <w:snapToGrid/>
        <w:spacing w:line="579" w:lineRule="exact"/>
        <w:ind w:left="0" w:firstLine="425"/>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方法</w:t>
      </w:r>
      <w:r>
        <w:rPr>
          <w:rFonts w:hint="eastAsia" w:ascii="华文仿宋" w:hAnsi="华文仿宋" w:eastAsia="华文仿宋" w:cs="华文仿宋"/>
          <w:color w:val="auto"/>
          <w:sz w:val="32"/>
          <w:szCs w:val="32"/>
          <w:highlight w:val="none"/>
          <w:lang w:eastAsia="zh-CN"/>
        </w:rPr>
        <w:t>一</w:t>
      </w:r>
      <w:r>
        <w:rPr>
          <w:rFonts w:hint="eastAsia" w:ascii="华文仿宋" w:hAnsi="华文仿宋" w:eastAsia="华文仿宋" w:cs="华文仿宋"/>
          <w:color w:val="auto"/>
          <w:sz w:val="32"/>
          <w:szCs w:val="32"/>
          <w:highlight w:val="none"/>
        </w:rPr>
        <w:t>：在“搜索框”内输入关键字进行搜索；</w:t>
      </w:r>
    </w:p>
    <w:p>
      <w:pPr>
        <w:spacing w:line="360" w:lineRule="auto"/>
        <w:rPr>
          <w:color w:val="auto"/>
          <w:highlight w:val="none"/>
        </w:rPr>
      </w:pPr>
      <w:r>
        <w:rPr>
          <w:color w:val="auto"/>
          <w:highlight w:val="none"/>
        </w:rPr>
        <w:drawing>
          <wp:inline distT="0" distB="0" distL="114300" distR="114300">
            <wp:extent cx="5400040" cy="2611755"/>
            <wp:effectExtent l="0" t="0" r="10160" b="17145"/>
            <wp:docPr id="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1"/>
                    <pic:cNvPicPr>
                      <a:picLocks noChangeAspect="1"/>
                    </pic:cNvPicPr>
                  </pic:nvPicPr>
                  <pic:blipFill>
                    <a:blip r:embed="rId16"/>
                    <a:stretch>
                      <a:fillRect/>
                    </a:stretch>
                  </pic:blipFill>
                  <pic:spPr>
                    <a:xfrm>
                      <a:off x="0" y="0"/>
                      <a:ext cx="5400040" cy="26117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79" w:lineRule="exact"/>
        <w:ind w:firstLine="320" w:firstLineChars="1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2）方法二：点击“项目申报”，进行条件筛选；</w:t>
      </w:r>
    </w:p>
    <w:p>
      <w:pPr>
        <w:spacing w:line="360" w:lineRule="auto"/>
        <w:rPr>
          <w:color w:val="auto"/>
          <w:highlight w:val="none"/>
        </w:rPr>
      </w:pPr>
      <w:r>
        <w:rPr>
          <w:color w:val="auto"/>
          <w:highlight w:val="none"/>
        </w:rPr>
        <w:drawing>
          <wp:inline distT="0" distB="0" distL="114300" distR="114300">
            <wp:extent cx="5400040" cy="2638425"/>
            <wp:effectExtent l="0" t="0" r="10160" b="9525"/>
            <wp:docPr id="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2"/>
                    <pic:cNvPicPr>
                      <a:picLocks noChangeAspect="1"/>
                    </pic:cNvPicPr>
                  </pic:nvPicPr>
                  <pic:blipFill>
                    <a:blip r:embed="rId17"/>
                    <a:stretch>
                      <a:fillRect/>
                    </a:stretch>
                  </pic:blipFill>
                  <pic:spPr>
                    <a:xfrm>
                      <a:off x="0" y="0"/>
                      <a:ext cx="5400040" cy="2638425"/>
                    </a:xfrm>
                    <a:prstGeom prst="rect">
                      <a:avLst/>
                    </a:prstGeom>
                    <a:noFill/>
                    <a:ln>
                      <a:noFill/>
                    </a:ln>
                  </pic:spPr>
                </pic:pic>
              </a:graphicData>
            </a:graphic>
          </wp:inline>
        </w:drawing>
      </w:r>
    </w:p>
    <w:p>
      <w:pPr>
        <w:spacing w:line="360" w:lineRule="auto"/>
        <w:rPr>
          <w:rFonts w:ascii="宋体" w:hAnsi="宋体" w:eastAsia="宋体" w:cs="宋体"/>
          <w:color w:val="auto"/>
          <w:sz w:val="24"/>
          <w:highlight w:val="none"/>
        </w:rPr>
      </w:pPr>
    </w:p>
    <w:p>
      <w:pPr>
        <w:keepNext w:val="0"/>
        <w:keepLines w:val="0"/>
        <w:pageBreakBefore w:val="0"/>
        <w:widowControl w:val="0"/>
        <w:numPr>
          <w:ilvl w:val="0"/>
          <w:numId w:val="7"/>
        </w:numPr>
        <w:kinsoku/>
        <w:wordWrap/>
        <w:overflowPunct/>
        <w:topLinePunct w:val="0"/>
        <w:autoSpaceDE/>
        <w:autoSpaceDN/>
        <w:bidi w:val="0"/>
        <w:adjustRightInd/>
        <w:snapToGrid/>
        <w:spacing w:line="579" w:lineRule="exact"/>
        <w:ind w:firstLine="425"/>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点击“申报项目”，进入项目详情页；</w:t>
      </w:r>
    </w:p>
    <w:p>
      <w:pPr>
        <w:spacing w:line="360" w:lineRule="auto"/>
        <w:jc w:val="both"/>
        <w:rPr>
          <w:color w:val="auto"/>
          <w:highlight w:val="none"/>
        </w:rPr>
      </w:pPr>
      <w:r>
        <w:rPr>
          <w:color w:val="auto"/>
          <w:highlight w:val="none"/>
        </w:rPr>
        <w:drawing>
          <wp:inline distT="0" distB="0" distL="114300" distR="114300">
            <wp:extent cx="5400040" cy="2597150"/>
            <wp:effectExtent l="0" t="0" r="10160" b="12700"/>
            <wp:docPr id="1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3"/>
                    <pic:cNvPicPr>
                      <a:picLocks noChangeAspect="1"/>
                    </pic:cNvPicPr>
                  </pic:nvPicPr>
                  <pic:blipFill>
                    <a:blip r:embed="rId18"/>
                    <a:stretch>
                      <a:fillRect/>
                    </a:stretch>
                  </pic:blipFill>
                  <pic:spPr>
                    <a:xfrm>
                      <a:off x="0" y="0"/>
                      <a:ext cx="5400040" cy="2597150"/>
                    </a:xfrm>
                    <a:prstGeom prst="rect">
                      <a:avLst/>
                    </a:prstGeom>
                    <a:noFill/>
                    <a:ln>
                      <a:noFill/>
                    </a:ln>
                  </pic:spPr>
                </pic:pic>
              </a:graphicData>
            </a:graphic>
          </wp:inline>
        </w:drawing>
      </w:r>
    </w:p>
    <w:p>
      <w:pPr>
        <w:spacing w:line="360" w:lineRule="auto"/>
        <w:rPr>
          <w:rFonts w:hint="eastAsia" w:ascii="华文仿宋" w:hAnsi="华文仿宋" w:eastAsia="华文仿宋" w:cs="华文仿宋"/>
          <w:color w:val="auto"/>
          <w:sz w:val="32"/>
          <w:szCs w:val="32"/>
          <w:highlight w:val="none"/>
        </w:rPr>
      </w:pPr>
    </w:p>
    <w:p>
      <w:pPr>
        <w:keepNext w:val="0"/>
        <w:keepLines w:val="0"/>
        <w:pageBreakBefore w:val="0"/>
        <w:widowControl w:val="0"/>
        <w:numPr>
          <w:ilvl w:val="0"/>
          <w:numId w:val="7"/>
        </w:numPr>
        <w:kinsoku/>
        <w:wordWrap/>
        <w:overflowPunct/>
        <w:topLinePunct w:val="0"/>
        <w:autoSpaceDE/>
        <w:autoSpaceDN/>
        <w:bidi w:val="0"/>
        <w:adjustRightInd/>
        <w:snapToGrid/>
        <w:spacing w:line="579" w:lineRule="exact"/>
        <w:ind w:firstLine="425"/>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选择对应的“申报方向”，点击“立即申报”，填写材料后完成申报。</w:t>
      </w:r>
    </w:p>
    <w:p>
      <w:pPr>
        <w:spacing w:line="360" w:lineRule="auto"/>
        <w:jc w:val="both"/>
        <w:rPr>
          <w:color w:val="auto"/>
          <w:highlight w:val="none"/>
        </w:rPr>
      </w:pPr>
      <w:r>
        <w:rPr>
          <w:color w:val="auto"/>
          <w:highlight w:val="none"/>
        </w:rPr>
        <w:drawing>
          <wp:inline distT="0" distB="0" distL="114300" distR="114300">
            <wp:extent cx="5400040" cy="2597150"/>
            <wp:effectExtent l="0" t="0" r="10160" b="12700"/>
            <wp:docPr id="1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4"/>
                    <pic:cNvPicPr>
                      <a:picLocks noChangeAspect="1"/>
                    </pic:cNvPicPr>
                  </pic:nvPicPr>
                  <pic:blipFill>
                    <a:blip r:embed="rId19"/>
                    <a:stretch>
                      <a:fillRect/>
                    </a:stretch>
                  </pic:blipFill>
                  <pic:spPr>
                    <a:xfrm>
                      <a:off x="0" y="0"/>
                      <a:ext cx="5400040" cy="2597150"/>
                    </a:xfrm>
                    <a:prstGeom prst="rect">
                      <a:avLst/>
                    </a:prstGeom>
                    <a:noFill/>
                    <a:ln>
                      <a:noFill/>
                    </a:ln>
                  </pic:spPr>
                </pic:pic>
              </a:graphicData>
            </a:graphic>
          </wp:inline>
        </w:drawing>
      </w:r>
    </w:p>
    <w:p>
      <w:pPr>
        <w:spacing w:line="360" w:lineRule="auto"/>
        <w:ind w:left="420" w:leftChars="200"/>
        <w:rPr>
          <w:rFonts w:ascii="宋体" w:hAnsi="宋体" w:eastAsia="宋体" w:cs="宋体"/>
          <w:color w:val="auto"/>
          <w:sz w:val="28"/>
          <w:szCs w:val="28"/>
          <w:highlight w:val="none"/>
        </w:rPr>
      </w:pPr>
    </w:p>
    <w:p>
      <w:pPr>
        <w:spacing w:line="360" w:lineRule="auto"/>
        <w:ind w:left="420" w:leftChars="200"/>
        <w:rPr>
          <w:rFonts w:ascii="宋体" w:hAnsi="宋体" w:eastAsia="宋体" w:cs="宋体"/>
          <w:color w:val="auto"/>
          <w:sz w:val="28"/>
          <w:szCs w:val="28"/>
          <w:highlight w:val="none"/>
        </w:rPr>
      </w:pPr>
    </w:p>
    <w:p>
      <w:pPr>
        <w:pStyle w:val="2"/>
        <w:pageBreakBefore w:val="0"/>
        <w:widowControl w:val="0"/>
        <w:numPr>
          <w:ilvl w:val="0"/>
          <w:numId w:val="0"/>
        </w:numPr>
        <w:kinsoku/>
        <w:wordWrap/>
        <w:overflowPunct/>
        <w:topLinePunct w:val="0"/>
        <w:autoSpaceDE/>
        <w:autoSpaceDN/>
        <w:bidi w:val="0"/>
        <w:adjustRightInd/>
        <w:snapToGrid/>
        <w:spacing w:line="579" w:lineRule="exact"/>
        <w:ind w:leftChars="0"/>
        <w:textAlignment w:val="auto"/>
        <w:rPr>
          <w:rFonts w:hint="eastAsia" w:ascii="方正黑体_GBK" w:hAnsi="方正黑体_GBK" w:eastAsia="方正黑体_GBK" w:cs="方正黑体_GBK"/>
          <w:b w:val="0"/>
          <w:bCs/>
          <w:color w:val="auto"/>
          <w:sz w:val="32"/>
          <w:szCs w:val="32"/>
          <w:highlight w:val="none"/>
        </w:rPr>
      </w:pPr>
      <w:bookmarkStart w:id="3" w:name="_Toc31864"/>
      <w:r>
        <w:rPr>
          <w:rFonts w:hint="eastAsia" w:ascii="方正黑体_GBK" w:hAnsi="方正黑体_GBK" w:eastAsia="方正黑体_GBK" w:cs="方正黑体_GBK"/>
          <w:b w:val="0"/>
          <w:bCs/>
          <w:color w:val="auto"/>
          <w:sz w:val="32"/>
          <w:szCs w:val="32"/>
          <w:highlight w:val="none"/>
          <w:lang w:eastAsia="zh-CN"/>
        </w:rPr>
        <w:t>四、</w:t>
      </w:r>
      <w:r>
        <w:rPr>
          <w:rFonts w:hint="eastAsia" w:ascii="方正黑体_GBK" w:hAnsi="方正黑体_GBK" w:eastAsia="方正黑体_GBK" w:cs="方正黑体_GBK"/>
          <w:b w:val="0"/>
          <w:bCs/>
          <w:color w:val="auto"/>
          <w:sz w:val="32"/>
          <w:szCs w:val="32"/>
          <w:highlight w:val="none"/>
        </w:rPr>
        <w:t>项目进度查询</w:t>
      </w:r>
      <w:bookmarkEnd w:id="3"/>
    </w:p>
    <w:p>
      <w:pPr>
        <w:pageBreakBefore w:val="0"/>
        <w:widowControl w:val="0"/>
        <w:numPr>
          <w:ilvl w:val="0"/>
          <w:numId w:val="9"/>
        </w:numPr>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点击右上方“我的工作台”；</w:t>
      </w:r>
    </w:p>
    <w:p>
      <w:pPr>
        <w:spacing w:line="360" w:lineRule="auto"/>
        <w:jc w:val="both"/>
        <w:rPr>
          <w:color w:val="auto"/>
          <w:highlight w:val="none"/>
        </w:rPr>
      </w:pPr>
      <w:r>
        <w:rPr>
          <w:color w:val="auto"/>
          <w:highlight w:val="none"/>
        </w:rPr>
        <w:drawing>
          <wp:inline distT="0" distB="0" distL="114300" distR="114300">
            <wp:extent cx="5400040" cy="2366645"/>
            <wp:effectExtent l="0" t="0" r="10160" b="14605"/>
            <wp:docPr id="1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5"/>
                    <pic:cNvPicPr>
                      <a:picLocks noChangeAspect="1"/>
                    </pic:cNvPicPr>
                  </pic:nvPicPr>
                  <pic:blipFill>
                    <a:blip r:embed="rId20"/>
                    <a:stretch>
                      <a:fillRect/>
                    </a:stretch>
                  </pic:blipFill>
                  <pic:spPr>
                    <a:xfrm>
                      <a:off x="0" y="0"/>
                      <a:ext cx="5400040" cy="2366645"/>
                    </a:xfrm>
                    <a:prstGeom prst="rect">
                      <a:avLst/>
                    </a:prstGeom>
                    <a:noFill/>
                    <a:ln>
                      <a:noFill/>
                    </a:ln>
                  </pic:spPr>
                </pic:pic>
              </a:graphicData>
            </a:graphic>
          </wp:inline>
        </w:drawing>
      </w:r>
    </w:p>
    <w:p>
      <w:pPr>
        <w:keepNext w:val="0"/>
        <w:keepLines w:val="0"/>
        <w:pageBreakBefore w:val="0"/>
        <w:widowControl w:val="0"/>
        <w:numPr>
          <w:ilvl w:val="0"/>
          <w:numId w:val="9"/>
        </w:numPr>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点击“我的项目”，在该项目右侧可查看当前进度。</w:t>
      </w:r>
    </w:p>
    <w:p>
      <w:pPr>
        <w:spacing w:line="360" w:lineRule="auto"/>
        <w:jc w:val="both"/>
        <w:rPr>
          <w:color w:val="auto"/>
          <w:highlight w:val="none"/>
        </w:rPr>
      </w:pPr>
      <w:r>
        <w:rPr>
          <w:color w:val="auto"/>
          <w:highlight w:val="none"/>
        </w:rPr>
        <w:drawing>
          <wp:inline distT="0" distB="0" distL="114300" distR="114300">
            <wp:extent cx="5400040" cy="2578100"/>
            <wp:effectExtent l="0" t="0" r="10160" b="12700"/>
            <wp:docPr id="1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6"/>
                    <pic:cNvPicPr>
                      <a:picLocks noChangeAspect="1"/>
                    </pic:cNvPicPr>
                  </pic:nvPicPr>
                  <pic:blipFill>
                    <a:blip r:embed="rId21"/>
                    <a:stretch>
                      <a:fillRect/>
                    </a:stretch>
                  </pic:blipFill>
                  <pic:spPr>
                    <a:xfrm>
                      <a:off x="0" y="0"/>
                      <a:ext cx="5400040" cy="2578100"/>
                    </a:xfrm>
                    <a:prstGeom prst="rect">
                      <a:avLst/>
                    </a:prstGeom>
                    <a:noFill/>
                    <a:ln>
                      <a:noFill/>
                    </a:ln>
                  </pic:spPr>
                </pic:pic>
              </a:graphicData>
            </a:graphic>
          </wp:inline>
        </w:drawing>
      </w:r>
    </w:p>
    <w:p>
      <w:pPr>
        <w:spacing w:line="360" w:lineRule="auto"/>
        <w:jc w:val="both"/>
        <w:rPr>
          <w:color w:val="auto"/>
          <w:highlight w:val="none"/>
        </w:rPr>
      </w:pPr>
    </w:p>
    <w:p>
      <w:pPr>
        <w:spacing w:line="360" w:lineRule="auto"/>
        <w:jc w:val="both"/>
        <w:rPr>
          <w:color w:val="auto"/>
          <w:highlight w:val="none"/>
        </w:rPr>
      </w:pPr>
    </w:p>
    <w:p>
      <w:pPr>
        <w:spacing w:line="360" w:lineRule="auto"/>
        <w:jc w:val="both"/>
        <w:rPr>
          <w:color w:val="auto"/>
          <w:highlight w:val="none"/>
        </w:rPr>
      </w:pPr>
    </w:p>
    <w:p>
      <w:pPr>
        <w:pStyle w:val="2"/>
        <w:pageBreakBefore w:val="0"/>
        <w:widowControl w:val="0"/>
        <w:numPr>
          <w:ilvl w:val="0"/>
          <w:numId w:val="0"/>
        </w:numPr>
        <w:kinsoku/>
        <w:wordWrap/>
        <w:overflowPunct/>
        <w:topLinePunct w:val="0"/>
        <w:autoSpaceDE/>
        <w:autoSpaceDN/>
        <w:bidi w:val="0"/>
        <w:adjustRightInd/>
        <w:snapToGrid/>
        <w:spacing w:line="579" w:lineRule="exact"/>
        <w:ind w:leftChars="0"/>
        <w:textAlignment w:val="auto"/>
        <w:rPr>
          <w:rFonts w:hint="eastAsia" w:ascii="方正黑体_GBK" w:hAnsi="方正黑体_GBK" w:eastAsia="方正黑体_GBK" w:cs="方正黑体_GBK"/>
          <w:b w:val="0"/>
          <w:bCs/>
          <w:color w:val="auto"/>
          <w:sz w:val="32"/>
          <w:szCs w:val="32"/>
          <w:highlight w:val="none"/>
        </w:rPr>
      </w:pPr>
      <w:bookmarkStart w:id="4" w:name="_Toc28682"/>
      <w:r>
        <w:rPr>
          <w:rFonts w:hint="eastAsia" w:ascii="方正黑体_GBK" w:hAnsi="方正黑体_GBK" w:eastAsia="方正黑体_GBK" w:cs="方正黑体_GBK"/>
          <w:b w:val="0"/>
          <w:bCs/>
          <w:color w:val="auto"/>
          <w:sz w:val="32"/>
          <w:szCs w:val="32"/>
          <w:highlight w:val="none"/>
          <w:lang w:eastAsia="zh-CN"/>
        </w:rPr>
        <w:t>五、</w:t>
      </w:r>
      <w:r>
        <w:rPr>
          <w:rFonts w:hint="eastAsia" w:ascii="方正黑体_GBK" w:hAnsi="方正黑体_GBK" w:eastAsia="方正黑体_GBK" w:cs="方正黑体_GBK"/>
          <w:b w:val="0"/>
          <w:bCs/>
          <w:color w:val="auto"/>
          <w:sz w:val="32"/>
          <w:szCs w:val="32"/>
          <w:highlight w:val="none"/>
        </w:rPr>
        <w:t>下载打印</w:t>
      </w:r>
      <w:bookmarkEnd w:id="4"/>
    </w:p>
    <w:p>
      <w:pPr>
        <w:pageBreakBefore w:val="0"/>
        <w:widowControl w:val="0"/>
        <w:numPr>
          <w:ilvl w:val="0"/>
          <w:numId w:val="10"/>
        </w:numPr>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点击右上方“我的工作台”；</w:t>
      </w:r>
    </w:p>
    <w:p>
      <w:pPr>
        <w:spacing w:line="360" w:lineRule="auto"/>
        <w:jc w:val="left"/>
        <w:rPr>
          <w:color w:val="auto"/>
          <w:highlight w:val="none"/>
        </w:rPr>
      </w:pPr>
      <w:r>
        <w:rPr>
          <w:color w:val="auto"/>
          <w:highlight w:val="none"/>
        </w:rPr>
        <w:drawing>
          <wp:inline distT="0" distB="0" distL="114300" distR="114300">
            <wp:extent cx="5400040" cy="2366645"/>
            <wp:effectExtent l="0" t="0" r="10160" b="14605"/>
            <wp:docPr id="1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7"/>
                    <pic:cNvPicPr>
                      <a:picLocks noChangeAspect="1"/>
                    </pic:cNvPicPr>
                  </pic:nvPicPr>
                  <pic:blipFill>
                    <a:blip r:embed="rId20"/>
                    <a:stretch>
                      <a:fillRect/>
                    </a:stretch>
                  </pic:blipFill>
                  <pic:spPr>
                    <a:xfrm>
                      <a:off x="0" y="0"/>
                      <a:ext cx="5400040" cy="2366645"/>
                    </a:xfrm>
                    <a:prstGeom prst="rect">
                      <a:avLst/>
                    </a:prstGeom>
                    <a:noFill/>
                    <a:ln>
                      <a:noFill/>
                    </a:ln>
                  </pic:spPr>
                </pic:pic>
              </a:graphicData>
            </a:graphic>
          </wp:inline>
        </w:drawing>
      </w:r>
    </w:p>
    <w:p>
      <w:pPr>
        <w:keepNext w:val="0"/>
        <w:keepLines w:val="0"/>
        <w:pageBreakBefore w:val="0"/>
        <w:widowControl w:val="0"/>
        <w:numPr>
          <w:ilvl w:val="0"/>
          <w:numId w:val="10"/>
        </w:numPr>
        <w:kinsoku/>
        <w:wordWrap/>
        <w:overflowPunct/>
        <w:topLinePunct w:val="0"/>
        <w:autoSpaceDE/>
        <w:autoSpaceDN/>
        <w:bidi w:val="0"/>
        <w:adjustRightInd/>
        <w:snapToGrid/>
        <w:spacing w:line="579" w:lineRule="exact"/>
        <w:ind w:firstLine="640" w:firstLineChars="200"/>
        <w:jc w:val="left"/>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点击“我的项目”，寻找需要打印的项目即可；</w:t>
      </w:r>
    </w:p>
    <w:p>
      <w:pPr>
        <w:spacing w:line="360" w:lineRule="auto"/>
        <w:jc w:val="both"/>
        <w:rPr>
          <w:color w:val="auto"/>
          <w:highlight w:val="none"/>
        </w:rPr>
      </w:pPr>
      <w:r>
        <w:rPr>
          <w:color w:val="auto"/>
          <w:highlight w:val="none"/>
        </w:rPr>
        <w:drawing>
          <wp:inline distT="0" distB="0" distL="114300" distR="114300">
            <wp:extent cx="5400040" cy="2209165"/>
            <wp:effectExtent l="0" t="0" r="10160" b="635"/>
            <wp:docPr id="1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8"/>
                    <pic:cNvPicPr>
                      <a:picLocks noChangeAspect="1"/>
                    </pic:cNvPicPr>
                  </pic:nvPicPr>
                  <pic:blipFill>
                    <a:blip r:embed="rId22"/>
                    <a:stretch>
                      <a:fillRect/>
                    </a:stretch>
                  </pic:blipFill>
                  <pic:spPr>
                    <a:xfrm>
                      <a:off x="0" y="0"/>
                      <a:ext cx="5400040" cy="2209165"/>
                    </a:xfrm>
                    <a:prstGeom prst="rect">
                      <a:avLst/>
                    </a:prstGeom>
                    <a:noFill/>
                    <a:ln>
                      <a:noFill/>
                    </a:ln>
                  </pic:spPr>
                </pic:pic>
              </a:graphicData>
            </a:graphic>
          </wp:inline>
        </w:drawing>
      </w:r>
    </w:p>
    <w:p>
      <w:pPr>
        <w:spacing w:line="360" w:lineRule="auto"/>
        <w:jc w:val="both"/>
        <w:rPr>
          <w:color w:val="auto"/>
          <w:highlight w:val="none"/>
        </w:rPr>
      </w:pPr>
    </w:p>
    <w:p>
      <w:pPr>
        <w:spacing w:line="360" w:lineRule="auto"/>
        <w:jc w:val="both"/>
        <w:rPr>
          <w:color w:val="auto"/>
          <w:highlight w:val="none"/>
        </w:rPr>
      </w:pPr>
    </w:p>
    <w:p>
      <w:pPr>
        <w:spacing w:line="360" w:lineRule="auto"/>
        <w:jc w:val="both"/>
        <w:rPr>
          <w:color w:val="auto"/>
          <w:highlight w:val="none"/>
        </w:rPr>
      </w:pPr>
    </w:p>
    <w:p>
      <w:pPr>
        <w:spacing w:line="360" w:lineRule="auto"/>
        <w:jc w:val="both"/>
        <w:rPr>
          <w:color w:val="auto"/>
          <w:highlight w:val="none"/>
        </w:rPr>
      </w:pPr>
    </w:p>
    <w:p>
      <w:pPr>
        <w:keepNext w:val="0"/>
        <w:keepLines w:val="0"/>
        <w:pageBreakBefore w:val="0"/>
        <w:widowControl w:val="0"/>
        <w:kinsoku/>
        <w:wordWrap/>
        <w:overflowPunct/>
        <w:topLinePunct w:val="0"/>
        <w:autoSpaceDE/>
        <w:autoSpaceDN/>
        <w:bidi w:val="0"/>
        <w:adjustRightInd/>
        <w:snapToGrid/>
        <w:spacing w:line="579" w:lineRule="exact"/>
        <w:ind w:firstLine="21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fldChar w:fldCharType="begin"/>
      </w:r>
      <w:r>
        <w:rPr>
          <w:rFonts w:hint="eastAsia" w:ascii="华文仿宋" w:hAnsi="华文仿宋" w:eastAsia="华文仿宋" w:cs="华文仿宋"/>
          <w:color w:val="auto"/>
          <w:sz w:val="32"/>
          <w:szCs w:val="32"/>
          <w:highlight w:val="none"/>
        </w:rPr>
        <w:instrText xml:space="preserve"> = 3 \* GB3 </w:instrText>
      </w:r>
      <w:r>
        <w:rPr>
          <w:rFonts w:hint="eastAsia" w:ascii="华文仿宋" w:hAnsi="华文仿宋" w:eastAsia="华文仿宋" w:cs="华文仿宋"/>
          <w:color w:val="auto"/>
          <w:sz w:val="32"/>
          <w:szCs w:val="32"/>
          <w:highlight w:val="none"/>
        </w:rPr>
        <w:fldChar w:fldCharType="separate"/>
      </w:r>
      <w:r>
        <w:rPr>
          <w:rFonts w:hint="eastAsia" w:ascii="华文仿宋" w:hAnsi="华文仿宋" w:eastAsia="华文仿宋" w:cs="华文仿宋"/>
          <w:color w:val="auto"/>
          <w:sz w:val="32"/>
          <w:szCs w:val="32"/>
          <w:highlight w:val="none"/>
        </w:rPr>
        <w:t>③</w:t>
      </w:r>
      <w:r>
        <w:rPr>
          <w:rFonts w:hint="eastAsia" w:ascii="华文仿宋" w:hAnsi="华文仿宋" w:eastAsia="华文仿宋" w:cs="华文仿宋"/>
          <w:color w:val="auto"/>
          <w:sz w:val="32"/>
          <w:szCs w:val="32"/>
          <w:highlight w:val="none"/>
        </w:rPr>
        <w:fldChar w:fldCharType="end"/>
      </w:r>
      <w:r>
        <w:rPr>
          <w:rFonts w:hint="eastAsia" w:ascii="华文仿宋" w:hAnsi="华文仿宋" w:eastAsia="华文仿宋" w:cs="华文仿宋"/>
          <w:color w:val="auto"/>
          <w:sz w:val="32"/>
          <w:szCs w:val="32"/>
          <w:highlight w:val="none"/>
        </w:rPr>
        <w:t>点击“打印/递交”，再点击“一键打包下载”即可。</w:t>
      </w:r>
    </w:p>
    <w:p>
      <w:pPr>
        <w:spacing w:line="360" w:lineRule="auto"/>
        <w:jc w:val="both"/>
        <w:rPr>
          <w:rFonts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5400040" cy="2339340"/>
            <wp:effectExtent l="0" t="0" r="10160" b="3810"/>
            <wp:docPr id="1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9"/>
                    <pic:cNvPicPr>
                      <a:picLocks noChangeAspect="1"/>
                    </pic:cNvPicPr>
                  </pic:nvPicPr>
                  <pic:blipFill>
                    <a:blip r:embed="rId23"/>
                    <a:stretch>
                      <a:fillRect/>
                    </a:stretch>
                  </pic:blipFill>
                  <pic:spPr>
                    <a:xfrm>
                      <a:off x="0" y="0"/>
                      <a:ext cx="5400040" cy="2339340"/>
                    </a:xfrm>
                    <a:prstGeom prst="rect">
                      <a:avLst/>
                    </a:prstGeom>
                    <a:noFill/>
                    <a:ln>
                      <a:noFill/>
                    </a:ln>
                  </pic:spPr>
                </pic:pic>
              </a:graphicData>
            </a:graphic>
          </wp:inline>
        </w:drawing>
      </w:r>
    </w:p>
    <w:p>
      <w:pPr>
        <w:pStyle w:val="2"/>
        <w:pageBreakBefore w:val="0"/>
        <w:widowControl w:val="0"/>
        <w:numPr>
          <w:ilvl w:val="0"/>
          <w:numId w:val="0"/>
        </w:numPr>
        <w:kinsoku/>
        <w:wordWrap/>
        <w:overflowPunct/>
        <w:topLinePunct w:val="0"/>
        <w:autoSpaceDE/>
        <w:autoSpaceDN/>
        <w:bidi w:val="0"/>
        <w:adjustRightInd/>
        <w:snapToGrid/>
        <w:spacing w:before="0" w:after="0" w:line="579" w:lineRule="exact"/>
        <w:ind w:leftChars="0"/>
        <w:textAlignment w:val="auto"/>
        <w:rPr>
          <w:rFonts w:hint="eastAsia" w:ascii="方正黑体_GBK" w:hAnsi="方正黑体_GBK" w:eastAsia="方正黑体_GBK" w:cs="方正黑体_GBK"/>
          <w:b w:val="0"/>
          <w:bCs/>
          <w:color w:val="auto"/>
          <w:sz w:val="32"/>
          <w:szCs w:val="32"/>
          <w:highlight w:val="none"/>
        </w:rPr>
      </w:pPr>
      <w:bookmarkStart w:id="5" w:name="_Toc26177"/>
      <w:r>
        <w:rPr>
          <w:rFonts w:hint="eastAsia" w:ascii="方正黑体_GBK" w:hAnsi="方正黑体_GBK" w:eastAsia="方正黑体_GBK" w:cs="方正黑体_GBK"/>
          <w:b w:val="0"/>
          <w:bCs/>
          <w:color w:val="auto"/>
          <w:sz w:val="32"/>
          <w:szCs w:val="32"/>
          <w:highlight w:val="none"/>
          <w:lang w:eastAsia="zh-CN"/>
        </w:rPr>
        <w:t>六、</w:t>
      </w:r>
      <w:r>
        <w:rPr>
          <w:rFonts w:hint="eastAsia" w:ascii="方正黑体_GBK" w:hAnsi="方正黑体_GBK" w:eastAsia="方正黑体_GBK" w:cs="方正黑体_GBK"/>
          <w:b w:val="0"/>
          <w:bCs/>
          <w:color w:val="auto"/>
          <w:sz w:val="32"/>
          <w:szCs w:val="32"/>
          <w:highlight w:val="none"/>
        </w:rPr>
        <w:t>项目退回修改</w:t>
      </w:r>
      <w:bookmarkEnd w:id="5"/>
    </w:p>
    <w:p>
      <w:pPr>
        <w:pageBreakBefore w:val="0"/>
        <w:widowControl w:val="0"/>
        <w:numPr>
          <w:ilvl w:val="0"/>
          <w:numId w:val="11"/>
        </w:numPr>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color w:val="auto"/>
          <w:sz w:val="32"/>
          <w:szCs w:val="32"/>
          <w:highlight w:val="none"/>
        </w:rPr>
      </w:pPr>
      <w:r>
        <w:rPr>
          <w:rFonts w:hint="eastAsia" w:ascii="华文仿宋" w:hAnsi="华文仿宋" w:eastAsia="华文仿宋" w:cs="华文仿宋"/>
          <w:color w:val="auto"/>
          <w:sz w:val="32"/>
          <w:szCs w:val="32"/>
          <w:highlight w:val="none"/>
        </w:rPr>
        <w:t>点击右上方“我的工作台”；</w:t>
      </w:r>
    </w:p>
    <w:p>
      <w:pPr>
        <w:spacing w:line="360" w:lineRule="auto"/>
        <w:rPr>
          <w:color w:val="auto"/>
          <w:highlight w:val="none"/>
        </w:rPr>
      </w:pPr>
      <w:r>
        <w:rPr>
          <w:color w:val="auto"/>
          <w:highlight w:val="none"/>
        </w:rPr>
        <w:drawing>
          <wp:inline distT="0" distB="0" distL="114300" distR="114300">
            <wp:extent cx="5400040" cy="2134235"/>
            <wp:effectExtent l="0" t="0" r="10160" b="18415"/>
            <wp:docPr id="1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0"/>
                    <pic:cNvPicPr>
                      <a:picLocks noChangeAspect="1"/>
                    </pic:cNvPicPr>
                  </pic:nvPicPr>
                  <pic:blipFill>
                    <a:blip r:embed="rId20"/>
                    <a:srcRect t="3059" b="6761"/>
                    <a:stretch>
                      <a:fillRect/>
                    </a:stretch>
                  </pic:blipFill>
                  <pic:spPr>
                    <a:xfrm>
                      <a:off x="0" y="0"/>
                      <a:ext cx="5400040" cy="2134235"/>
                    </a:xfrm>
                    <a:prstGeom prst="rect">
                      <a:avLst/>
                    </a:prstGeom>
                    <a:noFill/>
                    <a:ln>
                      <a:noFill/>
                    </a:ln>
                  </pic:spPr>
                </pic:pic>
              </a:graphicData>
            </a:graphic>
          </wp:inline>
        </w:drawing>
      </w:r>
    </w:p>
    <w:p>
      <w:pPr>
        <w:keepNext w:val="0"/>
        <w:keepLines w:val="0"/>
        <w:pageBreakBefore w:val="0"/>
        <w:widowControl w:val="0"/>
        <w:numPr>
          <w:ilvl w:val="0"/>
          <w:numId w:val="11"/>
        </w:numPr>
        <w:kinsoku/>
        <w:wordWrap/>
        <w:overflowPunct/>
        <w:topLinePunct w:val="0"/>
        <w:autoSpaceDE/>
        <w:autoSpaceDN/>
        <w:bidi w:val="0"/>
        <w:adjustRightInd/>
        <w:snapToGrid/>
        <w:spacing w:line="579" w:lineRule="exact"/>
        <w:ind w:firstLine="640" w:firstLineChars="200"/>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点击“我的项目”，选择“已退回”，点击“修改”，修改完提交即可。（若该项目当时是申报员提交，则需要登录申报员账号才有“修改”按钮。若显示“已逾期”，则需要联系相关部门咨询如何处理）</w:t>
      </w:r>
    </w:p>
    <w:p>
      <w:pPr>
        <w:spacing w:line="360" w:lineRule="auto"/>
        <w:rPr>
          <w:color w:val="auto"/>
          <w:highlight w:val="none"/>
        </w:rPr>
      </w:pPr>
      <w:r>
        <w:rPr>
          <w:color w:val="auto"/>
          <w:highlight w:val="none"/>
        </w:rPr>
        <w:drawing>
          <wp:inline distT="0" distB="0" distL="114300" distR="114300">
            <wp:extent cx="5400040" cy="2157095"/>
            <wp:effectExtent l="0" t="0" r="10160" b="14605"/>
            <wp:docPr id="1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1"/>
                    <pic:cNvPicPr>
                      <a:picLocks noChangeAspect="1"/>
                    </pic:cNvPicPr>
                  </pic:nvPicPr>
                  <pic:blipFill>
                    <a:blip r:embed="rId24"/>
                    <a:srcRect t="3474" b="2841"/>
                    <a:stretch>
                      <a:fillRect/>
                    </a:stretch>
                  </pic:blipFill>
                  <pic:spPr>
                    <a:xfrm>
                      <a:off x="0" y="0"/>
                      <a:ext cx="5400040" cy="2157095"/>
                    </a:xfrm>
                    <a:prstGeom prst="rect">
                      <a:avLst/>
                    </a:prstGeom>
                    <a:noFill/>
                    <a:ln>
                      <a:noFill/>
                    </a:ln>
                  </pic:spPr>
                </pic:pic>
              </a:graphicData>
            </a:graphic>
          </wp:inline>
        </w:drawing>
      </w:r>
    </w:p>
    <w:p>
      <w:pPr>
        <w:spacing w:line="360" w:lineRule="auto"/>
        <w:rPr>
          <w:color w:val="auto"/>
          <w:highlight w:val="none"/>
        </w:rPr>
      </w:pPr>
    </w:p>
    <w:p>
      <w:pPr>
        <w:spacing w:line="360" w:lineRule="auto"/>
      </w:pPr>
      <w:r>
        <w:rPr>
          <w:color w:val="auto"/>
          <w:highlight w:val="none"/>
        </w:rPr>
        <w:drawing>
          <wp:inline distT="0" distB="0" distL="114300" distR="114300">
            <wp:extent cx="5400040" cy="1918335"/>
            <wp:effectExtent l="0" t="0" r="10160" b="5715"/>
            <wp:docPr id="1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2"/>
                    <pic:cNvPicPr>
                      <a:picLocks noChangeAspect="1"/>
                    </pic:cNvPicPr>
                  </pic:nvPicPr>
                  <pic:blipFill>
                    <a:blip r:embed="rId25"/>
                    <a:srcRect b="8649"/>
                    <a:stretch>
                      <a:fillRect/>
                    </a:stretch>
                  </pic:blipFill>
                  <pic:spPr>
                    <a:xfrm>
                      <a:off x="0" y="0"/>
                      <a:ext cx="5400040" cy="1918335"/>
                    </a:xfrm>
                    <a:prstGeom prst="rect">
                      <a:avLst/>
                    </a:prstGeom>
                    <a:noFill/>
                    <a:ln>
                      <a:noFill/>
                    </a:ln>
                  </pic:spPr>
                </pic:pic>
              </a:graphicData>
            </a:graphic>
          </wp:inline>
        </w:drawing>
      </w:r>
    </w:p>
    <w:p>
      <w:pPr>
        <w:spacing w:before="0" w:beforeLines="0" w:afterLines="0" w:line="579" w:lineRule="exact"/>
        <w:jc w:val="center"/>
        <w:rPr>
          <w:rFonts w:hint="eastAsia" w:ascii="方正小标宋简体" w:hAnsi="方正小标宋简体" w:eastAsia="方正小标宋简体" w:cs="方正小标宋简体"/>
          <w:b w:val="0"/>
          <w:bCs w:val="0"/>
          <w:i w:val="0"/>
          <w:iCs w:val="0"/>
          <w:color w:val="FF0000"/>
          <w:spacing w:val="0"/>
          <w:sz w:val="44"/>
          <w:szCs w:val="44"/>
          <w:highlight w:val="yellow"/>
          <w:u w:val="none"/>
          <w:lang w:val="en-US" w:eastAsia="zh-CN"/>
        </w:rPr>
      </w:pPr>
    </w:p>
    <w:p>
      <w:pPr>
        <w:widowControl/>
        <w:shd w:val="clear" w:color="auto" w:fill="auto"/>
        <w:spacing w:beforeLines="0" w:afterLines="0" w:line="579" w:lineRule="exact"/>
        <w:jc w:val="left"/>
        <w:rPr>
          <w:rFonts w:hint="eastAsia" w:ascii="黑体" w:hAnsi="黑体" w:eastAsia="黑体" w:cs="黑体"/>
          <w:color w:val="auto"/>
          <w:kern w:val="0"/>
          <w:sz w:val="32"/>
          <w:szCs w:val="32"/>
          <w:highlight w:val="none"/>
        </w:rPr>
      </w:pPr>
    </w:p>
    <w:p>
      <w:pPr>
        <w:widowControl/>
        <w:shd w:val="clear" w:color="auto" w:fill="auto"/>
        <w:spacing w:beforeLines="0" w:afterLines="0" w:line="579" w:lineRule="exact"/>
        <w:jc w:val="left"/>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rPr>
        <w:br w:type="page"/>
      </w:r>
      <w:r>
        <w:rPr>
          <w:rFonts w:hint="eastAsia" w:ascii="黑体" w:hAnsi="黑体" w:eastAsia="黑体" w:cs="黑体"/>
          <w:color w:val="auto"/>
          <w:kern w:val="0"/>
          <w:sz w:val="32"/>
          <w:szCs w:val="32"/>
          <w:highlight w:val="none"/>
        </w:rPr>
        <w:t>附件</w:t>
      </w:r>
      <w:r>
        <w:rPr>
          <w:rFonts w:hint="eastAsia" w:ascii="黑体" w:hAnsi="黑体" w:eastAsia="黑体" w:cs="黑体"/>
          <w:color w:val="auto"/>
          <w:kern w:val="0"/>
          <w:sz w:val="32"/>
          <w:szCs w:val="32"/>
          <w:highlight w:val="none"/>
          <w:lang w:val="en-US" w:eastAsia="zh-CN"/>
        </w:rPr>
        <w:t>7</w:t>
      </w:r>
    </w:p>
    <w:p>
      <w:pPr>
        <w:widowControl/>
        <w:shd w:val="clear" w:color="auto" w:fill="auto"/>
        <w:spacing w:beforeLines="0" w:afterLines="0" w:line="579" w:lineRule="exact"/>
        <w:jc w:val="left"/>
        <w:rPr>
          <w:rFonts w:hint="eastAsia" w:ascii="黑体" w:hAnsi="黑体" w:eastAsia="黑体" w:cs="黑体"/>
          <w:color w:val="auto"/>
          <w:kern w:val="0"/>
          <w:sz w:val="32"/>
          <w:szCs w:val="32"/>
          <w:highlight w:val="none"/>
          <w:lang w:val="en-US" w:eastAsia="zh-CN"/>
        </w:rPr>
      </w:pPr>
    </w:p>
    <w:p>
      <w:pPr>
        <w:spacing w:before="0" w:beforeLines="0" w:afterLines="0" w:line="579" w:lineRule="exact"/>
        <w:jc w:val="center"/>
        <w:rPr>
          <w:rFonts w:hint="eastAsia" w:ascii="方正小标宋简体" w:hAnsi="方正小标宋简体" w:eastAsia="方正小标宋简体" w:cs="方正小标宋简体"/>
          <w:b/>
          <w:color w:val="FF0000"/>
          <w:sz w:val="32"/>
          <w:szCs w:val="32"/>
          <w:highlight w:val="yellow"/>
          <w:u w:val="none"/>
        </w:rPr>
      </w:pPr>
      <w:r>
        <w:rPr>
          <w:rFonts w:hint="eastAsia" w:ascii="方正小标宋简体" w:hAnsi="方正小标宋简体" w:eastAsia="方正小标宋简体" w:cs="方正小标宋简体"/>
          <w:color w:val="auto"/>
          <w:kern w:val="2"/>
          <w:sz w:val="44"/>
          <w:szCs w:val="44"/>
          <w:highlight w:val="none"/>
        </w:rPr>
        <w:t>港珠澳大桥货运物流业务申报操作指</w:t>
      </w:r>
      <w:r>
        <w:rPr>
          <w:rFonts w:hint="eastAsia" w:ascii="方正小标宋简体" w:hAnsi="方正小标宋简体" w:eastAsia="方正小标宋简体" w:cs="方正小标宋简体"/>
          <w:color w:val="auto"/>
          <w:kern w:val="2"/>
          <w:sz w:val="44"/>
          <w:szCs w:val="44"/>
          <w:highlight w:val="none"/>
          <w:lang w:eastAsia="zh-CN"/>
        </w:rPr>
        <w:t>引</w:t>
      </w:r>
    </w:p>
    <w:p>
      <w:pPr>
        <w:adjustRightInd w:val="0"/>
        <w:snapToGrid w:val="0"/>
        <w:spacing w:line="579" w:lineRule="exact"/>
        <w:ind w:firstLine="641"/>
        <w:rPr>
          <w:rFonts w:hint="eastAsia" w:ascii="华文仿宋" w:hAnsi="华文仿宋" w:eastAsia="华文仿宋" w:cs="华文仿宋"/>
          <w:b w:val="0"/>
          <w:bCs/>
          <w:color w:val="auto"/>
          <w:sz w:val="32"/>
          <w:szCs w:val="32"/>
        </w:rPr>
      </w:pPr>
      <w:r>
        <w:rPr>
          <w:rFonts w:hint="eastAsia" w:ascii="华文仿宋" w:hAnsi="华文仿宋" w:eastAsia="华文仿宋" w:cs="华文仿宋"/>
          <w:b w:val="0"/>
          <w:bCs/>
          <w:color w:val="auto"/>
          <w:sz w:val="32"/>
          <w:szCs w:val="32"/>
        </w:rPr>
        <w:t>温馨</w:t>
      </w:r>
      <w:r>
        <w:rPr>
          <w:rFonts w:hint="eastAsia" w:ascii="仿宋" w:hAnsi="仿宋" w:eastAsia="仿宋" w:cs="仿宋"/>
          <w:b w:val="0"/>
          <w:bCs/>
          <w:color w:val="auto"/>
          <w:sz w:val="32"/>
          <w:szCs w:val="32"/>
        </w:rPr>
        <w:t>提示：首次使用客户服务平台的企业</w:t>
      </w:r>
      <w:r>
        <w:rPr>
          <w:rFonts w:hint="eastAsia" w:ascii="华文仿宋" w:hAnsi="华文仿宋" w:eastAsia="华文仿宋" w:cs="华文仿宋"/>
          <w:b w:val="0"/>
          <w:bCs/>
          <w:color w:val="auto"/>
          <w:sz w:val="32"/>
          <w:szCs w:val="32"/>
        </w:rPr>
        <w:t>请先点击“用户注册”。</w:t>
      </w:r>
    </w:p>
    <w:p>
      <w:pPr>
        <w:pStyle w:val="2"/>
        <w:numPr>
          <w:ilvl w:val="0"/>
          <w:numId w:val="0"/>
        </w:numPr>
        <w:adjustRightInd w:val="0"/>
        <w:snapToGrid w:val="0"/>
        <w:spacing w:beforeLines="0" w:afterLines="0" w:line="579" w:lineRule="exact"/>
        <w:ind w:firstLine="640" w:firstLineChars="200"/>
        <w:jc w:val="both"/>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一、</w:t>
      </w:r>
      <w:r>
        <w:rPr>
          <w:rFonts w:hint="eastAsia" w:ascii="方正黑体_GBK" w:hAnsi="方正黑体_GBK" w:eastAsia="方正黑体_GBK" w:cs="方正黑体_GBK"/>
          <w:b w:val="0"/>
          <w:bCs w:val="0"/>
          <w:color w:val="auto"/>
          <w:kern w:val="0"/>
          <w:sz w:val="32"/>
          <w:szCs w:val="32"/>
          <w:highlight w:val="none"/>
        </w:rPr>
        <w:t>港珠澳大桥货运物流业务</w:t>
      </w:r>
    </w:p>
    <w:p>
      <w:pPr>
        <w:pStyle w:val="2"/>
        <w:numPr>
          <w:ilvl w:val="0"/>
          <w:numId w:val="0"/>
        </w:numPr>
        <w:adjustRightInd w:val="0"/>
        <w:snapToGrid w:val="0"/>
        <w:spacing w:beforeLines="0" w:afterLines="0" w:line="579" w:lineRule="exact"/>
        <w:ind w:firstLine="640" w:firstLineChars="200"/>
        <w:jc w:val="both"/>
        <w:rPr>
          <w:rFonts w:hint="eastAsia" w:ascii="CESI楷体-GB13000" w:hAnsi="CESI楷体-GB13000" w:eastAsia="CESI楷体-GB13000" w:cs="CESI楷体-GB13000"/>
          <w:b w:val="0"/>
          <w:bCs/>
          <w:color w:val="auto"/>
          <w:szCs w:val="32"/>
        </w:rPr>
      </w:pPr>
      <w:r>
        <w:rPr>
          <w:rFonts w:hint="eastAsia" w:ascii="CESI楷体-GB13000" w:hAnsi="CESI楷体-GB13000" w:eastAsia="CESI楷体-GB13000" w:cs="CESI楷体-GB13000"/>
          <w:b w:val="0"/>
          <w:bCs/>
          <w:color w:val="auto"/>
          <w:szCs w:val="32"/>
        </w:rPr>
        <w:t>（一）业务准备</w:t>
      </w:r>
    </w:p>
    <w:p>
      <w:pPr>
        <w:adjustRightInd w:val="0"/>
        <w:snapToGrid w:val="0"/>
        <w:spacing w:beforeLines="0" w:afterLines="0" w:line="579" w:lineRule="exact"/>
        <w:ind w:firstLine="640" w:firstLineChars="20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本次补贴以公路舱单</w:t>
      </w:r>
      <w:r>
        <w:rPr>
          <w:rFonts w:hint="eastAsia" w:ascii="华文仿宋" w:hAnsi="华文仿宋" w:eastAsia="华文仿宋" w:cs="华文仿宋"/>
          <w:b/>
          <w:color w:val="auto"/>
          <w:sz w:val="32"/>
          <w:szCs w:val="32"/>
        </w:rPr>
        <w:t>原始/预配舱单传输人</w:t>
      </w:r>
      <w:r>
        <w:rPr>
          <w:rFonts w:hint="eastAsia" w:ascii="华文仿宋" w:hAnsi="华文仿宋" w:eastAsia="华文仿宋" w:cs="华文仿宋"/>
          <w:color w:val="auto"/>
          <w:sz w:val="32"/>
          <w:szCs w:val="32"/>
        </w:rPr>
        <w:t>企业为申报主体（以下简称“申报主体企业”），请相关申报主体企业准备好以下电子口岸操作员卡。</w:t>
      </w:r>
    </w:p>
    <w:p>
      <w:pPr>
        <w:adjustRightInd w:val="0"/>
        <w:snapToGrid w:val="0"/>
        <w:spacing w:beforeLines="0" w:afterLines="0" w:line="579" w:lineRule="exact"/>
        <w:ind w:firstLine="640" w:firstLineChars="200"/>
        <w:jc w:val="both"/>
        <w:rPr>
          <w:rFonts w:hint="eastAsia" w:ascii="华文仿宋" w:hAnsi="华文仿宋" w:eastAsia="华文仿宋" w:cs="华文仿宋"/>
          <w:b/>
          <w:bCs w:val="0"/>
          <w:color w:val="auto"/>
          <w:sz w:val="32"/>
          <w:szCs w:val="32"/>
        </w:rPr>
      </w:pPr>
      <w:r>
        <w:rPr>
          <w:rFonts w:hint="eastAsia" w:ascii="华文仿宋" w:hAnsi="华文仿宋" w:eastAsia="华文仿宋" w:cs="华文仿宋"/>
          <w:b/>
          <w:bCs w:val="0"/>
          <w:color w:val="auto"/>
          <w:sz w:val="32"/>
          <w:szCs w:val="32"/>
        </w:rPr>
        <w:t>1</w:t>
      </w:r>
      <w:r>
        <w:rPr>
          <w:rFonts w:hint="eastAsia" w:ascii="华文仿宋" w:hAnsi="华文仿宋" w:eastAsia="华文仿宋" w:cs="华文仿宋"/>
          <w:b/>
          <w:bCs w:val="0"/>
          <w:color w:val="auto"/>
          <w:sz w:val="32"/>
          <w:szCs w:val="32"/>
          <w:lang w:val="en-US" w:eastAsia="zh-CN"/>
        </w:rPr>
        <w:t>.</w:t>
      </w:r>
      <w:r>
        <w:rPr>
          <w:rFonts w:hint="eastAsia" w:ascii="华文仿宋" w:hAnsi="华文仿宋" w:eastAsia="华文仿宋" w:cs="华文仿宋"/>
          <w:b/>
          <w:bCs w:val="0"/>
          <w:color w:val="auto"/>
          <w:sz w:val="32"/>
          <w:szCs w:val="32"/>
        </w:rPr>
        <w:t>公路舱单（原始、预配业务）</w:t>
      </w:r>
    </w:p>
    <w:p>
      <w:pPr>
        <w:adjustRightInd w:val="0"/>
        <w:snapToGrid w:val="0"/>
        <w:spacing w:beforeLines="0" w:afterLines="0" w:line="579" w:lineRule="exact"/>
        <w:ind w:firstLine="64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请公路舱单原始/预配申报企业（舱单传输人企业）提供本公司电子口岸操作员卡，作为申报主体，进行数据传输。</w:t>
      </w:r>
    </w:p>
    <w:p>
      <w:pPr>
        <w:adjustRightInd w:val="0"/>
        <w:snapToGrid w:val="0"/>
        <w:spacing w:beforeLines="0" w:afterLines="0" w:line="579" w:lineRule="exact"/>
        <w:ind w:firstLine="704" w:firstLineChars="220"/>
        <w:jc w:val="both"/>
        <w:rPr>
          <w:rFonts w:hint="eastAsia" w:ascii="华文仿宋" w:hAnsi="华文仿宋" w:eastAsia="华文仿宋" w:cs="华文仿宋"/>
          <w:b/>
          <w:color w:val="auto"/>
          <w:sz w:val="32"/>
          <w:szCs w:val="32"/>
        </w:rPr>
      </w:pPr>
      <w:r>
        <w:rPr>
          <w:rFonts w:hint="eastAsia" w:ascii="华文仿宋" w:hAnsi="华文仿宋" w:eastAsia="华文仿宋" w:cs="华文仿宋"/>
          <w:b/>
          <w:color w:val="auto"/>
          <w:sz w:val="32"/>
          <w:szCs w:val="32"/>
        </w:rPr>
        <w:t>2</w:t>
      </w:r>
      <w:r>
        <w:rPr>
          <w:rFonts w:hint="eastAsia" w:ascii="华文仿宋" w:hAnsi="华文仿宋" w:eastAsia="华文仿宋" w:cs="华文仿宋"/>
          <w:b/>
          <w:color w:val="auto"/>
          <w:sz w:val="32"/>
          <w:szCs w:val="32"/>
          <w:lang w:val="en-US" w:eastAsia="zh-CN"/>
        </w:rPr>
        <w:t>.</w:t>
      </w:r>
      <w:r>
        <w:rPr>
          <w:rFonts w:hint="eastAsia" w:ascii="华文仿宋" w:hAnsi="华文仿宋" w:eastAsia="华文仿宋" w:cs="华文仿宋"/>
          <w:b/>
          <w:color w:val="auto"/>
          <w:sz w:val="32"/>
          <w:szCs w:val="32"/>
        </w:rPr>
        <w:t>货物申报（报关单业务）</w:t>
      </w:r>
    </w:p>
    <w:p>
      <w:pPr>
        <w:adjustRightInd w:val="0"/>
        <w:snapToGrid w:val="0"/>
        <w:spacing w:beforeLines="0" w:afterLines="0" w:line="579" w:lineRule="exact"/>
        <w:ind w:firstLine="64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请申报主体企业协调与公路舱单原始/预配数据匹配的报关单相应企业的电子口岸操作员卡，作为佐证数据传输验证。</w:t>
      </w:r>
    </w:p>
    <w:p>
      <w:pPr>
        <w:adjustRightInd w:val="0"/>
        <w:snapToGrid w:val="0"/>
        <w:spacing w:beforeLines="0" w:afterLines="0" w:line="579" w:lineRule="exact"/>
        <w:ind w:firstLine="643"/>
        <w:jc w:val="both"/>
        <w:rPr>
          <w:rFonts w:hint="eastAsia" w:ascii="华文仿宋" w:hAnsi="华文仿宋" w:eastAsia="华文仿宋" w:cs="华文仿宋"/>
          <w:color w:val="auto"/>
          <w:sz w:val="32"/>
          <w:szCs w:val="32"/>
        </w:rPr>
      </w:pPr>
      <w:r>
        <w:rPr>
          <w:rFonts w:hint="eastAsia" w:ascii="华文仿宋" w:hAnsi="华文仿宋" w:eastAsia="华文仿宋" w:cs="华文仿宋"/>
          <w:b/>
          <w:color w:val="auto"/>
          <w:sz w:val="32"/>
          <w:szCs w:val="32"/>
        </w:rPr>
        <w:t>注意：</w:t>
      </w:r>
      <w:r>
        <w:rPr>
          <w:rFonts w:hint="eastAsia" w:ascii="华文仿宋" w:hAnsi="华文仿宋" w:eastAsia="华文仿宋" w:cs="华文仿宋"/>
          <w:color w:val="auto"/>
          <w:sz w:val="32"/>
          <w:szCs w:val="32"/>
        </w:rPr>
        <w:t>若相关报关单为申报主体企业申报，则无需额外提供货主企业的电子口岸操作员卡；若相关报关单非申报主体企业申报，则需协调相关报关单对应货主企业或相关报关单对应代理申报企业提供电子口岸操作员卡。</w:t>
      </w:r>
    </w:p>
    <w:p>
      <w:pPr>
        <w:adjustRightInd w:val="0"/>
        <w:snapToGrid w:val="0"/>
        <w:spacing w:beforeLines="0" w:afterLines="0" w:line="579" w:lineRule="exact"/>
        <w:ind w:firstLine="640"/>
        <w:jc w:val="both"/>
        <w:rPr>
          <w:rFonts w:hint="eastAsia" w:ascii="华文仿宋" w:hAnsi="华文仿宋" w:eastAsia="华文仿宋" w:cs="华文仿宋"/>
          <w:b/>
          <w:color w:val="auto"/>
          <w:sz w:val="32"/>
          <w:szCs w:val="32"/>
        </w:rPr>
      </w:pPr>
      <w:r>
        <w:rPr>
          <w:rFonts w:hint="eastAsia" w:ascii="华文仿宋" w:hAnsi="华文仿宋" w:eastAsia="华文仿宋" w:cs="华文仿宋"/>
          <w:b/>
          <w:bCs/>
          <w:color w:val="auto"/>
          <w:sz w:val="32"/>
          <w:szCs w:val="32"/>
        </w:rPr>
        <w:t>3</w:t>
      </w:r>
      <w:r>
        <w:rPr>
          <w:rFonts w:hint="eastAsia" w:ascii="华文仿宋" w:hAnsi="华文仿宋" w:eastAsia="华文仿宋" w:cs="华文仿宋"/>
          <w:b/>
          <w:bCs/>
          <w:color w:val="auto"/>
          <w:sz w:val="32"/>
          <w:szCs w:val="32"/>
          <w:lang w:val="en-US" w:eastAsia="zh-CN"/>
        </w:rPr>
        <w:t>.</w:t>
      </w:r>
      <w:r>
        <w:rPr>
          <w:rFonts w:hint="eastAsia" w:ascii="华文仿宋" w:hAnsi="华文仿宋" w:eastAsia="华文仿宋" w:cs="华文仿宋"/>
          <w:b/>
          <w:bCs/>
          <w:color w:val="auto"/>
          <w:sz w:val="32"/>
          <w:szCs w:val="32"/>
        </w:rPr>
        <w:t>公路</w:t>
      </w:r>
      <w:r>
        <w:rPr>
          <w:rFonts w:hint="eastAsia" w:ascii="华文仿宋" w:hAnsi="华文仿宋" w:eastAsia="华文仿宋" w:cs="华文仿宋"/>
          <w:b/>
          <w:color w:val="auto"/>
          <w:sz w:val="32"/>
          <w:szCs w:val="32"/>
        </w:rPr>
        <w:t>舱单（确报业务）</w:t>
      </w:r>
    </w:p>
    <w:p>
      <w:pPr>
        <w:adjustRightInd w:val="0"/>
        <w:snapToGrid w:val="0"/>
        <w:spacing w:beforeLines="0" w:afterLines="0" w:line="579" w:lineRule="exact"/>
        <w:ind w:firstLine="64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系统优化了数据对碰方式，</w:t>
      </w:r>
      <w:r>
        <w:rPr>
          <w:rFonts w:hint="eastAsia" w:ascii="华文仿宋" w:hAnsi="华文仿宋" w:eastAsia="华文仿宋" w:cs="华文仿宋"/>
          <w:b/>
          <w:bCs/>
          <w:color w:val="auto"/>
          <w:sz w:val="32"/>
          <w:szCs w:val="32"/>
        </w:rPr>
        <w:t>无需</w:t>
      </w:r>
      <w:r>
        <w:rPr>
          <w:rFonts w:hint="eastAsia" w:ascii="华文仿宋" w:hAnsi="华文仿宋" w:eastAsia="华文仿宋" w:cs="华文仿宋"/>
          <w:color w:val="auto"/>
          <w:sz w:val="32"/>
          <w:szCs w:val="32"/>
        </w:rPr>
        <w:t>确报企业单独提供电子口岸操作员卡获取确报数据作对碰。</w:t>
      </w:r>
    </w:p>
    <w:p>
      <w:pPr>
        <w:pStyle w:val="2"/>
        <w:numPr>
          <w:ilvl w:val="0"/>
          <w:numId w:val="0"/>
        </w:numPr>
        <w:adjustRightInd w:val="0"/>
        <w:snapToGrid w:val="0"/>
        <w:spacing w:beforeLines="0" w:afterLines="0" w:line="579" w:lineRule="exact"/>
        <w:ind w:firstLine="640" w:firstLineChars="200"/>
        <w:jc w:val="both"/>
        <w:rPr>
          <w:rFonts w:hint="eastAsia" w:ascii="CESI楷体-GB13000" w:hAnsi="CESI楷体-GB13000" w:eastAsia="CESI楷体-GB13000" w:cs="CESI楷体-GB13000"/>
          <w:b w:val="0"/>
          <w:bCs/>
          <w:color w:val="auto"/>
          <w:szCs w:val="32"/>
        </w:rPr>
      </w:pPr>
      <w:r>
        <w:rPr>
          <w:rFonts w:hint="eastAsia" w:ascii="CESI楷体-GB13000" w:hAnsi="CESI楷体-GB13000" w:eastAsia="CESI楷体-GB13000" w:cs="CESI楷体-GB13000"/>
          <w:b w:val="0"/>
          <w:bCs/>
          <w:color w:val="auto"/>
          <w:szCs w:val="32"/>
        </w:rPr>
        <w:t>（二）补贴数据获取</w:t>
      </w:r>
    </w:p>
    <w:p>
      <w:pPr>
        <w:adjustRightInd w:val="0"/>
        <w:snapToGrid w:val="0"/>
        <w:spacing w:beforeLines="0" w:afterLines="0" w:line="579" w:lineRule="exact"/>
        <w:ind w:firstLine="64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请符补贴申请的相关申报主体企业，携带公路舱单（原始预配业务）及报关单对应的电子口岸操作员卡送至珠海电子口岸管理有限公司，进行数据统计。</w:t>
      </w:r>
    </w:p>
    <w:p>
      <w:pPr>
        <w:adjustRightInd w:val="0"/>
        <w:snapToGrid w:val="0"/>
        <w:spacing w:beforeLines="0" w:afterLines="0" w:line="579" w:lineRule="exact"/>
        <w:ind w:firstLine="643"/>
        <w:jc w:val="both"/>
        <w:rPr>
          <w:rFonts w:hint="eastAsia" w:ascii="华文仿宋" w:hAnsi="华文仿宋" w:eastAsia="华文仿宋" w:cs="华文仿宋"/>
          <w:color w:val="auto"/>
          <w:sz w:val="32"/>
          <w:szCs w:val="32"/>
        </w:rPr>
      </w:pPr>
      <w:r>
        <w:rPr>
          <w:rFonts w:hint="eastAsia" w:ascii="华文仿宋" w:hAnsi="华文仿宋" w:eastAsia="华文仿宋" w:cs="华文仿宋"/>
          <w:b/>
          <w:color w:val="auto"/>
          <w:sz w:val="32"/>
          <w:szCs w:val="32"/>
        </w:rPr>
        <w:t>珠海电子口岸管理有限公司地址：</w:t>
      </w:r>
      <w:r>
        <w:rPr>
          <w:rFonts w:hint="eastAsia" w:ascii="华文仿宋" w:hAnsi="华文仿宋" w:eastAsia="华文仿宋" w:cs="华文仿宋"/>
          <w:color w:val="auto"/>
          <w:sz w:val="32"/>
          <w:szCs w:val="32"/>
        </w:rPr>
        <w:t>珠海市香洲区景山路188号粤财大厦22楼12单元。</w:t>
      </w:r>
    </w:p>
    <w:p>
      <w:pPr>
        <w:adjustRightInd w:val="0"/>
        <w:snapToGrid w:val="0"/>
        <w:spacing w:beforeLines="0" w:afterLines="0" w:line="579" w:lineRule="exact"/>
        <w:ind w:firstLine="643"/>
        <w:jc w:val="both"/>
        <w:rPr>
          <w:rFonts w:hint="eastAsia" w:ascii="华文仿宋" w:hAnsi="华文仿宋" w:eastAsia="华文仿宋" w:cs="华文仿宋"/>
          <w:color w:val="auto"/>
          <w:sz w:val="32"/>
          <w:szCs w:val="32"/>
        </w:rPr>
      </w:pPr>
      <w:r>
        <w:rPr>
          <w:rFonts w:hint="eastAsia" w:ascii="华文仿宋" w:hAnsi="华文仿宋" w:eastAsia="华文仿宋" w:cs="华文仿宋"/>
          <w:b/>
          <w:color w:val="auto"/>
          <w:sz w:val="32"/>
          <w:szCs w:val="32"/>
        </w:rPr>
        <w:t>温馨提示：</w:t>
      </w:r>
      <w:r>
        <w:rPr>
          <w:rFonts w:hint="eastAsia" w:ascii="华文仿宋" w:hAnsi="华文仿宋" w:eastAsia="华文仿宋" w:cs="华文仿宋"/>
          <w:color w:val="auto"/>
          <w:sz w:val="32"/>
          <w:szCs w:val="32"/>
        </w:rPr>
        <w:t>企业在到珠海电子口岸管理有限公司提交电子口岸操作员卡前，请先通过珠海电子口岸客户服务热线（020-95198转3）或珠海电子口岸客户服务平台联系珠海电子口岸管理有限公司工作人员</w:t>
      </w:r>
      <w:r>
        <w:rPr>
          <w:rFonts w:hint="eastAsia" w:ascii="华文仿宋" w:hAnsi="华文仿宋" w:eastAsia="华文仿宋" w:cs="华文仿宋"/>
          <w:b/>
          <w:color w:val="auto"/>
          <w:sz w:val="32"/>
          <w:szCs w:val="32"/>
        </w:rPr>
        <w:t>进行预约</w:t>
      </w:r>
      <w:r>
        <w:rPr>
          <w:rFonts w:hint="eastAsia" w:ascii="华文仿宋" w:hAnsi="华文仿宋" w:eastAsia="华文仿宋" w:cs="华文仿宋"/>
          <w:color w:val="auto"/>
          <w:sz w:val="32"/>
          <w:szCs w:val="32"/>
        </w:rPr>
        <w:t>，避免不必要的时间冲突。</w:t>
      </w:r>
    </w:p>
    <w:p>
      <w:pPr>
        <w:pStyle w:val="2"/>
        <w:numPr>
          <w:ilvl w:val="0"/>
          <w:numId w:val="0"/>
        </w:numPr>
        <w:adjustRightInd w:val="0"/>
        <w:snapToGrid w:val="0"/>
        <w:spacing w:beforeLines="0" w:afterLines="0" w:line="579" w:lineRule="exact"/>
        <w:ind w:firstLine="640" w:firstLineChars="200"/>
        <w:jc w:val="both"/>
        <w:rPr>
          <w:rFonts w:hint="eastAsia" w:ascii="CESI楷体-GB13000" w:hAnsi="CESI楷体-GB13000" w:eastAsia="CESI楷体-GB13000" w:cs="CESI楷体-GB13000"/>
          <w:b w:val="0"/>
          <w:bCs/>
          <w:color w:val="auto"/>
          <w:szCs w:val="32"/>
        </w:rPr>
      </w:pPr>
      <w:r>
        <w:rPr>
          <w:rFonts w:hint="eastAsia" w:ascii="CESI楷体-GB13000" w:hAnsi="CESI楷体-GB13000" w:eastAsia="CESI楷体-GB13000" w:cs="CESI楷体-GB13000"/>
          <w:b w:val="0"/>
          <w:bCs/>
          <w:color w:val="auto"/>
          <w:szCs w:val="32"/>
        </w:rPr>
        <w:t>（三）查看核准结果</w:t>
      </w:r>
    </w:p>
    <w:p>
      <w:pPr>
        <w:adjustRightInd w:val="0"/>
        <w:snapToGrid w:val="0"/>
        <w:spacing w:beforeLines="0" w:afterLines="0" w:line="579" w:lineRule="exact"/>
        <w:ind w:firstLine="640" w:firstLineChars="20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申报主体企业联系人在取得珠海电子口岸管理有限公司工作人员通知本次申请所有数据已完成统计后，申报主体企业可通过“港珠澳大桥货运补贴辅助系统”查看及打印相关统计结果。</w:t>
      </w:r>
    </w:p>
    <w:p>
      <w:pPr>
        <w:adjustRightInd w:val="0"/>
        <w:snapToGrid w:val="0"/>
        <w:spacing w:beforeLines="0" w:afterLines="0" w:line="579" w:lineRule="exact"/>
        <w:ind w:firstLine="643"/>
        <w:jc w:val="both"/>
        <w:rPr>
          <w:rFonts w:hint="eastAsia" w:ascii="华文仿宋" w:hAnsi="华文仿宋" w:eastAsia="华文仿宋" w:cs="华文仿宋"/>
          <w:b/>
          <w:color w:val="auto"/>
          <w:sz w:val="32"/>
          <w:szCs w:val="32"/>
        </w:rPr>
      </w:pPr>
      <w:r>
        <w:rPr>
          <w:rFonts w:hint="eastAsia" w:ascii="华文仿宋" w:hAnsi="华文仿宋" w:eastAsia="华文仿宋" w:cs="华文仿宋"/>
          <w:b/>
          <w:color w:val="auto"/>
          <w:sz w:val="32"/>
          <w:szCs w:val="32"/>
        </w:rPr>
        <w:t>1</w:t>
      </w:r>
      <w:r>
        <w:rPr>
          <w:rFonts w:hint="eastAsia" w:ascii="华文仿宋" w:hAnsi="华文仿宋" w:eastAsia="华文仿宋" w:cs="华文仿宋"/>
          <w:b/>
          <w:color w:val="auto"/>
          <w:sz w:val="32"/>
          <w:szCs w:val="32"/>
          <w:lang w:val="en-US" w:eastAsia="zh-CN"/>
        </w:rPr>
        <w:t>.</w:t>
      </w:r>
      <w:r>
        <w:rPr>
          <w:rFonts w:hint="eastAsia" w:ascii="华文仿宋" w:hAnsi="华文仿宋" w:eastAsia="华文仿宋" w:cs="华文仿宋"/>
          <w:b/>
          <w:color w:val="auto"/>
          <w:sz w:val="32"/>
          <w:szCs w:val="32"/>
        </w:rPr>
        <w:t>系统登录（由珠海电子口岸协助注册）</w:t>
      </w:r>
    </w:p>
    <w:p>
      <w:pPr>
        <w:adjustRightInd w:val="0"/>
        <w:snapToGrid w:val="0"/>
        <w:spacing w:beforeLines="0" w:afterLines="0" w:line="579" w:lineRule="exact"/>
        <w:ind w:firstLineChars="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（1）打开浏览器（建议使用谷歌Google Chrome浏览器、火狐FIREFOX浏览器），输入珠海国际贸易“单一窗口”网址https://zh.gd.singlewindow.cn/，进入珠海电子口岸官网首页。</w:t>
      </w:r>
    </w:p>
    <w:p>
      <w:pPr>
        <w:adjustRightInd w:val="0"/>
        <w:snapToGrid w:val="0"/>
        <w:ind w:firstLine="0" w:firstLineChars="0"/>
        <w:jc w:val="left"/>
        <w:rPr>
          <w:rFonts w:hint="eastAsia"/>
          <w:color w:val="auto"/>
          <w:sz w:val="32"/>
          <w:szCs w:val="32"/>
        </w:rPr>
      </w:pPr>
      <w:r>
        <w:rPr>
          <w:rFonts w:hint="eastAsia"/>
          <w:color w:val="auto"/>
          <w:sz w:val="32"/>
          <w:szCs w:val="32"/>
        </w:rPr>
        <w:drawing>
          <wp:inline distT="0" distB="0" distL="114300" distR="114300">
            <wp:extent cx="5400040" cy="2879725"/>
            <wp:effectExtent l="0" t="0" r="10160" b="158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6"/>
                    <a:srcRect l="6975" r="5505" b="31236"/>
                    <a:stretch>
                      <a:fillRect/>
                    </a:stretch>
                  </pic:blipFill>
                  <pic:spPr>
                    <a:xfrm>
                      <a:off x="0" y="0"/>
                      <a:ext cx="5400040" cy="2879725"/>
                    </a:xfrm>
                    <a:prstGeom prst="rect">
                      <a:avLst/>
                    </a:prstGeom>
                    <a:noFill/>
                    <a:ln>
                      <a:noFill/>
                    </a:ln>
                  </pic:spPr>
                </pic:pic>
              </a:graphicData>
            </a:graphic>
          </wp:inline>
        </w:drawing>
      </w:r>
    </w:p>
    <w:p>
      <w:pPr>
        <w:adjustRightInd w:val="0"/>
        <w:snapToGrid w:val="0"/>
        <w:spacing w:beforeLines="0" w:afterLines="0" w:line="579" w:lineRule="exact"/>
        <w:ind w:firstLine="640" w:firstLineChars="200"/>
        <w:jc w:val="left"/>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（2）滚动页面，找到“地方特色应用”下的“港珠澳大桥货运补贴”图标。</w:t>
      </w:r>
    </w:p>
    <w:p>
      <w:pPr>
        <w:adjustRightInd w:val="0"/>
        <w:snapToGrid w:val="0"/>
        <w:ind w:firstLine="0" w:firstLineChars="0"/>
        <w:rPr>
          <w:rFonts w:hint="eastAsia"/>
          <w:color w:val="auto"/>
          <w:sz w:val="32"/>
          <w:szCs w:val="32"/>
        </w:rPr>
      </w:pPr>
      <w:r>
        <w:rPr>
          <w:rFonts w:hint="eastAsia"/>
          <w:color w:val="auto"/>
          <w:sz w:val="32"/>
          <w:szCs w:val="32"/>
        </w:rPr>
        <w:drawing>
          <wp:inline distT="0" distB="0" distL="114300" distR="114300">
            <wp:extent cx="5400040" cy="4231005"/>
            <wp:effectExtent l="0" t="0" r="10160" b="1714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7"/>
                    <a:srcRect l="6631" r="4892"/>
                    <a:stretch>
                      <a:fillRect/>
                    </a:stretch>
                  </pic:blipFill>
                  <pic:spPr>
                    <a:xfrm>
                      <a:off x="0" y="0"/>
                      <a:ext cx="5400040" cy="4231005"/>
                    </a:xfrm>
                    <a:prstGeom prst="rect">
                      <a:avLst/>
                    </a:prstGeom>
                    <a:noFill/>
                    <a:ln>
                      <a:noFill/>
                    </a:ln>
                  </pic:spPr>
                </pic:pic>
              </a:graphicData>
            </a:graphic>
          </wp:inline>
        </w:drawing>
      </w:r>
    </w:p>
    <w:p>
      <w:pPr>
        <w:adjustRightInd w:val="0"/>
        <w:snapToGrid w:val="0"/>
        <w:spacing w:line="579" w:lineRule="exact"/>
        <w:ind w:firstLine="641"/>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（3）点击“港珠澳大桥货运补贴”模块进入系统。</w:t>
      </w:r>
    </w:p>
    <w:p>
      <w:pPr>
        <w:adjustRightInd w:val="0"/>
        <w:snapToGrid w:val="0"/>
        <w:ind w:left="640" w:hanging="640" w:hangingChars="200"/>
        <w:rPr>
          <w:rFonts w:hint="eastAsia" w:hAnsi="仿宋" w:cs="宋体"/>
          <w:bCs/>
          <w:color w:val="auto"/>
          <w:sz w:val="32"/>
          <w:szCs w:val="32"/>
        </w:rPr>
      </w:pPr>
      <w:r>
        <w:rPr>
          <w:rFonts w:hint="eastAsia" w:hAnsi="仿宋" w:cs="宋体"/>
          <w:bCs/>
          <w:color w:val="auto"/>
          <w:sz w:val="32"/>
          <w:szCs w:val="32"/>
        </w:rPr>
        <w:drawing>
          <wp:inline distT="0" distB="0" distL="114300" distR="114300">
            <wp:extent cx="5400040" cy="1071245"/>
            <wp:effectExtent l="0" t="0" r="10160" b="1460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8"/>
                    <a:srcRect t="37401"/>
                    <a:stretch>
                      <a:fillRect/>
                    </a:stretch>
                  </pic:blipFill>
                  <pic:spPr>
                    <a:xfrm>
                      <a:off x="0" y="0"/>
                      <a:ext cx="5400040" cy="1071245"/>
                    </a:xfrm>
                    <a:prstGeom prst="rect">
                      <a:avLst/>
                    </a:prstGeom>
                    <a:noFill/>
                    <a:ln>
                      <a:noFill/>
                    </a:ln>
                  </pic:spPr>
                </pic:pic>
              </a:graphicData>
            </a:graphic>
          </wp:inline>
        </w:drawing>
      </w:r>
    </w:p>
    <w:p>
      <w:pPr>
        <w:adjustRightInd w:val="0"/>
        <w:snapToGrid w:val="0"/>
        <w:spacing w:line="579" w:lineRule="exact"/>
        <w:ind w:left="651" w:leftChars="310" w:firstLine="0" w:firstLineChars="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（4）点击“企业用户”，使用账号或卡介质进行登录。</w:t>
      </w:r>
    </w:p>
    <w:p>
      <w:pPr>
        <w:adjustRightInd w:val="0"/>
        <w:snapToGrid w:val="0"/>
        <w:ind w:firstLine="0" w:firstLineChars="0"/>
        <w:rPr>
          <w:rFonts w:hint="eastAsia"/>
          <w:color w:val="auto"/>
          <w:sz w:val="32"/>
          <w:szCs w:val="32"/>
        </w:rPr>
      </w:pPr>
      <w:r>
        <w:rPr>
          <w:rFonts w:hint="eastAsia"/>
          <w:color w:val="auto"/>
          <w:sz w:val="32"/>
          <w:szCs w:val="32"/>
        </w:rPr>
        <w:drawing>
          <wp:inline distT="0" distB="0" distL="114300" distR="114300">
            <wp:extent cx="5400040" cy="2661920"/>
            <wp:effectExtent l="0" t="0" r="10160" b="508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29"/>
                    <a:srcRect t="645" b="11197"/>
                    <a:stretch>
                      <a:fillRect/>
                    </a:stretch>
                  </pic:blipFill>
                  <pic:spPr>
                    <a:xfrm>
                      <a:off x="0" y="0"/>
                      <a:ext cx="5400040" cy="2661920"/>
                    </a:xfrm>
                    <a:prstGeom prst="rect">
                      <a:avLst/>
                    </a:prstGeom>
                    <a:noFill/>
                    <a:ln>
                      <a:noFill/>
                    </a:ln>
                  </pic:spPr>
                </pic:pic>
              </a:graphicData>
            </a:graphic>
          </wp:inline>
        </w:drawing>
      </w:r>
    </w:p>
    <w:p>
      <w:pPr>
        <w:adjustRightInd w:val="0"/>
        <w:snapToGrid w:val="0"/>
        <w:spacing w:line="579" w:lineRule="exact"/>
        <w:ind w:firstLine="643"/>
        <w:rPr>
          <w:rFonts w:hint="eastAsia" w:ascii="华文仿宋" w:hAnsi="华文仿宋" w:eastAsia="华文仿宋" w:cs="华文仿宋"/>
          <w:b/>
          <w:color w:val="auto"/>
          <w:sz w:val="32"/>
          <w:szCs w:val="32"/>
          <w:lang w:eastAsia="zh-CN"/>
        </w:rPr>
      </w:pPr>
      <w:r>
        <w:rPr>
          <w:rFonts w:hint="eastAsia" w:ascii="华文仿宋" w:hAnsi="华文仿宋" w:eastAsia="华文仿宋" w:cs="华文仿宋"/>
          <w:b/>
          <w:color w:val="auto"/>
          <w:sz w:val="32"/>
          <w:szCs w:val="32"/>
        </w:rPr>
        <w:t>2</w:t>
      </w:r>
      <w:r>
        <w:rPr>
          <w:rFonts w:hint="eastAsia" w:ascii="华文仿宋" w:hAnsi="华文仿宋" w:eastAsia="华文仿宋" w:cs="华文仿宋"/>
          <w:b/>
          <w:color w:val="auto"/>
          <w:sz w:val="32"/>
          <w:szCs w:val="32"/>
          <w:lang w:val="en-US" w:eastAsia="zh-CN"/>
        </w:rPr>
        <w:t>.</w:t>
      </w:r>
      <w:r>
        <w:rPr>
          <w:rFonts w:hint="eastAsia" w:ascii="华文仿宋" w:hAnsi="华文仿宋" w:eastAsia="华文仿宋" w:cs="华文仿宋"/>
          <w:b/>
          <w:color w:val="auto"/>
          <w:sz w:val="32"/>
          <w:szCs w:val="32"/>
        </w:rPr>
        <w:t>补贴数据查询</w:t>
      </w:r>
    </w:p>
    <w:p>
      <w:pPr>
        <w:adjustRightInd w:val="0"/>
        <w:snapToGrid w:val="0"/>
        <w:spacing w:line="579" w:lineRule="exact"/>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进入“港珠澳大桥货运补贴辅助系统”后，点击“补贴查询”进入查询界面，确认结果无误后点击“打印”按钮即可。若对统计数据有异议，请联系珠海电子口岸管理有限公司020-95198转3进行反馈。</w:t>
      </w:r>
    </w:p>
    <w:p>
      <w:pPr>
        <w:adjustRightInd w:val="0"/>
        <w:snapToGrid w:val="0"/>
        <w:ind w:firstLine="0" w:firstLineChars="0"/>
        <w:rPr>
          <w:rFonts w:hint="eastAsia"/>
          <w:color w:val="auto"/>
          <w:sz w:val="32"/>
          <w:szCs w:val="32"/>
        </w:rPr>
      </w:pPr>
      <w:r>
        <w:rPr>
          <w:rFonts w:hint="eastAsia"/>
          <w:color w:val="auto"/>
          <w:sz w:val="32"/>
          <w:szCs w:val="32"/>
        </w:rPr>
        <w:drawing>
          <wp:inline distT="0" distB="0" distL="114300" distR="114300">
            <wp:extent cx="5400040" cy="1039495"/>
            <wp:effectExtent l="0" t="0" r="10160" b="8255"/>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30"/>
                    <a:stretch>
                      <a:fillRect/>
                    </a:stretch>
                  </pic:blipFill>
                  <pic:spPr>
                    <a:xfrm>
                      <a:off x="0" y="0"/>
                      <a:ext cx="5400040" cy="1039495"/>
                    </a:xfrm>
                    <a:prstGeom prst="rect">
                      <a:avLst/>
                    </a:prstGeom>
                    <a:noFill/>
                    <a:ln>
                      <a:noFill/>
                    </a:ln>
                  </pic:spPr>
                </pic:pic>
              </a:graphicData>
            </a:graphic>
          </wp:inline>
        </w:drawing>
      </w:r>
    </w:p>
    <w:p>
      <w:pPr>
        <w:pStyle w:val="2"/>
        <w:numPr>
          <w:ilvl w:val="0"/>
          <w:numId w:val="0"/>
        </w:numPr>
        <w:adjustRightInd w:val="0"/>
        <w:snapToGrid w:val="0"/>
        <w:spacing w:line="579" w:lineRule="exact"/>
        <w:ind w:firstLine="640" w:firstLineChars="200"/>
        <w:rPr>
          <w:rFonts w:ascii="黑体" w:hAnsi="黑体"/>
          <w:b w:val="0"/>
          <w:color w:val="auto"/>
          <w:szCs w:val="32"/>
        </w:rPr>
      </w:pPr>
      <w:r>
        <w:rPr>
          <w:rFonts w:hint="eastAsia" w:ascii="黑体" w:hAnsi="黑体"/>
          <w:b w:val="0"/>
          <w:color w:val="auto"/>
          <w:szCs w:val="32"/>
          <w:lang w:eastAsia="zh-CN"/>
        </w:rPr>
        <w:t>二</w:t>
      </w:r>
      <w:r>
        <w:rPr>
          <w:rFonts w:hint="eastAsia" w:ascii="黑体" w:hAnsi="黑体"/>
          <w:b w:val="0"/>
          <w:color w:val="auto"/>
          <w:szCs w:val="32"/>
        </w:rPr>
        <w:t>、相关咨询联系方式</w:t>
      </w:r>
    </w:p>
    <w:p>
      <w:pPr>
        <w:pStyle w:val="3"/>
        <w:numPr>
          <w:ilvl w:val="0"/>
          <w:numId w:val="0"/>
        </w:numPr>
        <w:adjustRightInd w:val="0"/>
        <w:snapToGrid w:val="0"/>
        <w:spacing w:line="579" w:lineRule="exact"/>
        <w:ind w:firstLine="640" w:firstLineChars="200"/>
        <w:rPr>
          <w:rFonts w:hint="eastAsia" w:ascii="CESI楷体-GB13000" w:hAnsi="CESI楷体-GB13000" w:eastAsia="CESI楷体-GB13000" w:cs="CESI楷体-GB13000"/>
          <w:b w:val="0"/>
          <w:bCs/>
          <w:color w:val="auto"/>
          <w:sz w:val="32"/>
          <w:szCs w:val="32"/>
          <w:lang w:eastAsia="zh-CN"/>
        </w:rPr>
      </w:pPr>
      <w:r>
        <w:rPr>
          <w:rFonts w:hint="eastAsia" w:ascii="CESI楷体-GB13000" w:hAnsi="CESI楷体-GB13000" w:eastAsia="CESI楷体-GB13000" w:cs="CESI楷体-GB13000"/>
          <w:b w:val="0"/>
          <w:bCs/>
          <w:color w:val="auto"/>
          <w:sz w:val="32"/>
          <w:szCs w:val="32"/>
          <w:lang w:eastAsia="zh-CN"/>
        </w:rPr>
        <w:t>（一）</w:t>
      </w:r>
      <w:r>
        <w:rPr>
          <w:rFonts w:hint="eastAsia" w:ascii="CESI楷体-GB13000" w:hAnsi="CESI楷体-GB13000" w:eastAsia="CESI楷体-GB13000" w:cs="CESI楷体-GB13000"/>
          <w:b w:val="0"/>
          <w:bCs/>
          <w:color w:val="auto"/>
          <w:sz w:val="32"/>
          <w:szCs w:val="32"/>
        </w:rPr>
        <w:t>珠海电子口岸管理有限公司地址</w:t>
      </w:r>
    </w:p>
    <w:p>
      <w:pPr>
        <w:adjustRightInd w:val="0"/>
        <w:snapToGrid w:val="0"/>
        <w:spacing w:line="579" w:lineRule="exact"/>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珠海市香洲区景山路188号粤财大厦22楼12单元。</w:t>
      </w:r>
    </w:p>
    <w:p>
      <w:pPr>
        <w:adjustRightInd w:val="0"/>
        <w:snapToGrid w:val="0"/>
        <w:spacing w:line="579" w:lineRule="exact"/>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温馨提示：企业在到现场提交法人卡或操作员卡前，请先通过客户服务热线或客户服务平台联系现场人员，避免不必要的时间冲突。</w:t>
      </w:r>
    </w:p>
    <w:p>
      <w:pPr>
        <w:pStyle w:val="3"/>
        <w:numPr>
          <w:ilvl w:val="0"/>
          <w:numId w:val="0"/>
        </w:numPr>
        <w:adjustRightInd w:val="0"/>
        <w:snapToGrid w:val="0"/>
        <w:spacing w:line="579" w:lineRule="exact"/>
        <w:ind w:firstLine="640" w:firstLineChars="200"/>
        <w:rPr>
          <w:rFonts w:hint="eastAsia" w:ascii="CESI楷体-GB13000" w:hAnsi="CESI楷体-GB13000" w:eastAsia="CESI楷体-GB13000" w:cs="CESI楷体-GB13000"/>
          <w:b w:val="0"/>
          <w:bCs/>
          <w:color w:val="auto"/>
          <w:sz w:val="32"/>
          <w:szCs w:val="32"/>
          <w:lang w:eastAsia="zh-CN"/>
        </w:rPr>
      </w:pPr>
      <w:r>
        <w:rPr>
          <w:rFonts w:hint="eastAsia" w:ascii="CESI楷体-GB13000" w:hAnsi="CESI楷体-GB13000" w:eastAsia="CESI楷体-GB13000" w:cs="CESI楷体-GB13000"/>
          <w:b w:val="0"/>
          <w:bCs/>
          <w:color w:val="auto"/>
          <w:sz w:val="32"/>
          <w:szCs w:val="32"/>
          <w:lang w:eastAsia="zh-CN"/>
        </w:rPr>
        <w:t>（二）</w:t>
      </w:r>
      <w:r>
        <w:rPr>
          <w:rFonts w:hint="eastAsia" w:ascii="CESI楷体-GB13000" w:hAnsi="CESI楷体-GB13000" w:eastAsia="CESI楷体-GB13000" w:cs="CESI楷体-GB13000"/>
          <w:b w:val="0"/>
          <w:bCs/>
          <w:color w:val="auto"/>
          <w:sz w:val="32"/>
          <w:szCs w:val="32"/>
        </w:rPr>
        <w:t>咨询方式</w:t>
      </w:r>
    </w:p>
    <w:p>
      <w:pPr>
        <w:adjustRightInd w:val="0"/>
        <w:snapToGrid w:val="0"/>
        <w:spacing w:line="579" w:lineRule="exact"/>
        <w:ind w:firstLine="64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企业在使用系统过程中遇到问题请致电珠海电子口岸统一客服热线或使用珠海电子口岸客户服务平台进行咨询及报障。</w:t>
      </w:r>
    </w:p>
    <w:p>
      <w:pPr>
        <w:numPr>
          <w:ilvl w:val="0"/>
          <w:numId w:val="0"/>
        </w:numPr>
        <w:adjustRightInd w:val="0"/>
        <w:snapToGrid w:val="0"/>
        <w:spacing w:line="579"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US" w:eastAsia="zh-CN"/>
        </w:rPr>
        <w:t>1.</w:t>
      </w:r>
      <w:r>
        <w:rPr>
          <w:rFonts w:hint="eastAsia" w:ascii="华文仿宋" w:hAnsi="华文仿宋" w:eastAsia="华文仿宋" w:cs="华文仿宋"/>
          <w:color w:val="auto"/>
          <w:sz w:val="32"/>
          <w:szCs w:val="32"/>
        </w:rPr>
        <w:t>珠海电子口岸统一客服热线：020-95198转3。</w:t>
      </w:r>
    </w:p>
    <w:p>
      <w:pPr>
        <w:numPr>
          <w:ilvl w:val="0"/>
          <w:numId w:val="0"/>
        </w:numPr>
        <w:adjustRightInd w:val="0"/>
        <w:snapToGrid w:val="0"/>
        <w:spacing w:line="240" w:lineRule="auto"/>
        <w:ind w:firstLine="640" w:firstLineChars="200"/>
        <w:jc w:val="left"/>
        <w:rPr>
          <w:rFonts w:hint="eastAsia"/>
          <w:color w:val="auto"/>
          <w:sz w:val="32"/>
          <w:szCs w:val="32"/>
        </w:rPr>
      </w:pPr>
      <w:r>
        <w:rPr>
          <w:rFonts w:hint="eastAsia" w:ascii="华文仿宋" w:hAnsi="华文仿宋" w:eastAsia="华文仿宋" w:cs="华文仿宋"/>
          <w:color w:val="auto"/>
          <w:sz w:val="32"/>
          <w:szCs w:val="32"/>
          <w:lang w:val="en-US" w:eastAsia="zh-CN"/>
        </w:rPr>
        <w:t>2.</w:t>
      </w:r>
      <w:r>
        <w:rPr>
          <w:rFonts w:hint="eastAsia" w:ascii="华文仿宋" w:hAnsi="华文仿宋" w:eastAsia="华文仿宋" w:cs="华文仿宋"/>
          <w:color w:val="auto"/>
          <w:sz w:val="32"/>
          <w:szCs w:val="32"/>
        </w:rPr>
        <w:t>客户服务平台地址：https://zh.gd.singlewindow.cn/-“客户服务”板块，“客户服务平台”模块。</w:t>
      </w:r>
      <w:r>
        <w:rPr>
          <w:rFonts w:hint="eastAsia"/>
          <w:color w:val="auto"/>
          <w:sz w:val="32"/>
          <w:szCs w:val="32"/>
        </w:rPr>
        <w:drawing>
          <wp:inline distT="0" distB="0" distL="114300" distR="114300">
            <wp:extent cx="5400040" cy="3288030"/>
            <wp:effectExtent l="0" t="0" r="10160" b="7620"/>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31"/>
                    <a:srcRect l="8737" t="256" r="11006" b="5170"/>
                    <a:stretch>
                      <a:fillRect/>
                    </a:stretch>
                  </pic:blipFill>
                  <pic:spPr>
                    <a:xfrm>
                      <a:off x="0" y="0"/>
                      <a:ext cx="5400040" cy="3288030"/>
                    </a:xfrm>
                    <a:prstGeom prst="rect">
                      <a:avLst/>
                    </a:prstGeom>
                    <a:noFill/>
                    <a:ln>
                      <a:noFill/>
                    </a:ln>
                  </pic:spPr>
                </pic:pic>
              </a:graphicData>
            </a:graphic>
          </wp:inline>
        </w:drawing>
      </w:r>
    </w:p>
    <w:p>
      <w:pPr>
        <w:adjustRightInd w:val="0"/>
        <w:snapToGrid w:val="0"/>
        <w:ind w:firstLine="0" w:firstLineChars="0"/>
        <w:rPr>
          <w:rFonts w:hint="eastAsia"/>
          <w:color w:val="auto"/>
          <w:sz w:val="32"/>
          <w:szCs w:val="32"/>
        </w:rPr>
      </w:pPr>
    </w:p>
    <w:p>
      <w:pPr>
        <w:adjustRightInd w:val="0"/>
        <w:snapToGrid w:val="0"/>
        <w:ind w:firstLine="0" w:firstLineChars="0"/>
        <w:rPr>
          <w:rFonts w:hint="eastAsia"/>
          <w:color w:val="auto"/>
          <w:sz w:val="32"/>
          <w:szCs w:val="32"/>
        </w:rPr>
      </w:pPr>
    </w:p>
    <w:p>
      <w:pPr>
        <w:adjustRightInd w:val="0"/>
        <w:snapToGrid w:val="0"/>
        <w:ind w:firstLine="0" w:firstLineChars="0"/>
        <w:rPr>
          <w:color w:val="auto"/>
          <w:sz w:val="32"/>
          <w:szCs w:val="32"/>
        </w:rPr>
      </w:pPr>
      <w:r>
        <w:rPr>
          <w:color w:val="auto"/>
        </w:rPr>
        <w:drawing>
          <wp:inline distT="0" distB="0" distL="114300" distR="114300">
            <wp:extent cx="5400040" cy="2578100"/>
            <wp:effectExtent l="0" t="0" r="10160" b="12700"/>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32"/>
                    <a:srcRect l="6114" r="5762" b="25090"/>
                    <a:stretch>
                      <a:fillRect/>
                    </a:stretch>
                  </pic:blipFill>
                  <pic:spPr>
                    <a:xfrm>
                      <a:off x="0" y="0"/>
                      <a:ext cx="5400040" cy="2578100"/>
                    </a:xfrm>
                    <a:prstGeom prst="rect">
                      <a:avLst/>
                    </a:prstGeom>
                    <a:noFill/>
                    <a:ln>
                      <a:noFill/>
                    </a:ln>
                  </pic:spPr>
                </pic:pic>
              </a:graphicData>
            </a:graphic>
          </wp:inline>
        </w:drawing>
      </w:r>
    </w:p>
    <w:p>
      <w:pPr>
        <w:adjustRightInd w:val="0"/>
        <w:snapToGrid w:val="0"/>
        <w:ind w:firstLine="0" w:firstLineChars="0"/>
        <w:rPr>
          <w:color w:val="auto"/>
          <w:sz w:val="32"/>
          <w:szCs w:val="32"/>
        </w:rPr>
      </w:pPr>
      <w:r>
        <w:rPr>
          <w:color w:val="auto"/>
        </w:rPr>
        <w:drawing>
          <wp:inline distT="0" distB="0" distL="114300" distR="114300">
            <wp:extent cx="5400040" cy="2429510"/>
            <wp:effectExtent l="0" t="0" r="10160" b="8890"/>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33"/>
                    <a:srcRect b="5344"/>
                    <a:stretch>
                      <a:fillRect/>
                    </a:stretch>
                  </pic:blipFill>
                  <pic:spPr>
                    <a:xfrm>
                      <a:off x="0" y="0"/>
                      <a:ext cx="5400040" cy="2429510"/>
                    </a:xfrm>
                    <a:prstGeom prst="rect">
                      <a:avLst/>
                    </a:prstGeom>
                    <a:noFill/>
                    <a:ln>
                      <a:noFill/>
                    </a:ln>
                  </pic:spPr>
                </pic:pic>
              </a:graphicData>
            </a:graphic>
          </wp:inline>
        </w:drawing>
      </w:r>
    </w:p>
    <w:p>
      <w:pPr>
        <w:widowControl/>
        <w:spacing w:line="579" w:lineRule="exact"/>
        <w:jc w:val="left"/>
        <w:rPr>
          <w:rFonts w:hint="eastAsia" w:ascii="黑体" w:hAnsi="黑体" w:eastAsia="黑体" w:cs="黑体"/>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Lines="0" w:afterLines="0" w:line="579" w:lineRule="exact"/>
        <w:jc w:val="left"/>
        <w:textAlignment w:val="auto"/>
        <w:rPr>
          <w:rFonts w:hint="eastAsia" w:ascii="方正小标宋简体" w:hAnsi="方正小标宋简体" w:eastAsia="方正小标宋简体" w:cs="方正小标宋简体"/>
          <w:color w:val="auto"/>
          <w:sz w:val="44"/>
          <w:szCs w:val="44"/>
          <w:highlight w:val="none"/>
        </w:rPr>
      </w:pPr>
    </w:p>
    <w:p>
      <w:pPr>
        <w:keepNext w:val="0"/>
        <w:keepLines w:val="0"/>
        <w:pageBreakBefore w:val="0"/>
        <w:widowControl/>
        <w:kinsoku/>
        <w:wordWrap/>
        <w:overflowPunct/>
        <w:topLinePunct w:val="0"/>
        <w:autoSpaceDE/>
        <w:autoSpaceDN/>
        <w:bidi w:val="0"/>
        <w:adjustRightInd/>
        <w:snapToGrid/>
        <w:spacing w:beforeLines="0" w:afterLines="0" w:line="579" w:lineRule="exact"/>
        <w:jc w:val="left"/>
        <w:textAlignment w:val="auto"/>
        <w:rPr>
          <w:rFonts w:hint="eastAsia" w:ascii="方正小标宋简体" w:hAnsi="方正小标宋简体" w:eastAsia="方正小标宋简体" w:cs="方正小标宋简体"/>
          <w:color w:val="auto"/>
          <w:sz w:val="44"/>
          <w:szCs w:val="44"/>
          <w:highlight w:val="none"/>
        </w:rPr>
        <w:sectPr>
          <w:footerReference r:id="rId8" w:type="default"/>
          <w:pgSz w:w="11850" w:h="16838"/>
          <w:pgMar w:top="2098" w:right="1474" w:bottom="1984" w:left="1587" w:header="850" w:footer="1247" w:gutter="0"/>
          <w:pgBorders>
            <w:top w:val="none" w:sz="0" w:space="0"/>
            <w:left w:val="none" w:sz="0" w:space="0"/>
            <w:bottom w:val="none" w:sz="0" w:space="0"/>
            <w:right w:val="none" w:sz="0" w:space="0"/>
          </w:pgBorders>
          <w:pgNumType w:fmt="decimal"/>
          <w:cols w:space="720" w:num="1"/>
          <w:rtlGutter w:val="0"/>
          <w:docGrid w:type="lines" w:linePitch="586" w:charSpace="0"/>
        </w:sectPr>
      </w:pPr>
    </w:p>
    <w:p>
      <w:pPr>
        <w:keepNext w:val="0"/>
        <w:keepLines w:val="0"/>
        <w:pageBreakBefore w:val="0"/>
        <w:widowControl w:val="0"/>
        <w:kinsoku/>
        <w:wordWrap/>
        <w:overflowPunct/>
        <w:topLinePunct w:val="0"/>
        <w:autoSpaceDE/>
        <w:autoSpaceDN/>
        <w:bidi w:val="0"/>
        <w:adjustRightInd/>
        <w:snapToGrid/>
        <w:spacing w:beforeLines="0" w:afterLines="0" w:line="579" w:lineRule="exact"/>
        <w:jc w:val="left"/>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附件8</w:t>
      </w:r>
    </w:p>
    <w:p>
      <w:pPr>
        <w:keepNext w:val="0"/>
        <w:keepLines w:val="0"/>
        <w:pageBreakBefore w:val="0"/>
        <w:widowControl w:val="0"/>
        <w:kinsoku/>
        <w:wordWrap/>
        <w:overflowPunct/>
        <w:topLinePunct w:val="0"/>
        <w:autoSpaceDE/>
        <w:autoSpaceDN/>
        <w:bidi w:val="0"/>
        <w:adjustRightInd/>
        <w:snapToGrid/>
        <w:spacing w:beforeLines="0" w:afterLines="0" w:line="579"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园区布局示意图</w:t>
      </w:r>
    </w:p>
    <w:p>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drawing>
          <wp:inline distT="0" distB="0" distL="114300" distR="114300">
            <wp:extent cx="7919720" cy="4679950"/>
            <wp:effectExtent l="0" t="0" r="5080" b="6350"/>
            <wp:docPr id="28" name="图片 54" descr="粤港澳物流合作园布局示意图"/>
            <wp:cNvGraphicFramePr/>
            <a:graphic xmlns:a="http://schemas.openxmlformats.org/drawingml/2006/main">
              <a:graphicData uri="http://schemas.openxmlformats.org/drawingml/2006/picture">
                <pic:pic xmlns:pic="http://schemas.openxmlformats.org/drawingml/2006/picture">
                  <pic:nvPicPr>
                    <pic:cNvPr id="28" name="图片 54" descr="粤港澳物流合作园布局示意图"/>
                    <pic:cNvPicPr preferRelativeResize="0"/>
                  </pic:nvPicPr>
                  <pic:blipFill>
                    <a:blip r:embed="rId34"/>
                    <a:stretch>
                      <a:fillRect/>
                    </a:stretch>
                  </pic:blipFill>
                  <pic:spPr>
                    <a:xfrm>
                      <a:off x="0" y="0"/>
                      <a:ext cx="7919720" cy="46799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drawing>
          <wp:inline distT="0" distB="0" distL="114300" distR="114300">
            <wp:extent cx="7919720" cy="4679950"/>
            <wp:effectExtent l="0" t="0" r="5080" b="6350"/>
            <wp:docPr id="29" name="图片 55" descr="空港国际物流园区布局示意图"/>
            <wp:cNvGraphicFramePr/>
            <a:graphic xmlns:a="http://schemas.openxmlformats.org/drawingml/2006/main">
              <a:graphicData uri="http://schemas.openxmlformats.org/drawingml/2006/picture">
                <pic:pic xmlns:pic="http://schemas.openxmlformats.org/drawingml/2006/picture">
                  <pic:nvPicPr>
                    <pic:cNvPr id="29" name="图片 55" descr="空港国际物流园区布局示意图"/>
                    <pic:cNvPicPr/>
                  </pic:nvPicPr>
                  <pic:blipFill>
                    <a:blip r:embed="rId35"/>
                    <a:stretch>
                      <a:fillRect/>
                    </a:stretch>
                  </pic:blipFill>
                  <pic:spPr>
                    <a:xfrm>
                      <a:off x="0" y="0"/>
                      <a:ext cx="7919720" cy="46799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drawing>
          <wp:inline distT="0" distB="0" distL="114300" distR="114300">
            <wp:extent cx="7919720" cy="4679950"/>
            <wp:effectExtent l="0" t="0" r="5080" b="6350"/>
            <wp:docPr id="30" name="图片 57" descr="高栏港国际物流园区布局示意图"/>
            <wp:cNvGraphicFramePr/>
            <a:graphic xmlns:a="http://schemas.openxmlformats.org/drawingml/2006/main">
              <a:graphicData uri="http://schemas.openxmlformats.org/drawingml/2006/picture">
                <pic:pic xmlns:pic="http://schemas.openxmlformats.org/drawingml/2006/picture">
                  <pic:nvPicPr>
                    <pic:cNvPr id="30" name="图片 57" descr="高栏港国际物流园区布局示意图"/>
                    <pic:cNvPicPr preferRelativeResize="0"/>
                  </pic:nvPicPr>
                  <pic:blipFill>
                    <a:blip r:embed="rId36"/>
                    <a:stretch>
                      <a:fillRect/>
                    </a:stretch>
                  </pic:blipFill>
                  <pic:spPr>
                    <a:xfrm>
                      <a:off x="0" y="0"/>
                      <a:ext cx="7919720" cy="4679950"/>
                    </a:xfrm>
                    <a:prstGeom prst="rect">
                      <a:avLst/>
                    </a:prstGeom>
                    <a:noFill/>
                    <a:ln>
                      <a:noFill/>
                    </a:ln>
                  </pic:spPr>
                </pic:pic>
              </a:graphicData>
            </a:graphic>
          </wp:inline>
        </w:drawing>
      </w:r>
    </w:p>
    <w:sectPr>
      <w:pgSz w:w="16838" w:h="11850" w:orient="landscape"/>
      <w:pgMar w:top="567" w:right="567" w:bottom="567" w:left="567" w:header="850" w:footer="1247" w:gutter="0"/>
      <w:pgBorders>
        <w:top w:val="none" w:sz="0" w:space="0"/>
        <w:left w:val="none" w:sz="0" w:space="0"/>
        <w:bottom w:val="none" w:sz="0" w:space="0"/>
        <w:right w:val="none" w:sz="0" w:space="0"/>
      </w:pgBorders>
      <w:pgNumType w:fmt="decimal"/>
      <w:cols w:space="720" w:num="1"/>
      <w:rtlGutter w:val="0"/>
      <w:docGrid w:type="lines" w:linePitch="5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icrosoftYaHei">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00"/>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MS Mincho">
    <w:altName w:val="FreeSerif"/>
    <w:panose1 w:val="02020609040205080304"/>
    <w:charset w:val="00"/>
    <w:family w:val="modern"/>
    <w:pitch w:val="default"/>
    <w:sig w:usb0="00000000" w:usb1="00000000" w:usb2="00000012" w:usb3="00000000" w:csb0="4002009F" w:csb1="DFD70000"/>
  </w:font>
  <w:font w:name="FreeSerif">
    <w:panose1 w:val="02020603050405020304"/>
    <w:charset w:val="00"/>
    <w:family w:val="auto"/>
    <w:pitch w:val="default"/>
    <w:sig w:usb0="E59FAFFF" w:usb1="C200FDFF" w:usb2="43501B29" w:usb3="04000043" w:csb0="600101FF" w:csb1="FFFF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CESI楷体-GB13000">
    <w:panose1 w:val="02000500000000000000"/>
    <w:charset w:val="86"/>
    <w:family w:val="auto"/>
    <w:pitch w:val="default"/>
    <w:sig w:usb0="800002BF" w:usb1="38CF7CF8"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大标宋简体">
    <w:altName w:val="方正书宋_GBK"/>
    <w:panose1 w:val="02010601030101010101"/>
    <w:charset w:val="00"/>
    <w:family w:val="script"/>
    <w:pitch w:val="default"/>
    <w:sig w:usb0="00000000" w:usb1="0000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MS UI Gothic">
    <w:altName w:val="Noto Music"/>
    <w:panose1 w:val="020B0600070205080204"/>
    <w:charset w:val="00"/>
    <w:family w:val="swiss"/>
    <w:pitch w:val="default"/>
    <w:sig w:usb0="00000000" w:usb1="00000000" w:usb2="00000012" w:usb3="00000000" w:csb0="4002009F" w:csb1="DFD70000"/>
  </w:font>
  <w:font w:name="Noto Music">
    <w:panose1 w:val="020B0502040504020204"/>
    <w:charset w:val="00"/>
    <w:family w:val="auto"/>
    <w:pitch w:val="default"/>
    <w:sig w:usb0="00000003" w:usb1="02006000" w:usb2="01000000" w:usb3="00000000" w:csb0="00000001" w:csb1="00000000"/>
  </w:font>
  <w:font w:name="CESI仿宋-GB2312">
    <w:altName w:val="方正仿宋_GBK"/>
    <w:panose1 w:val="02000500000000000000"/>
    <w:charset w:val="00"/>
    <w:family w:val="auto"/>
    <w:pitch w:val="default"/>
    <w:sig w:usb0="00000000" w:usb1="00000000" w:usb2="00000010" w:usb3="00000000" w:csb0="0004000F"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1"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rPr>
                            <w:t>—</w:t>
                          </w:r>
                          <w:r>
                            <w:rPr>
                              <w:rFonts w:hint="eastAsia" w:ascii="方正黑体_GBK" w:hAnsi="方正黑体_GBK" w:eastAsia="方正黑体_GBK" w:cs="方正黑体_GBK"/>
                              <w:b w:val="0"/>
                              <w:bCs w:val="0"/>
                              <w:sz w:val="28"/>
                              <w:szCs w:val="28"/>
                            </w:rPr>
                            <w:fldChar w:fldCharType="begin"/>
                          </w:r>
                          <w:r>
                            <w:rPr>
                              <w:rFonts w:hint="eastAsia" w:ascii="方正黑体_GBK" w:hAnsi="方正黑体_GBK" w:eastAsia="方正黑体_GBK" w:cs="方正黑体_GBK"/>
                              <w:b w:val="0"/>
                              <w:bCs w:val="0"/>
                              <w:sz w:val="28"/>
                              <w:szCs w:val="28"/>
                            </w:rPr>
                            <w:instrText xml:space="preserve"> PAGE  \* MERGEFORMAT </w:instrText>
                          </w:r>
                          <w:r>
                            <w:rPr>
                              <w:rFonts w:hint="eastAsia" w:ascii="方正黑体_GBK" w:hAnsi="方正黑体_GBK" w:eastAsia="方正黑体_GBK" w:cs="方正黑体_GBK"/>
                              <w:b w:val="0"/>
                              <w:bCs w:val="0"/>
                              <w:sz w:val="28"/>
                              <w:szCs w:val="28"/>
                            </w:rPr>
                            <w:fldChar w:fldCharType="separate"/>
                          </w:r>
                          <w:r>
                            <w:rPr>
                              <w:rFonts w:hint="eastAsia" w:ascii="方正黑体_GBK" w:hAnsi="方正黑体_GBK" w:eastAsia="方正黑体_GBK" w:cs="方正黑体_GBK"/>
                              <w:b w:val="0"/>
                              <w:bCs w:val="0"/>
                              <w:sz w:val="28"/>
                              <w:szCs w:val="28"/>
                            </w:rPr>
                            <w:t>1</w:t>
                          </w:r>
                          <w:r>
                            <w:rPr>
                              <w:rFonts w:hint="eastAsia" w:ascii="方正黑体_GBK" w:hAnsi="方正黑体_GBK" w:eastAsia="方正黑体_GBK" w:cs="方正黑体_GBK"/>
                              <w:b w:val="0"/>
                              <w:bCs w:val="0"/>
                              <w:sz w:val="28"/>
                              <w:szCs w:val="28"/>
                            </w:rPr>
                            <w:fldChar w:fldCharType="end"/>
                          </w:r>
                          <w:r>
                            <w:rPr>
                              <w:rFonts w:hint="eastAsia" w:ascii="方正黑体_GBK" w:hAnsi="方正黑体_GBK" w:eastAsia="方正黑体_GBK" w:cs="方正黑体_GBK"/>
                              <w:b w:val="0"/>
                              <w:bCs w:val="0"/>
                              <w:sz w:val="28"/>
                              <w:szCs w:val="28"/>
                            </w:rPr>
                            <w:t>—</w:t>
                          </w:r>
                        </w:p>
                      </w:txbxContent>
                    </wps:txbx>
                    <wps:bodyPr vert="horz" wrap="none" lIns="0" tIns="0" rIns="0" bIns="0" anchor="t" anchorCtr="0" upright="0">
                      <a:spAutoFit/>
                    </wps:bodyPr>
                  </wps:wsp>
                </a:graphicData>
              </a:graphic>
            </wp:anchor>
          </w:drawing>
        </mc:Choice>
        <mc:Fallback>
          <w:pict>
            <v:shape id="文本框 49"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zSVju0AAAAAUBAAAPAAAAAAAAAAEAIAAAADgAAABkcnMvZG93bnJldi54bWxQ&#10;SwECFAAUAAAACACHTuJAiN27RukBAADJAwAADgAAAAAAAAABACAAAAA1AQAAZHJzL2Uyb0RvYy54&#10;bWxQSwUGAAAAAAYABgBZAQAAkAUAAAAA&#10;">
              <v:fill on="f" focussize="0,0"/>
              <v:stroke on="f" weight="0.5pt"/>
              <v:imagedata o:title=""/>
              <o:lock v:ext="edit" aspectratio="f"/>
              <v:textbox inset="0mm,0mm,0mm,0mm" style="mso-fit-shape-to-text:t;">
                <w:txbxContent>
                  <w:p>
                    <w:pPr>
                      <w:pStyle w:val="16"/>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rPr>
                      <w:t>—</w:t>
                    </w:r>
                    <w:r>
                      <w:rPr>
                        <w:rFonts w:hint="eastAsia" w:ascii="方正黑体_GBK" w:hAnsi="方正黑体_GBK" w:eastAsia="方正黑体_GBK" w:cs="方正黑体_GBK"/>
                        <w:b w:val="0"/>
                        <w:bCs w:val="0"/>
                        <w:sz w:val="28"/>
                        <w:szCs w:val="28"/>
                      </w:rPr>
                      <w:fldChar w:fldCharType="begin"/>
                    </w:r>
                    <w:r>
                      <w:rPr>
                        <w:rFonts w:hint="eastAsia" w:ascii="方正黑体_GBK" w:hAnsi="方正黑体_GBK" w:eastAsia="方正黑体_GBK" w:cs="方正黑体_GBK"/>
                        <w:b w:val="0"/>
                        <w:bCs w:val="0"/>
                        <w:sz w:val="28"/>
                        <w:szCs w:val="28"/>
                      </w:rPr>
                      <w:instrText xml:space="preserve"> PAGE  \* MERGEFORMAT </w:instrText>
                    </w:r>
                    <w:r>
                      <w:rPr>
                        <w:rFonts w:hint="eastAsia" w:ascii="方正黑体_GBK" w:hAnsi="方正黑体_GBK" w:eastAsia="方正黑体_GBK" w:cs="方正黑体_GBK"/>
                        <w:b w:val="0"/>
                        <w:bCs w:val="0"/>
                        <w:sz w:val="28"/>
                        <w:szCs w:val="28"/>
                      </w:rPr>
                      <w:fldChar w:fldCharType="separate"/>
                    </w:r>
                    <w:r>
                      <w:rPr>
                        <w:rFonts w:hint="eastAsia" w:ascii="方正黑体_GBK" w:hAnsi="方正黑体_GBK" w:eastAsia="方正黑体_GBK" w:cs="方正黑体_GBK"/>
                        <w:b w:val="0"/>
                        <w:bCs w:val="0"/>
                        <w:sz w:val="28"/>
                        <w:szCs w:val="28"/>
                      </w:rPr>
                      <w:t>1</w:t>
                    </w:r>
                    <w:r>
                      <w:rPr>
                        <w:rFonts w:hint="eastAsia" w:ascii="方正黑体_GBK" w:hAnsi="方正黑体_GBK" w:eastAsia="方正黑体_GBK" w:cs="方正黑体_GBK"/>
                        <w:b w:val="0"/>
                        <w:bCs w:val="0"/>
                        <w:sz w:val="28"/>
                        <w:szCs w:val="28"/>
                      </w:rPr>
                      <w:fldChar w:fldCharType="end"/>
                    </w:r>
                    <w:r>
                      <w:rPr>
                        <w:rFonts w:hint="eastAsia" w:ascii="方正黑体_GBK" w:hAnsi="方正黑体_GBK" w:eastAsia="方正黑体_GBK" w:cs="方正黑体_GBK"/>
                        <w:b w:val="0"/>
                        <w:bCs w:val="0"/>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6"/>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w:t>
                          </w:r>
                          <w:r>
                            <w:rPr>
                              <w:rFonts w:hint="eastAsia" w:ascii="方正黑体_GBK" w:hAnsi="方正黑体_GBK" w:eastAsia="方正黑体_GBK" w:cs="方正黑体_GBK"/>
                              <w:sz w:val="28"/>
                              <w:szCs w:val="28"/>
                            </w:rPr>
                            <w:fldChar w:fldCharType="begin"/>
                          </w:r>
                          <w:r>
                            <w:rPr>
                              <w:rFonts w:hint="eastAsia" w:ascii="方正黑体_GBK" w:hAnsi="方正黑体_GBK" w:eastAsia="方正黑体_GBK" w:cs="方正黑体_GBK"/>
                              <w:sz w:val="28"/>
                              <w:szCs w:val="28"/>
                            </w:rPr>
                            <w:instrText xml:space="preserve"> PAGE  \* MERGEFORMAT </w:instrText>
                          </w:r>
                          <w:r>
                            <w:rPr>
                              <w:rFonts w:hint="eastAsia" w:ascii="方正黑体_GBK" w:hAnsi="方正黑体_GBK" w:eastAsia="方正黑体_GBK" w:cs="方正黑体_GBK"/>
                              <w:sz w:val="28"/>
                              <w:szCs w:val="28"/>
                            </w:rPr>
                            <w:fldChar w:fldCharType="separate"/>
                          </w:r>
                          <w:r>
                            <w:rPr>
                              <w:rFonts w:hint="eastAsia" w:ascii="方正黑体_GBK" w:hAnsi="方正黑体_GBK" w:eastAsia="方正黑体_GBK" w:cs="方正黑体_GBK"/>
                              <w:sz w:val="28"/>
                              <w:szCs w:val="28"/>
                            </w:rPr>
                            <w:t>25</w:t>
                          </w:r>
                          <w:r>
                            <w:rPr>
                              <w:rFonts w:hint="eastAsia" w:ascii="方正黑体_GBK" w:hAnsi="方正黑体_GBK" w:eastAsia="方正黑体_GBK" w:cs="方正黑体_GBK"/>
                              <w:sz w:val="28"/>
                              <w:szCs w:val="28"/>
                            </w:rPr>
                            <w:fldChar w:fldCharType="end"/>
                          </w:r>
                          <w:r>
                            <w:rPr>
                              <w:rFonts w:hint="eastAsia" w:ascii="方正黑体_GBK" w:hAnsi="方正黑体_GBK" w:eastAsia="方正黑体_GBK" w:cs="方正黑体_GBK"/>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LNJWO7QAAAABQEAAA8AAAAAAAAAAQAg&#10;AAAAOAAAAGRycy9kb3ducmV2LnhtbFBLAQIUABQAAAAIAIdO4kCKHoPeOQIAAHEEAAAOAAAAAAAA&#10;AAEAIAAAADUBAABkcnMvZTJvRG9jLnhtbFBLBQYAAAAABgAGAFkBAADgBQAAAAA=&#10;">
              <v:fill on="f" focussize="0,0"/>
              <v:stroke on="f" weight="0.5pt"/>
              <v:imagedata o:title=""/>
              <o:lock v:ext="edit" aspectratio="f"/>
              <v:textbox inset="0mm,0mm,0mm,0mm" style="mso-fit-shape-to-text:t;">
                <w:txbxContent>
                  <w:p>
                    <w:pPr>
                      <w:pStyle w:val="16"/>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w:t>
                    </w:r>
                    <w:r>
                      <w:rPr>
                        <w:rFonts w:hint="eastAsia" w:ascii="方正黑体_GBK" w:hAnsi="方正黑体_GBK" w:eastAsia="方正黑体_GBK" w:cs="方正黑体_GBK"/>
                        <w:sz w:val="28"/>
                        <w:szCs w:val="28"/>
                      </w:rPr>
                      <w:fldChar w:fldCharType="begin"/>
                    </w:r>
                    <w:r>
                      <w:rPr>
                        <w:rFonts w:hint="eastAsia" w:ascii="方正黑体_GBK" w:hAnsi="方正黑体_GBK" w:eastAsia="方正黑体_GBK" w:cs="方正黑体_GBK"/>
                        <w:sz w:val="28"/>
                        <w:szCs w:val="28"/>
                      </w:rPr>
                      <w:instrText xml:space="preserve"> PAGE  \* MERGEFORMAT </w:instrText>
                    </w:r>
                    <w:r>
                      <w:rPr>
                        <w:rFonts w:hint="eastAsia" w:ascii="方正黑体_GBK" w:hAnsi="方正黑体_GBK" w:eastAsia="方正黑体_GBK" w:cs="方正黑体_GBK"/>
                        <w:sz w:val="28"/>
                        <w:szCs w:val="28"/>
                      </w:rPr>
                      <w:fldChar w:fldCharType="separate"/>
                    </w:r>
                    <w:r>
                      <w:rPr>
                        <w:rFonts w:hint="eastAsia" w:ascii="方正黑体_GBK" w:hAnsi="方正黑体_GBK" w:eastAsia="方正黑体_GBK" w:cs="方正黑体_GBK"/>
                        <w:sz w:val="28"/>
                        <w:szCs w:val="28"/>
                      </w:rPr>
                      <w:t>25</w:t>
                    </w:r>
                    <w:r>
                      <w:rPr>
                        <w:rFonts w:hint="eastAsia" w:ascii="方正黑体_GBK" w:hAnsi="方正黑体_GBK" w:eastAsia="方正黑体_GBK" w:cs="方正黑体_GBK"/>
                        <w:sz w:val="28"/>
                        <w:szCs w:val="28"/>
                      </w:rPr>
                      <w:fldChar w:fldCharType="end"/>
                    </w:r>
                    <w:r>
                      <w:rPr>
                        <w:rFonts w:hint="eastAsia" w:ascii="方正黑体_GBK" w:hAnsi="方正黑体_GBK" w:eastAsia="方正黑体_GBK" w:cs="方正黑体_GBK"/>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w:t>
                          </w:r>
                          <w:r>
                            <w:rPr>
                              <w:rFonts w:hint="eastAsia" w:ascii="方正黑体_GBK" w:hAnsi="方正黑体_GBK" w:eastAsia="方正黑体_GBK" w:cs="方正黑体_GBK"/>
                              <w:sz w:val="28"/>
                              <w:szCs w:val="28"/>
                            </w:rPr>
                            <w:fldChar w:fldCharType="begin"/>
                          </w:r>
                          <w:r>
                            <w:rPr>
                              <w:rFonts w:hint="eastAsia" w:ascii="方正黑体_GBK" w:hAnsi="方正黑体_GBK" w:eastAsia="方正黑体_GBK" w:cs="方正黑体_GBK"/>
                              <w:sz w:val="28"/>
                              <w:szCs w:val="28"/>
                            </w:rPr>
                            <w:instrText xml:space="preserve"> PAGE  \* MERGEFORMAT </w:instrText>
                          </w:r>
                          <w:r>
                            <w:rPr>
                              <w:rFonts w:hint="eastAsia" w:ascii="方正黑体_GBK" w:hAnsi="方正黑体_GBK" w:eastAsia="方正黑体_GBK" w:cs="方正黑体_GBK"/>
                              <w:sz w:val="28"/>
                              <w:szCs w:val="28"/>
                            </w:rPr>
                            <w:fldChar w:fldCharType="separate"/>
                          </w:r>
                          <w:r>
                            <w:rPr>
                              <w:rFonts w:hint="eastAsia" w:ascii="方正黑体_GBK" w:hAnsi="方正黑体_GBK" w:eastAsia="方正黑体_GBK" w:cs="方正黑体_GBK"/>
                              <w:sz w:val="28"/>
                              <w:szCs w:val="28"/>
                            </w:rPr>
                            <w:t>21</w:t>
                          </w:r>
                          <w:r>
                            <w:rPr>
                              <w:rFonts w:hint="eastAsia" w:ascii="方正黑体_GBK" w:hAnsi="方正黑体_GBK" w:eastAsia="方正黑体_GBK" w:cs="方正黑体_GBK"/>
                              <w:sz w:val="28"/>
                              <w:szCs w:val="28"/>
                            </w:rPr>
                            <w:fldChar w:fldCharType="end"/>
                          </w:r>
                          <w:r>
                            <w:rPr>
                              <w:rFonts w:hint="eastAsia" w:ascii="方正黑体_GBK" w:hAnsi="方正黑体_GBK" w:eastAsia="方正黑体_GBK" w:cs="方正黑体_GBK"/>
                              <w:sz w:val="28"/>
                              <w:szCs w:val="28"/>
                            </w:rPr>
                            <w:t>—</w:t>
                          </w:r>
                        </w:p>
                      </w:txbxContent>
                    </wps:txbx>
                    <wps:bodyPr vert="horz" wrap="none" lIns="0" tIns="0" rIns="0" bIns="0" anchor="t" anchorCtr="0" upright="0">
                      <a:spAutoFit/>
                    </wps:bodyPr>
                  </wps:wsp>
                </a:graphicData>
              </a:graphic>
            </wp:anchor>
          </w:drawing>
        </mc:Choice>
        <mc:Fallback>
          <w:pict>
            <v:shape id="文本框 50"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s0lY7tAAAAAFAQAADwAAAAAAAAABACAAAAA4AAAAZHJzL2Rvd25yZXYueG1sUEsB&#10;AhQAFAAAAAgAh07iQBqqTOznAQAAyQMAAA4AAAAAAAAAAQAgAAAANQEAAGRycy9lMm9Eb2MueG1s&#10;UEsFBgAAAAAGAAYAWQEAAI4FAAAAAA==&#10;">
              <v:fill on="f" focussize="0,0"/>
              <v:stroke on="f" weight="0.5pt"/>
              <v:imagedata o:title=""/>
              <o:lock v:ext="edit" aspectratio="f"/>
              <v:textbox inset="0mm,0mm,0mm,0mm" style="mso-fit-shape-to-text:t;">
                <w:txbxContent>
                  <w:p>
                    <w:pPr>
                      <w:pStyle w:val="16"/>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w:t>
                    </w:r>
                    <w:r>
                      <w:rPr>
                        <w:rFonts w:hint="eastAsia" w:ascii="方正黑体_GBK" w:hAnsi="方正黑体_GBK" w:eastAsia="方正黑体_GBK" w:cs="方正黑体_GBK"/>
                        <w:sz w:val="28"/>
                        <w:szCs w:val="28"/>
                      </w:rPr>
                      <w:fldChar w:fldCharType="begin"/>
                    </w:r>
                    <w:r>
                      <w:rPr>
                        <w:rFonts w:hint="eastAsia" w:ascii="方正黑体_GBK" w:hAnsi="方正黑体_GBK" w:eastAsia="方正黑体_GBK" w:cs="方正黑体_GBK"/>
                        <w:sz w:val="28"/>
                        <w:szCs w:val="28"/>
                      </w:rPr>
                      <w:instrText xml:space="preserve"> PAGE  \* MERGEFORMAT </w:instrText>
                    </w:r>
                    <w:r>
                      <w:rPr>
                        <w:rFonts w:hint="eastAsia" w:ascii="方正黑体_GBK" w:hAnsi="方正黑体_GBK" w:eastAsia="方正黑体_GBK" w:cs="方正黑体_GBK"/>
                        <w:sz w:val="28"/>
                        <w:szCs w:val="28"/>
                      </w:rPr>
                      <w:fldChar w:fldCharType="separate"/>
                    </w:r>
                    <w:r>
                      <w:rPr>
                        <w:rFonts w:hint="eastAsia" w:ascii="方正黑体_GBK" w:hAnsi="方正黑体_GBK" w:eastAsia="方正黑体_GBK" w:cs="方正黑体_GBK"/>
                        <w:sz w:val="28"/>
                        <w:szCs w:val="28"/>
                      </w:rPr>
                      <w:t>21</w:t>
                    </w:r>
                    <w:r>
                      <w:rPr>
                        <w:rFonts w:hint="eastAsia" w:ascii="方正黑体_GBK" w:hAnsi="方正黑体_GBK" w:eastAsia="方正黑体_GBK" w:cs="方正黑体_GBK"/>
                        <w:sz w:val="28"/>
                        <w:szCs w:val="28"/>
                      </w:rPr>
                      <w:fldChar w:fldCharType="end"/>
                    </w:r>
                    <w:r>
                      <w:rPr>
                        <w:rFonts w:hint="eastAsia" w:ascii="方正黑体_GBK" w:hAnsi="方正黑体_GBK" w:eastAsia="方正黑体_GBK" w:cs="方正黑体_GBK"/>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pPr>
                            <w:spacing w:line="247" w:lineRule="exact"/>
                            <w:ind w:left="20"/>
                            <w:jc w:val="left"/>
                            <w:rPr>
                              <w:rFonts w:hint="eastAsia" w:eastAsia="宋体"/>
                              <w:b/>
                              <w:sz w:val="20"/>
                              <w:lang w:eastAsia="zh-CN"/>
                            </w:rPr>
                          </w:pPr>
                        </w:p>
                        <w:p>
                          <w:pPr>
                            <w:spacing w:before="4" w:line="214" w:lineRule="exact"/>
                            <w:ind w:left="20"/>
                            <w:jc w:val="left"/>
                            <w:rPr>
                              <w:rFonts w:hint="eastAsia" w:eastAsia="宋体"/>
                              <w:b/>
                              <w:sz w:val="17"/>
                              <w:lang w:eastAsia="zh-CN"/>
                            </w:rPr>
                          </w:pPr>
                        </w:p>
                      </w:txbxContent>
                    </wps:txbx>
                    <wps:bodyPr wrap="square"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6192;mso-width-relative:page;mso-height-relative:page;" filled="f" stroked="f" coordsize="21600,21600" o:gfxdata="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O5ovvLYAAAACgEAAA8A&#10;AAAAAAAAAQAgAAAAOAAAAGRycy9kb3ducmV2LnhtbFBLAQIUABQAAAAIAIdO4kBiMqUJyAEAAI4D&#10;AAAOAAAAAAAAAAEAIAAAAD0BAABkcnMvZTJvRG9jLnhtbFBLBQYAAAAABgAGAFkBAAB3BQAAAAA=&#10;">
              <v:fill on="f" focussize="0,0"/>
              <v:stroke on="f"/>
              <v:imagedata o:title=""/>
              <o:lock v:ext="edit" aspectratio="f"/>
              <v:textbox inset="0mm,0mm,0mm,0mm">
                <w:txbxContent>
                  <w:p>
                    <w:pPr>
                      <w:spacing w:line="247" w:lineRule="exact"/>
                      <w:ind w:left="20"/>
                      <w:jc w:val="left"/>
                      <w:rPr>
                        <w:rFonts w:hint="eastAsia" w:eastAsia="宋体"/>
                        <w:b/>
                        <w:sz w:val="20"/>
                        <w:lang w:eastAsia="zh-CN"/>
                      </w:rPr>
                    </w:pPr>
                  </w:p>
                  <w:p>
                    <w:pPr>
                      <w:spacing w:before="4" w:line="214" w:lineRule="exact"/>
                      <w:ind w:left="20"/>
                      <w:jc w:val="left"/>
                      <w:rPr>
                        <w:rFonts w:hint="eastAsia" w:eastAsia="宋体"/>
                        <w:b/>
                        <w:sz w:val="17"/>
                        <w:lang w:eastAsia="zh-CN"/>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pPr>
                            <w:spacing w:line="247" w:lineRule="exact"/>
                            <w:ind w:left="20"/>
                            <w:rPr>
                              <w:rFonts w:hint="eastAsia" w:eastAsia="宋体"/>
                              <w:b/>
                              <w:sz w:val="20"/>
                              <w:lang w:eastAsia="zh-CN"/>
                            </w:rPr>
                          </w:pPr>
                        </w:p>
                        <w:p>
                          <w:pPr>
                            <w:spacing w:before="4" w:line="214" w:lineRule="exact"/>
                            <w:ind w:left="20"/>
                            <w:rPr>
                              <w:rFonts w:hint="eastAsia" w:eastAsia="宋体"/>
                              <w:b/>
                              <w:sz w:val="17"/>
                              <w:lang w:eastAsia="zh-CN"/>
                            </w:rPr>
                          </w:pPr>
                        </w:p>
                      </w:txbxContent>
                    </wps:txbx>
                    <wps:bodyPr wrap="square"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O5ovvLYAAAACgEAAA8A&#10;AAAAAAAAAQAgAAAAOAAAAGRycy9kb3ducmV2LnhtbFBLAQIUABQAAAAIAIdO4kBvVPfNyAEAAI4D&#10;AAAOAAAAAAAAAAEAIAAAAD0BAABkcnMvZTJvRG9jLnhtbFBLBQYAAAAABgAGAFkBAAB3BQAAAAA=&#10;">
              <v:fill on="f" focussize="0,0"/>
              <v:stroke on="f"/>
              <v:imagedata o:title=""/>
              <o:lock v:ext="edit" aspectratio="f"/>
              <v:textbox inset="0mm,0mm,0mm,0mm">
                <w:txbxContent>
                  <w:p>
                    <w:pPr>
                      <w:spacing w:line="247" w:lineRule="exact"/>
                      <w:ind w:left="20"/>
                      <w:rPr>
                        <w:rFonts w:hint="eastAsia" w:eastAsia="宋体"/>
                        <w:b/>
                        <w:sz w:val="20"/>
                        <w:lang w:eastAsia="zh-CN"/>
                      </w:rPr>
                    </w:pPr>
                  </w:p>
                  <w:p>
                    <w:pPr>
                      <w:spacing w:before="4" w:line="214" w:lineRule="exact"/>
                      <w:ind w:left="20"/>
                      <w:rPr>
                        <w:rFonts w:hint="eastAsia" w:eastAsia="宋体"/>
                        <w:b/>
                        <w:sz w:val="17"/>
                        <w:lang w:eastAsia="zh-CN"/>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B3BE8"/>
    <w:multiLevelType w:val="singleLevel"/>
    <w:tmpl w:val="852B3BE8"/>
    <w:lvl w:ilvl="0" w:tentative="0">
      <w:start w:val="1"/>
      <w:numFmt w:val="decimalEnclosedCircleChinese"/>
      <w:suff w:val="nothing"/>
      <w:lvlText w:val="%1　"/>
      <w:lvlJc w:val="left"/>
      <w:pPr>
        <w:ind w:left="0" w:firstLine="400"/>
      </w:pPr>
      <w:rPr>
        <w:rFonts w:hint="eastAsia"/>
      </w:rPr>
    </w:lvl>
  </w:abstractNum>
  <w:abstractNum w:abstractNumId="1">
    <w:nsid w:val="89658659"/>
    <w:multiLevelType w:val="singleLevel"/>
    <w:tmpl w:val="89658659"/>
    <w:lvl w:ilvl="0" w:tentative="0">
      <w:start w:val="1"/>
      <w:numFmt w:val="decimalEnclosedCircleChinese"/>
      <w:suff w:val="nothing"/>
      <w:lvlText w:val="%1　"/>
      <w:lvlJc w:val="left"/>
      <w:pPr>
        <w:ind w:left="0" w:firstLine="400"/>
      </w:pPr>
      <w:rPr>
        <w:rFonts w:hint="eastAsia"/>
      </w:rPr>
    </w:lvl>
  </w:abstractNum>
  <w:abstractNum w:abstractNumId="2">
    <w:nsid w:val="8B45CD58"/>
    <w:multiLevelType w:val="singleLevel"/>
    <w:tmpl w:val="8B45CD58"/>
    <w:lvl w:ilvl="0" w:tentative="0">
      <w:start w:val="2"/>
      <w:numFmt w:val="chineseCounting"/>
      <w:suff w:val="nothing"/>
      <w:lvlText w:val="%1、"/>
      <w:lvlJc w:val="left"/>
      <w:rPr>
        <w:rFonts w:hint="eastAsia"/>
      </w:rPr>
    </w:lvl>
  </w:abstractNum>
  <w:abstractNum w:abstractNumId="3">
    <w:nsid w:val="A7BDFEA8"/>
    <w:multiLevelType w:val="singleLevel"/>
    <w:tmpl w:val="A7BDFEA8"/>
    <w:lvl w:ilvl="0" w:tentative="0">
      <w:start w:val="1"/>
      <w:numFmt w:val="decimalEnclosedCircleChinese"/>
      <w:suff w:val="nothing"/>
      <w:lvlText w:val="%1　"/>
      <w:lvlJc w:val="left"/>
      <w:pPr>
        <w:ind w:left="0" w:firstLine="400"/>
      </w:pPr>
      <w:rPr>
        <w:rFonts w:hint="eastAsia"/>
      </w:rPr>
    </w:lvl>
  </w:abstractNum>
  <w:abstractNum w:abstractNumId="4">
    <w:nsid w:val="E39EA40B"/>
    <w:multiLevelType w:val="singleLevel"/>
    <w:tmpl w:val="E39EA40B"/>
    <w:lvl w:ilvl="0" w:tentative="0">
      <w:start w:val="1"/>
      <w:numFmt w:val="decimal"/>
      <w:lvlText w:val="%1)"/>
      <w:lvlJc w:val="left"/>
      <w:pPr>
        <w:ind w:left="425" w:hanging="425"/>
      </w:pPr>
      <w:rPr>
        <w:rFonts w:hint="default"/>
      </w:rPr>
    </w:lvl>
  </w:abstractNum>
  <w:abstractNum w:abstractNumId="5">
    <w:nsid w:val="EA951F33"/>
    <w:multiLevelType w:val="singleLevel"/>
    <w:tmpl w:val="EA951F33"/>
    <w:lvl w:ilvl="0" w:tentative="0">
      <w:start w:val="1"/>
      <w:numFmt w:val="decimalEnclosedCircleChinese"/>
      <w:suff w:val="nothing"/>
      <w:lvlText w:val="%1　"/>
      <w:lvlJc w:val="left"/>
      <w:pPr>
        <w:ind w:left="0" w:firstLine="400"/>
      </w:pPr>
      <w:rPr>
        <w:rFonts w:hint="eastAsia"/>
      </w:rPr>
    </w:lvl>
  </w:abstractNum>
  <w:abstractNum w:abstractNumId="6">
    <w:nsid w:val="33F4EF4F"/>
    <w:multiLevelType w:val="singleLevel"/>
    <w:tmpl w:val="33F4EF4F"/>
    <w:lvl w:ilvl="0" w:tentative="0">
      <w:start w:val="1"/>
      <w:numFmt w:val="decimalEnclosedCircleChinese"/>
      <w:suff w:val="nothing"/>
      <w:lvlText w:val="%1　"/>
      <w:lvlJc w:val="left"/>
      <w:pPr>
        <w:ind w:left="0" w:firstLine="400"/>
      </w:pPr>
      <w:rPr>
        <w:rFonts w:hint="eastAsia"/>
      </w:rPr>
    </w:lvl>
  </w:abstractNum>
  <w:abstractNum w:abstractNumId="7">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abstractNum w:abstractNumId="8">
    <w:nsid w:val="4CAC3FC4"/>
    <w:multiLevelType w:val="singleLevel"/>
    <w:tmpl w:val="4CAC3FC4"/>
    <w:lvl w:ilvl="0" w:tentative="0">
      <w:start w:val="1"/>
      <w:numFmt w:val="chineseCounting"/>
      <w:suff w:val="nothing"/>
      <w:lvlText w:val="%1、"/>
      <w:lvlJc w:val="left"/>
      <w:pPr>
        <w:ind w:left="0" w:firstLine="420"/>
      </w:pPr>
      <w:rPr>
        <w:rFonts w:hint="eastAsia"/>
      </w:rPr>
    </w:lvl>
  </w:abstractNum>
  <w:abstractNum w:abstractNumId="9">
    <w:nsid w:val="56706467"/>
    <w:multiLevelType w:val="singleLevel"/>
    <w:tmpl w:val="56706467"/>
    <w:lvl w:ilvl="0" w:tentative="0">
      <w:start w:val="1"/>
      <w:numFmt w:val="decimalEnclosedCircleChinese"/>
      <w:suff w:val="nothing"/>
      <w:lvlText w:val="%1　"/>
      <w:lvlJc w:val="left"/>
      <w:pPr>
        <w:ind w:left="0" w:firstLine="400"/>
      </w:pPr>
      <w:rPr>
        <w:rFonts w:hint="eastAsia"/>
      </w:rPr>
    </w:lvl>
  </w:abstractNum>
  <w:abstractNum w:abstractNumId="10">
    <w:nsid w:val="621E717D"/>
    <w:multiLevelType w:val="multilevel"/>
    <w:tmpl w:val="621E717D"/>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10"/>
  </w:num>
  <w:num w:numId="2">
    <w:abstractNumId w:val="7"/>
    <w:lvlOverride w:ilvl="0">
      <w:startOverride w:val="1"/>
    </w:lvlOverride>
  </w:num>
  <w:num w:numId="3">
    <w:abstractNumId w:val="8"/>
  </w:num>
  <w:num w:numId="4">
    <w:abstractNumId w:val="9"/>
  </w:num>
  <w:num w:numId="5">
    <w:abstractNumId w:val="2"/>
  </w:num>
  <w:num w:numId="6">
    <w:abstractNumId w:val="5"/>
  </w:num>
  <w:num w:numId="7">
    <w:abstractNumId w:val="1"/>
  </w:num>
  <w:num w:numId="8">
    <w:abstractNumId w:val="4"/>
  </w:num>
  <w:num w:numId="9">
    <w:abstractNumId w:val="3"/>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attachedTemplate r:id="rId1"/>
  <w:revisionView w:markup="0"/>
  <w:trackRevisions w:val="1"/>
  <w:documentProtection w:edit="readOnly" w:enforcement="0"/>
  <w:defaultTabStop w:val="419"/>
  <w:hyphenationZone w:val="360"/>
  <w:drawingGridHorizontalSpacing w:val="210"/>
  <w:drawingGridVerticalSpacing w:val="29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EAF"/>
    <w:rsid w:val="000024DD"/>
    <w:rsid w:val="000051BA"/>
    <w:rsid w:val="000073C1"/>
    <w:rsid w:val="0001063A"/>
    <w:rsid w:val="000138E7"/>
    <w:rsid w:val="000148FF"/>
    <w:rsid w:val="00014EEF"/>
    <w:rsid w:val="000203FA"/>
    <w:rsid w:val="00020438"/>
    <w:rsid w:val="0002157F"/>
    <w:rsid w:val="000231BA"/>
    <w:rsid w:val="00023F34"/>
    <w:rsid w:val="000308C4"/>
    <w:rsid w:val="000324A2"/>
    <w:rsid w:val="00032520"/>
    <w:rsid w:val="00033E70"/>
    <w:rsid w:val="00034815"/>
    <w:rsid w:val="00034F56"/>
    <w:rsid w:val="00035A80"/>
    <w:rsid w:val="00041777"/>
    <w:rsid w:val="0004320D"/>
    <w:rsid w:val="00043E1E"/>
    <w:rsid w:val="00046436"/>
    <w:rsid w:val="00047052"/>
    <w:rsid w:val="00050205"/>
    <w:rsid w:val="0005208B"/>
    <w:rsid w:val="00053B29"/>
    <w:rsid w:val="00054757"/>
    <w:rsid w:val="00055629"/>
    <w:rsid w:val="000621F5"/>
    <w:rsid w:val="00064CCD"/>
    <w:rsid w:val="00066BD3"/>
    <w:rsid w:val="00067BA3"/>
    <w:rsid w:val="0007171C"/>
    <w:rsid w:val="00072AD7"/>
    <w:rsid w:val="00072B5C"/>
    <w:rsid w:val="00077544"/>
    <w:rsid w:val="0008187C"/>
    <w:rsid w:val="00081C93"/>
    <w:rsid w:val="000857A7"/>
    <w:rsid w:val="00086070"/>
    <w:rsid w:val="00087850"/>
    <w:rsid w:val="00091046"/>
    <w:rsid w:val="00092605"/>
    <w:rsid w:val="00093372"/>
    <w:rsid w:val="0009394A"/>
    <w:rsid w:val="00094640"/>
    <w:rsid w:val="00094D85"/>
    <w:rsid w:val="0009540B"/>
    <w:rsid w:val="00097269"/>
    <w:rsid w:val="00097703"/>
    <w:rsid w:val="00097A74"/>
    <w:rsid w:val="000A155B"/>
    <w:rsid w:val="000A2236"/>
    <w:rsid w:val="000A261C"/>
    <w:rsid w:val="000A43E9"/>
    <w:rsid w:val="000A577E"/>
    <w:rsid w:val="000A7A65"/>
    <w:rsid w:val="000B55C6"/>
    <w:rsid w:val="000B7707"/>
    <w:rsid w:val="000C0D97"/>
    <w:rsid w:val="000C1432"/>
    <w:rsid w:val="000D2369"/>
    <w:rsid w:val="000E2F35"/>
    <w:rsid w:val="000E693B"/>
    <w:rsid w:val="000E7833"/>
    <w:rsid w:val="000F2221"/>
    <w:rsid w:val="000F525C"/>
    <w:rsid w:val="000F64FA"/>
    <w:rsid w:val="000F6767"/>
    <w:rsid w:val="00100714"/>
    <w:rsid w:val="00100BBA"/>
    <w:rsid w:val="0010131E"/>
    <w:rsid w:val="00102B6A"/>
    <w:rsid w:val="00105D0D"/>
    <w:rsid w:val="00107548"/>
    <w:rsid w:val="0010760E"/>
    <w:rsid w:val="00111453"/>
    <w:rsid w:val="00113283"/>
    <w:rsid w:val="0011770E"/>
    <w:rsid w:val="00120D63"/>
    <w:rsid w:val="001211C1"/>
    <w:rsid w:val="00123686"/>
    <w:rsid w:val="00125C16"/>
    <w:rsid w:val="00126375"/>
    <w:rsid w:val="001264A3"/>
    <w:rsid w:val="00131FEC"/>
    <w:rsid w:val="001337C7"/>
    <w:rsid w:val="00134CB9"/>
    <w:rsid w:val="001353D1"/>
    <w:rsid w:val="0013625B"/>
    <w:rsid w:val="00146B0C"/>
    <w:rsid w:val="0015036F"/>
    <w:rsid w:val="00150AC8"/>
    <w:rsid w:val="001518A4"/>
    <w:rsid w:val="00151BC8"/>
    <w:rsid w:val="00152B90"/>
    <w:rsid w:val="00153767"/>
    <w:rsid w:val="001539DA"/>
    <w:rsid w:val="00153FD3"/>
    <w:rsid w:val="001573C3"/>
    <w:rsid w:val="00162367"/>
    <w:rsid w:val="001639C4"/>
    <w:rsid w:val="00166C35"/>
    <w:rsid w:val="00171A27"/>
    <w:rsid w:val="00171D0F"/>
    <w:rsid w:val="0017517F"/>
    <w:rsid w:val="00180D90"/>
    <w:rsid w:val="00182010"/>
    <w:rsid w:val="0018358E"/>
    <w:rsid w:val="001845C7"/>
    <w:rsid w:val="00184B8E"/>
    <w:rsid w:val="00187D92"/>
    <w:rsid w:val="00193B22"/>
    <w:rsid w:val="001944A4"/>
    <w:rsid w:val="0019694E"/>
    <w:rsid w:val="001A0816"/>
    <w:rsid w:val="001A4E33"/>
    <w:rsid w:val="001A4FBA"/>
    <w:rsid w:val="001A50CD"/>
    <w:rsid w:val="001A57D3"/>
    <w:rsid w:val="001A7984"/>
    <w:rsid w:val="001A7CC3"/>
    <w:rsid w:val="001B0F5E"/>
    <w:rsid w:val="001B2F3F"/>
    <w:rsid w:val="001B5120"/>
    <w:rsid w:val="001B7C48"/>
    <w:rsid w:val="001C05A2"/>
    <w:rsid w:val="001C0694"/>
    <w:rsid w:val="001C0FB0"/>
    <w:rsid w:val="001C3726"/>
    <w:rsid w:val="001C77CB"/>
    <w:rsid w:val="001D1674"/>
    <w:rsid w:val="001D2F36"/>
    <w:rsid w:val="001D30E5"/>
    <w:rsid w:val="001D40C8"/>
    <w:rsid w:val="001D4734"/>
    <w:rsid w:val="001D60F9"/>
    <w:rsid w:val="001D7E5B"/>
    <w:rsid w:val="001E0583"/>
    <w:rsid w:val="001E1B20"/>
    <w:rsid w:val="001E26A5"/>
    <w:rsid w:val="001E3D25"/>
    <w:rsid w:val="001E429C"/>
    <w:rsid w:val="001E4B0A"/>
    <w:rsid w:val="001E6764"/>
    <w:rsid w:val="001E6E3F"/>
    <w:rsid w:val="001F2E55"/>
    <w:rsid w:val="001F3C0D"/>
    <w:rsid w:val="001F41B0"/>
    <w:rsid w:val="001F4EF4"/>
    <w:rsid w:val="001F5FDF"/>
    <w:rsid w:val="00201327"/>
    <w:rsid w:val="00201C9E"/>
    <w:rsid w:val="00204399"/>
    <w:rsid w:val="0020595E"/>
    <w:rsid w:val="00213259"/>
    <w:rsid w:val="002146D9"/>
    <w:rsid w:val="0021546E"/>
    <w:rsid w:val="00217BC6"/>
    <w:rsid w:val="00221F6F"/>
    <w:rsid w:val="00223E77"/>
    <w:rsid w:val="0022492A"/>
    <w:rsid w:val="00224A13"/>
    <w:rsid w:val="00224AA5"/>
    <w:rsid w:val="00240202"/>
    <w:rsid w:val="0024056F"/>
    <w:rsid w:val="002435D1"/>
    <w:rsid w:val="00243D8B"/>
    <w:rsid w:val="00244A06"/>
    <w:rsid w:val="002460B2"/>
    <w:rsid w:val="00246BA6"/>
    <w:rsid w:val="002512DC"/>
    <w:rsid w:val="002527DC"/>
    <w:rsid w:val="00252E63"/>
    <w:rsid w:val="00256CC6"/>
    <w:rsid w:val="00263136"/>
    <w:rsid w:val="00270307"/>
    <w:rsid w:val="00272DBD"/>
    <w:rsid w:val="002756F1"/>
    <w:rsid w:val="00276F59"/>
    <w:rsid w:val="002770E3"/>
    <w:rsid w:val="002801B2"/>
    <w:rsid w:val="002827D6"/>
    <w:rsid w:val="0028346F"/>
    <w:rsid w:val="0028352C"/>
    <w:rsid w:val="00283CB9"/>
    <w:rsid w:val="0028504D"/>
    <w:rsid w:val="002859A8"/>
    <w:rsid w:val="00290957"/>
    <w:rsid w:val="00293748"/>
    <w:rsid w:val="002A060F"/>
    <w:rsid w:val="002A486E"/>
    <w:rsid w:val="002A7557"/>
    <w:rsid w:val="002A759C"/>
    <w:rsid w:val="002A767E"/>
    <w:rsid w:val="002B1C7B"/>
    <w:rsid w:val="002B1ED2"/>
    <w:rsid w:val="002B79C0"/>
    <w:rsid w:val="002C07B1"/>
    <w:rsid w:val="002D0189"/>
    <w:rsid w:val="002D25E8"/>
    <w:rsid w:val="002D42AF"/>
    <w:rsid w:val="002D7B38"/>
    <w:rsid w:val="002E6DE1"/>
    <w:rsid w:val="002E725E"/>
    <w:rsid w:val="002E7286"/>
    <w:rsid w:val="002F1396"/>
    <w:rsid w:val="002F144E"/>
    <w:rsid w:val="002F26EA"/>
    <w:rsid w:val="002F3DA1"/>
    <w:rsid w:val="002F46D0"/>
    <w:rsid w:val="002F64B5"/>
    <w:rsid w:val="002F723E"/>
    <w:rsid w:val="0030176E"/>
    <w:rsid w:val="00301BCE"/>
    <w:rsid w:val="00301F59"/>
    <w:rsid w:val="00302EC7"/>
    <w:rsid w:val="00306473"/>
    <w:rsid w:val="0031290B"/>
    <w:rsid w:val="00312C88"/>
    <w:rsid w:val="003134F9"/>
    <w:rsid w:val="00313550"/>
    <w:rsid w:val="00314833"/>
    <w:rsid w:val="0031530F"/>
    <w:rsid w:val="00317F00"/>
    <w:rsid w:val="0032043B"/>
    <w:rsid w:val="00321BA3"/>
    <w:rsid w:val="0032349B"/>
    <w:rsid w:val="003236A1"/>
    <w:rsid w:val="003249CA"/>
    <w:rsid w:val="00325E14"/>
    <w:rsid w:val="00326730"/>
    <w:rsid w:val="00330084"/>
    <w:rsid w:val="00330802"/>
    <w:rsid w:val="00330B43"/>
    <w:rsid w:val="00333111"/>
    <w:rsid w:val="003331AA"/>
    <w:rsid w:val="00336676"/>
    <w:rsid w:val="00336A2C"/>
    <w:rsid w:val="00340318"/>
    <w:rsid w:val="003409B2"/>
    <w:rsid w:val="00341D1A"/>
    <w:rsid w:val="003429D2"/>
    <w:rsid w:val="00344082"/>
    <w:rsid w:val="00344A4E"/>
    <w:rsid w:val="00346446"/>
    <w:rsid w:val="003473E9"/>
    <w:rsid w:val="003510B1"/>
    <w:rsid w:val="0035202A"/>
    <w:rsid w:val="00353182"/>
    <w:rsid w:val="0035334A"/>
    <w:rsid w:val="0035515A"/>
    <w:rsid w:val="00360250"/>
    <w:rsid w:val="00360C38"/>
    <w:rsid w:val="0036705B"/>
    <w:rsid w:val="00367290"/>
    <w:rsid w:val="00370E5D"/>
    <w:rsid w:val="003714A5"/>
    <w:rsid w:val="00371C9D"/>
    <w:rsid w:val="00372AF0"/>
    <w:rsid w:val="00374232"/>
    <w:rsid w:val="00383F1F"/>
    <w:rsid w:val="00384A00"/>
    <w:rsid w:val="00386CD2"/>
    <w:rsid w:val="00386F29"/>
    <w:rsid w:val="00387AAD"/>
    <w:rsid w:val="00390C7E"/>
    <w:rsid w:val="00392135"/>
    <w:rsid w:val="00392B24"/>
    <w:rsid w:val="00394F33"/>
    <w:rsid w:val="00397D80"/>
    <w:rsid w:val="003A487E"/>
    <w:rsid w:val="003A5F43"/>
    <w:rsid w:val="003A7C9F"/>
    <w:rsid w:val="003B1E86"/>
    <w:rsid w:val="003B3211"/>
    <w:rsid w:val="003B3246"/>
    <w:rsid w:val="003B3589"/>
    <w:rsid w:val="003B3A19"/>
    <w:rsid w:val="003B51FD"/>
    <w:rsid w:val="003B7248"/>
    <w:rsid w:val="003C02BA"/>
    <w:rsid w:val="003C08BE"/>
    <w:rsid w:val="003C1B32"/>
    <w:rsid w:val="003C2070"/>
    <w:rsid w:val="003C2829"/>
    <w:rsid w:val="003C320C"/>
    <w:rsid w:val="003C3BD6"/>
    <w:rsid w:val="003C57C4"/>
    <w:rsid w:val="003C6ACE"/>
    <w:rsid w:val="003D0012"/>
    <w:rsid w:val="003D1A4D"/>
    <w:rsid w:val="003D270D"/>
    <w:rsid w:val="003D6844"/>
    <w:rsid w:val="003D7945"/>
    <w:rsid w:val="003E0082"/>
    <w:rsid w:val="003E022B"/>
    <w:rsid w:val="003E1CCF"/>
    <w:rsid w:val="003E2FAA"/>
    <w:rsid w:val="003E3EF3"/>
    <w:rsid w:val="003E4730"/>
    <w:rsid w:val="003E6411"/>
    <w:rsid w:val="003F2511"/>
    <w:rsid w:val="003F37DF"/>
    <w:rsid w:val="003F715D"/>
    <w:rsid w:val="004007AA"/>
    <w:rsid w:val="0040083A"/>
    <w:rsid w:val="00400EC3"/>
    <w:rsid w:val="0040658A"/>
    <w:rsid w:val="00412595"/>
    <w:rsid w:val="00412935"/>
    <w:rsid w:val="00412CB4"/>
    <w:rsid w:val="00413688"/>
    <w:rsid w:val="00414215"/>
    <w:rsid w:val="0041513A"/>
    <w:rsid w:val="0041580A"/>
    <w:rsid w:val="00421218"/>
    <w:rsid w:val="00424E26"/>
    <w:rsid w:val="00431246"/>
    <w:rsid w:val="004314E9"/>
    <w:rsid w:val="00433ABF"/>
    <w:rsid w:val="00434778"/>
    <w:rsid w:val="0043561E"/>
    <w:rsid w:val="00447E9A"/>
    <w:rsid w:val="004501CC"/>
    <w:rsid w:val="00450767"/>
    <w:rsid w:val="004510FB"/>
    <w:rsid w:val="004517C5"/>
    <w:rsid w:val="00451B3D"/>
    <w:rsid w:val="00452091"/>
    <w:rsid w:val="00455DAA"/>
    <w:rsid w:val="004560AA"/>
    <w:rsid w:val="0045615D"/>
    <w:rsid w:val="0045659D"/>
    <w:rsid w:val="00463087"/>
    <w:rsid w:val="004644DE"/>
    <w:rsid w:val="00466C8B"/>
    <w:rsid w:val="00470876"/>
    <w:rsid w:val="004710D2"/>
    <w:rsid w:val="00473F1B"/>
    <w:rsid w:val="00474EDC"/>
    <w:rsid w:val="004756F1"/>
    <w:rsid w:val="00477DDE"/>
    <w:rsid w:val="00483E8F"/>
    <w:rsid w:val="00487BBF"/>
    <w:rsid w:val="004915F6"/>
    <w:rsid w:val="00491856"/>
    <w:rsid w:val="00493157"/>
    <w:rsid w:val="004935E3"/>
    <w:rsid w:val="00493885"/>
    <w:rsid w:val="0049435E"/>
    <w:rsid w:val="00496E28"/>
    <w:rsid w:val="00497FEA"/>
    <w:rsid w:val="004A0349"/>
    <w:rsid w:val="004A264C"/>
    <w:rsid w:val="004A49D5"/>
    <w:rsid w:val="004B17A2"/>
    <w:rsid w:val="004B5D1B"/>
    <w:rsid w:val="004C0122"/>
    <w:rsid w:val="004C2664"/>
    <w:rsid w:val="004C29D3"/>
    <w:rsid w:val="004C7628"/>
    <w:rsid w:val="004D05DA"/>
    <w:rsid w:val="004D1F38"/>
    <w:rsid w:val="004E0E22"/>
    <w:rsid w:val="004E106B"/>
    <w:rsid w:val="004E118E"/>
    <w:rsid w:val="004E174E"/>
    <w:rsid w:val="004E1C9B"/>
    <w:rsid w:val="004E4C76"/>
    <w:rsid w:val="004F0879"/>
    <w:rsid w:val="004F0AC0"/>
    <w:rsid w:val="004F0C76"/>
    <w:rsid w:val="004F3586"/>
    <w:rsid w:val="004F3DFE"/>
    <w:rsid w:val="004F3F4C"/>
    <w:rsid w:val="004F4DF0"/>
    <w:rsid w:val="004F6A21"/>
    <w:rsid w:val="004F795E"/>
    <w:rsid w:val="005005A4"/>
    <w:rsid w:val="00501D42"/>
    <w:rsid w:val="00502728"/>
    <w:rsid w:val="0050688E"/>
    <w:rsid w:val="00512DCA"/>
    <w:rsid w:val="00515A57"/>
    <w:rsid w:val="00517E1C"/>
    <w:rsid w:val="00520B7E"/>
    <w:rsid w:val="0052201E"/>
    <w:rsid w:val="00522720"/>
    <w:rsid w:val="005253CC"/>
    <w:rsid w:val="00527774"/>
    <w:rsid w:val="005313C4"/>
    <w:rsid w:val="00537C0F"/>
    <w:rsid w:val="00540A02"/>
    <w:rsid w:val="00541412"/>
    <w:rsid w:val="005416AF"/>
    <w:rsid w:val="0054342F"/>
    <w:rsid w:val="00544165"/>
    <w:rsid w:val="00544BD2"/>
    <w:rsid w:val="00545708"/>
    <w:rsid w:val="00554FD8"/>
    <w:rsid w:val="00555956"/>
    <w:rsid w:val="00555CE6"/>
    <w:rsid w:val="00560151"/>
    <w:rsid w:val="00561A78"/>
    <w:rsid w:val="00561B91"/>
    <w:rsid w:val="0056415D"/>
    <w:rsid w:val="005650DB"/>
    <w:rsid w:val="005674C2"/>
    <w:rsid w:val="00567657"/>
    <w:rsid w:val="00567B7B"/>
    <w:rsid w:val="00572F20"/>
    <w:rsid w:val="00573BAA"/>
    <w:rsid w:val="00575E11"/>
    <w:rsid w:val="00576FBA"/>
    <w:rsid w:val="00581693"/>
    <w:rsid w:val="00582C93"/>
    <w:rsid w:val="00586439"/>
    <w:rsid w:val="00586CFA"/>
    <w:rsid w:val="00591EEE"/>
    <w:rsid w:val="005927B4"/>
    <w:rsid w:val="005940B4"/>
    <w:rsid w:val="005950A4"/>
    <w:rsid w:val="00596792"/>
    <w:rsid w:val="00597C8B"/>
    <w:rsid w:val="005A28E8"/>
    <w:rsid w:val="005A4155"/>
    <w:rsid w:val="005B48BC"/>
    <w:rsid w:val="005B4BAC"/>
    <w:rsid w:val="005B5005"/>
    <w:rsid w:val="005B70F4"/>
    <w:rsid w:val="005C0904"/>
    <w:rsid w:val="005C0C57"/>
    <w:rsid w:val="005C23F1"/>
    <w:rsid w:val="005C5382"/>
    <w:rsid w:val="005D2B48"/>
    <w:rsid w:val="005D2F32"/>
    <w:rsid w:val="005D4A83"/>
    <w:rsid w:val="005D67E6"/>
    <w:rsid w:val="005E1945"/>
    <w:rsid w:val="005E27AF"/>
    <w:rsid w:val="005E2DE9"/>
    <w:rsid w:val="005E36C1"/>
    <w:rsid w:val="005E5273"/>
    <w:rsid w:val="005E61FD"/>
    <w:rsid w:val="005F0C85"/>
    <w:rsid w:val="005F145D"/>
    <w:rsid w:val="005F1DCB"/>
    <w:rsid w:val="005F7019"/>
    <w:rsid w:val="005F70BF"/>
    <w:rsid w:val="005F74F4"/>
    <w:rsid w:val="00602722"/>
    <w:rsid w:val="00602F23"/>
    <w:rsid w:val="00603F04"/>
    <w:rsid w:val="00604C46"/>
    <w:rsid w:val="00605341"/>
    <w:rsid w:val="0060665A"/>
    <w:rsid w:val="00607610"/>
    <w:rsid w:val="00610D36"/>
    <w:rsid w:val="00613307"/>
    <w:rsid w:val="00613BDD"/>
    <w:rsid w:val="00615634"/>
    <w:rsid w:val="00615A03"/>
    <w:rsid w:val="00617BD4"/>
    <w:rsid w:val="00621151"/>
    <w:rsid w:val="00622096"/>
    <w:rsid w:val="00624774"/>
    <w:rsid w:val="00625C15"/>
    <w:rsid w:val="00626C81"/>
    <w:rsid w:val="00626D8A"/>
    <w:rsid w:val="00626E91"/>
    <w:rsid w:val="00630606"/>
    <w:rsid w:val="00632174"/>
    <w:rsid w:val="00636CE3"/>
    <w:rsid w:val="00637FDA"/>
    <w:rsid w:val="0064218C"/>
    <w:rsid w:val="0064291B"/>
    <w:rsid w:val="006437E2"/>
    <w:rsid w:val="00644156"/>
    <w:rsid w:val="00647CEC"/>
    <w:rsid w:val="00651249"/>
    <w:rsid w:val="00653A6C"/>
    <w:rsid w:val="00654BB5"/>
    <w:rsid w:val="006555AC"/>
    <w:rsid w:val="00657269"/>
    <w:rsid w:val="006611A3"/>
    <w:rsid w:val="00661BF6"/>
    <w:rsid w:val="00662F70"/>
    <w:rsid w:val="006661AF"/>
    <w:rsid w:val="00680B6A"/>
    <w:rsid w:val="00684AAF"/>
    <w:rsid w:val="00684BAF"/>
    <w:rsid w:val="00685740"/>
    <w:rsid w:val="00685C19"/>
    <w:rsid w:val="00686E23"/>
    <w:rsid w:val="00690C6A"/>
    <w:rsid w:val="00691FC6"/>
    <w:rsid w:val="00692BDF"/>
    <w:rsid w:val="00693214"/>
    <w:rsid w:val="00695ED1"/>
    <w:rsid w:val="00696574"/>
    <w:rsid w:val="00696883"/>
    <w:rsid w:val="006A07F3"/>
    <w:rsid w:val="006A1449"/>
    <w:rsid w:val="006A2642"/>
    <w:rsid w:val="006B01B8"/>
    <w:rsid w:val="006B0F00"/>
    <w:rsid w:val="006B6C63"/>
    <w:rsid w:val="006B7B8A"/>
    <w:rsid w:val="006C0041"/>
    <w:rsid w:val="006C2C79"/>
    <w:rsid w:val="006C4266"/>
    <w:rsid w:val="006C556E"/>
    <w:rsid w:val="006C5EB1"/>
    <w:rsid w:val="006C6C28"/>
    <w:rsid w:val="006C7C74"/>
    <w:rsid w:val="006D2B1B"/>
    <w:rsid w:val="006D5532"/>
    <w:rsid w:val="006D7E42"/>
    <w:rsid w:val="006E1590"/>
    <w:rsid w:val="006E6464"/>
    <w:rsid w:val="006E6CC7"/>
    <w:rsid w:val="006F1156"/>
    <w:rsid w:val="006F1188"/>
    <w:rsid w:val="006F1514"/>
    <w:rsid w:val="006F1AA0"/>
    <w:rsid w:val="006F2F8F"/>
    <w:rsid w:val="006F3551"/>
    <w:rsid w:val="006F3718"/>
    <w:rsid w:val="006F3C3A"/>
    <w:rsid w:val="006F4FA9"/>
    <w:rsid w:val="006F7499"/>
    <w:rsid w:val="007024FD"/>
    <w:rsid w:val="00703C92"/>
    <w:rsid w:val="00711FF9"/>
    <w:rsid w:val="00712D5A"/>
    <w:rsid w:val="00717502"/>
    <w:rsid w:val="0072725A"/>
    <w:rsid w:val="00730881"/>
    <w:rsid w:val="0073145B"/>
    <w:rsid w:val="00732121"/>
    <w:rsid w:val="00735927"/>
    <w:rsid w:val="0073774D"/>
    <w:rsid w:val="007425FF"/>
    <w:rsid w:val="00742FBB"/>
    <w:rsid w:val="00743CCF"/>
    <w:rsid w:val="007505B2"/>
    <w:rsid w:val="00751BC0"/>
    <w:rsid w:val="0075379F"/>
    <w:rsid w:val="00757F54"/>
    <w:rsid w:val="007607BC"/>
    <w:rsid w:val="0076155E"/>
    <w:rsid w:val="0076330E"/>
    <w:rsid w:val="00764430"/>
    <w:rsid w:val="00771842"/>
    <w:rsid w:val="0077185F"/>
    <w:rsid w:val="00772B1D"/>
    <w:rsid w:val="00774A5E"/>
    <w:rsid w:val="00777B1F"/>
    <w:rsid w:val="00783155"/>
    <w:rsid w:val="00785336"/>
    <w:rsid w:val="00786156"/>
    <w:rsid w:val="00786241"/>
    <w:rsid w:val="00787589"/>
    <w:rsid w:val="007901AB"/>
    <w:rsid w:val="0079023A"/>
    <w:rsid w:val="007908B4"/>
    <w:rsid w:val="00791499"/>
    <w:rsid w:val="00795B7A"/>
    <w:rsid w:val="00795EFF"/>
    <w:rsid w:val="00796245"/>
    <w:rsid w:val="00796ECA"/>
    <w:rsid w:val="007975F3"/>
    <w:rsid w:val="007A2A54"/>
    <w:rsid w:val="007A4A7A"/>
    <w:rsid w:val="007A78BD"/>
    <w:rsid w:val="007B04B7"/>
    <w:rsid w:val="007B3FEC"/>
    <w:rsid w:val="007B60A9"/>
    <w:rsid w:val="007C06D6"/>
    <w:rsid w:val="007C1402"/>
    <w:rsid w:val="007C1788"/>
    <w:rsid w:val="007C4639"/>
    <w:rsid w:val="007C4C26"/>
    <w:rsid w:val="007C6F99"/>
    <w:rsid w:val="007C7BCE"/>
    <w:rsid w:val="007D3CAA"/>
    <w:rsid w:val="007D4E98"/>
    <w:rsid w:val="007D73D9"/>
    <w:rsid w:val="007E2F40"/>
    <w:rsid w:val="007E3CDF"/>
    <w:rsid w:val="007E7C6A"/>
    <w:rsid w:val="007F1EAF"/>
    <w:rsid w:val="007F2196"/>
    <w:rsid w:val="007F23E9"/>
    <w:rsid w:val="007F429A"/>
    <w:rsid w:val="008028C3"/>
    <w:rsid w:val="008032AB"/>
    <w:rsid w:val="0080394E"/>
    <w:rsid w:val="008053DA"/>
    <w:rsid w:val="008078B1"/>
    <w:rsid w:val="008079AB"/>
    <w:rsid w:val="00810662"/>
    <w:rsid w:val="0081166F"/>
    <w:rsid w:val="0081219A"/>
    <w:rsid w:val="008121B3"/>
    <w:rsid w:val="00812581"/>
    <w:rsid w:val="00815877"/>
    <w:rsid w:val="008158E8"/>
    <w:rsid w:val="00817286"/>
    <w:rsid w:val="0081736F"/>
    <w:rsid w:val="00821BE4"/>
    <w:rsid w:val="00822FD7"/>
    <w:rsid w:val="00823830"/>
    <w:rsid w:val="00823EBC"/>
    <w:rsid w:val="00824A5F"/>
    <w:rsid w:val="00824CB3"/>
    <w:rsid w:val="008277A0"/>
    <w:rsid w:val="00832FB4"/>
    <w:rsid w:val="008346CB"/>
    <w:rsid w:val="008348B5"/>
    <w:rsid w:val="00836C3A"/>
    <w:rsid w:val="00836F37"/>
    <w:rsid w:val="00840276"/>
    <w:rsid w:val="0084030A"/>
    <w:rsid w:val="008404CD"/>
    <w:rsid w:val="008506CB"/>
    <w:rsid w:val="008508A5"/>
    <w:rsid w:val="008512BF"/>
    <w:rsid w:val="008558EB"/>
    <w:rsid w:val="00865CE8"/>
    <w:rsid w:val="00867597"/>
    <w:rsid w:val="0087123C"/>
    <w:rsid w:val="00873A3F"/>
    <w:rsid w:val="00874ACA"/>
    <w:rsid w:val="00880DE1"/>
    <w:rsid w:val="00881E25"/>
    <w:rsid w:val="00887079"/>
    <w:rsid w:val="008933BE"/>
    <w:rsid w:val="0089341F"/>
    <w:rsid w:val="00894C15"/>
    <w:rsid w:val="00896224"/>
    <w:rsid w:val="008A1359"/>
    <w:rsid w:val="008A2BED"/>
    <w:rsid w:val="008A6AFC"/>
    <w:rsid w:val="008A749C"/>
    <w:rsid w:val="008B0C26"/>
    <w:rsid w:val="008B1691"/>
    <w:rsid w:val="008B237D"/>
    <w:rsid w:val="008B4D45"/>
    <w:rsid w:val="008B4E02"/>
    <w:rsid w:val="008B5BED"/>
    <w:rsid w:val="008B7139"/>
    <w:rsid w:val="008C468D"/>
    <w:rsid w:val="008C6C2E"/>
    <w:rsid w:val="008C70EC"/>
    <w:rsid w:val="008D0069"/>
    <w:rsid w:val="008D3BB6"/>
    <w:rsid w:val="008D4337"/>
    <w:rsid w:val="008E269E"/>
    <w:rsid w:val="008E2F6D"/>
    <w:rsid w:val="008E3B1A"/>
    <w:rsid w:val="008E4EC2"/>
    <w:rsid w:val="008E7C5F"/>
    <w:rsid w:val="008F1901"/>
    <w:rsid w:val="008F207E"/>
    <w:rsid w:val="008F61E9"/>
    <w:rsid w:val="008F7BA4"/>
    <w:rsid w:val="00902598"/>
    <w:rsid w:val="00902DDB"/>
    <w:rsid w:val="00911CA5"/>
    <w:rsid w:val="009135FC"/>
    <w:rsid w:val="00914412"/>
    <w:rsid w:val="009144DC"/>
    <w:rsid w:val="00914E88"/>
    <w:rsid w:val="00916412"/>
    <w:rsid w:val="00917A4F"/>
    <w:rsid w:val="00921405"/>
    <w:rsid w:val="00924F83"/>
    <w:rsid w:val="009259F7"/>
    <w:rsid w:val="009265B7"/>
    <w:rsid w:val="00932316"/>
    <w:rsid w:val="009325E0"/>
    <w:rsid w:val="009353BA"/>
    <w:rsid w:val="00935618"/>
    <w:rsid w:val="00936672"/>
    <w:rsid w:val="009509C7"/>
    <w:rsid w:val="0095519C"/>
    <w:rsid w:val="00955ECB"/>
    <w:rsid w:val="00960210"/>
    <w:rsid w:val="00960971"/>
    <w:rsid w:val="0096101D"/>
    <w:rsid w:val="0096188B"/>
    <w:rsid w:val="00962515"/>
    <w:rsid w:val="0096333E"/>
    <w:rsid w:val="00964015"/>
    <w:rsid w:val="00964312"/>
    <w:rsid w:val="009644A7"/>
    <w:rsid w:val="00966A2C"/>
    <w:rsid w:val="00970057"/>
    <w:rsid w:val="009825CA"/>
    <w:rsid w:val="00990624"/>
    <w:rsid w:val="0099071C"/>
    <w:rsid w:val="00993E9D"/>
    <w:rsid w:val="00996BA6"/>
    <w:rsid w:val="00996F6E"/>
    <w:rsid w:val="009A2878"/>
    <w:rsid w:val="009A6614"/>
    <w:rsid w:val="009B0D41"/>
    <w:rsid w:val="009B2981"/>
    <w:rsid w:val="009B54CD"/>
    <w:rsid w:val="009B5539"/>
    <w:rsid w:val="009B5680"/>
    <w:rsid w:val="009B7091"/>
    <w:rsid w:val="009C4FD6"/>
    <w:rsid w:val="009D145E"/>
    <w:rsid w:val="009D147A"/>
    <w:rsid w:val="009D1A29"/>
    <w:rsid w:val="009D34BE"/>
    <w:rsid w:val="009D51DA"/>
    <w:rsid w:val="009D55DE"/>
    <w:rsid w:val="009D5CE2"/>
    <w:rsid w:val="009D5E41"/>
    <w:rsid w:val="009D61E9"/>
    <w:rsid w:val="009D7500"/>
    <w:rsid w:val="009E0551"/>
    <w:rsid w:val="009E1ECC"/>
    <w:rsid w:val="009E4DBC"/>
    <w:rsid w:val="009E6737"/>
    <w:rsid w:val="009E6C37"/>
    <w:rsid w:val="009F3ADB"/>
    <w:rsid w:val="009F45EC"/>
    <w:rsid w:val="00A02124"/>
    <w:rsid w:val="00A02C5B"/>
    <w:rsid w:val="00A03980"/>
    <w:rsid w:val="00A04E8A"/>
    <w:rsid w:val="00A13FC0"/>
    <w:rsid w:val="00A17B26"/>
    <w:rsid w:val="00A17E24"/>
    <w:rsid w:val="00A222C6"/>
    <w:rsid w:val="00A23BF5"/>
    <w:rsid w:val="00A25147"/>
    <w:rsid w:val="00A31783"/>
    <w:rsid w:val="00A31948"/>
    <w:rsid w:val="00A32F77"/>
    <w:rsid w:val="00A34773"/>
    <w:rsid w:val="00A35749"/>
    <w:rsid w:val="00A408C8"/>
    <w:rsid w:val="00A4145F"/>
    <w:rsid w:val="00A42BBF"/>
    <w:rsid w:val="00A434B3"/>
    <w:rsid w:val="00A444D6"/>
    <w:rsid w:val="00A45074"/>
    <w:rsid w:val="00A4586D"/>
    <w:rsid w:val="00A45E8B"/>
    <w:rsid w:val="00A471DC"/>
    <w:rsid w:val="00A50240"/>
    <w:rsid w:val="00A50F93"/>
    <w:rsid w:val="00A56DEB"/>
    <w:rsid w:val="00A660AB"/>
    <w:rsid w:val="00A664A2"/>
    <w:rsid w:val="00A70517"/>
    <w:rsid w:val="00A70FB6"/>
    <w:rsid w:val="00A71A37"/>
    <w:rsid w:val="00A72E13"/>
    <w:rsid w:val="00A730F4"/>
    <w:rsid w:val="00A737FA"/>
    <w:rsid w:val="00A74632"/>
    <w:rsid w:val="00A765F2"/>
    <w:rsid w:val="00A76702"/>
    <w:rsid w:val="00A76D31"/>
    <w:rsid w:val="00A77655"/>
    <w:rsid w:val="00A77D9D"/>
    <w:rsid w:val="00A84643"/>
    <w:rsid w:val="00A84D28"/>
    <w:rsid w:val="00A91059"/>
    <w:rsid w:val="00A91AC3"/>
    <w:rsid w:val="00A91D14"/>
    <w:rsid w:val="00A95A5C"/>
    <w:rsid w:val="00A95F19"/>
    <w:rsid w:val="00AA157F"/>
    <w:rsid w:val="00AA4277"/>
    <w:rsid w:val="00AA5AC9"/>
    <w:rsid w:val="00AA5AFB"/>
    <w:rsid w:val="00AB4743"/>
    <w:rsid w:val="00AB6074"/>
    <w:rsid w:val="00AB610D"/>
    <w:rsid w:val="00AB7AF2"/>
    <w:rsid w:val="00AB7B1D"/>
    <w:rsid w:val="00AC028D"/>
    <w:rsid w:val="00AC0402"/>
    <w:rsid w:val="00AC1BD2"/>
    <w:rsid w:val="00AC2263"/>
    <w:rsid w:val="00AC4792"/>
    <w:rsid w:val="00AC50EF"/>
    <w:rsid w:val="00AC5A00"/>
    <w:rsid w:val="00AD3771"/>
    <w:rsid w:val="00AD4687"/>
    <w:rsid w:val="00AE0108"/>
    <w:rsid w:val="00AE083F"/>
    <w:rsid w:val="00AE1D78"/>
    <w:rsid w:val="00AE3106"/>
    <w:rsid w:val="00AE3F00"/>
    <w:rsid w:val="00AE6A5A"/>
    <w:rsid w:val="00AE6AF0"/>
    <w:rsid w:val="00AE6CA9"/>
    <w:rsid w:val="00AF036D"/>
    <w:rsid w:val="00AF0DB5"/>
    <w:rsid w:val="00AF3247"/>
    <w:rsid w:val="00AF3E93"/>
    <w:rsid w:val="00AF4796"/>
    <w:rsid w:val="00AF4C3B"/>
    <w:rsid w:val="00AF78C6"/>
    <w:rsid w:val="00B00DFB"/>
    <w:rsid w:val="00B02BF3"/>
    <w:rsid w:val="00B03E6D"/>
    <w:rsid w:val="00B04EF6"/>
    <w:rsid w:val="00B1010B"/>
    <w:rsid w:val="00B129D2"/>
    <w:rsid w:val="00B164D6"/>
    <w:rsid w:val="00B231B7"/>
    <w:rsid w:val="00B2629B"/>
    <w:rsid w:val="00B267B7"/>
    <w:rsid w:val="00B26920"/>
    <w:rsid w:val="00B2724B"/>
    <w:rsid w:val="00B308A8"/>
    <w:rsid w:val="00B34E1F"/>
    <w:rsid w:val="00B352D9"/>
    <w:rsid w:val="00B41476"/>
    <w:rsid w:val="00B41EBE"/>
    <w:rsid w:val="00B42DF9"/>
    <w:rsid w:val="00B44059"/>
    <w:rsid w:val="00B46D2D"/>
    <w:rsid w:val="00B46DD2"/>
    <w:rsid w:val="00B47163"/>
    <w:rsid w:val="00B559F3"/>
    <w:rsid w:val="00B609DD"/>
    <w:rsid w:val="00B61B80"/>
    <w:rsid w:val="00B65E35"/>
    <w:rsid w:val="00B666D7"/>
    <w:rsid w:val="00B676A4"/>
    <w:rsid w:val="00B7541A"/>
    <w:rsid w:val="00B767A8"/>
    <w:rsid w:val="00B7685E"/>
    <w:rsid w:val="00B76DCB"/>
    <w:rsid w:val="00B7779F"/>
    <w:rsid w:val="00B77D44"/>
    <w:rsid w:val="00B83ED8"/>
    <w:rsid w:val="00B84D02"/>
    <w:rsid w:val="00B85FD8"/>
    <w:rsid w:val="00B87060"/>
    <w:rsid w:val="00B93F19"/>
    <w:rsid w:val="00B94421"/>
    <w:rsid w:val="00B9459A"/>
    <w:rsid w:val="00B94E55"/>
    <w:rsid w:val="00B97BED"/>
    <w:rsid w:val="00BA09BD"/>
    <w:rsid w:val="00BA0B81"/>
    <w:rsid w:val="00BA4177"/>
    <w:rsid w:val="00BA6E2A"/>
    <w:rsid w:val="00BA6F27"/>
    <w:rsid w:val="00BB4826"/>
    <w:rsid w:val="00BB4C33"/>
    <w:rsid w:val="00BB637F"/>
    <w:rsid w:val="00BC269B"/>
    <w:rsid w:val="00BC4924"/>
    <w:rsid w:val="00BC621C"/>
    <w:rsid w:val="00BC64E8"/>
    <w:rsid w:val="00BC7539"/>
    <w:rsid w:val="00BD1812"/>
    <w:rsid w:val="00BD4D37"/>
    <w:rsid w:val="00BD58C3"/>
    <w:rsid w:val="00BD6EFD"/>
    <w:rsid w:val="00BD774D"/>
    <w:rsid w:val="00BD778C"/>
    <w:rsid w:val="00BE0F76"/>
    <w:rsid w:val="00BE1499"/>
    <w:rsid w:val="00BE4FF0"/>
    <w:rsid w:val="00BF2E76"/>
    <w:rsid w:val="00BF4A9B"/>
    <w:rsid w:val="00BF5AC9"/>
    <w:rsid w:val="00BF78AA"/>
    <w:rsid w:val="00C01801"/>
    <w:rsid w:val="00C02092"/>
    <w:rsid w:val="00C02DDE"/>
    <w:rsid w:val="00C03242"/>
    <w:rsid w:val="00C05587"/>
    <w:rsid w:val="00C06EE3"/>
    <w:rsid w:val="00C138E5"/>
    <w:rsid w:val="00C1489E"/>
    <w:rsid w:val="00C15EA2"/>
    <w:rsid w:val="00C170FD"/>
    <w:rsid w:val="00C2051B"/>
    <w:rsid w:val="00C24CFA"/>
    <w:rsid w:val="00C25F7B"/>
    <w:rsid w:val="00C263CE"/>
    <w:rsid w:val="00C2667D"/>
    <w:rsid w:val="00C30353"/>
    <w:rsid w:val="00C30F83"/>
    <w:rsid w:val="00C31496"/>
    <w:rsid w:val="00C32C90"/>
    <w:rsid w:val="00C33C90"/>
    <w:rsid w:val="00C37B33"/>
    <w:rsid w:val="00C46C12"/>
    <w:rsid w:val="00C46FC1"/>
    <w:rsid w:val="00C61344"/>
    <w:rsid w:val="00C64EB3"/>
    <w:rsid w:val="00C64EF5"/>
    <w:rsid w:val="00C660C0"/>
    <w:rsid w:val="00C66F15"/>
    <w:rsid w:val="00C7106E"/>
    <w:rsid w:val="00C735F5"/>
    <w:rsid w:val="00C83BBC"/>
    <w:rsid w:val="00C83CCD"/>
    <w:rsid w:val="00C842D4"/>
    <w:rsid w:val="00C85582"/>
    <w:rsid w:val="00C85B3A"/>
    <w:rsid w:val="00C87B8B"/>
    <w:rsid w:val="00C914B2"/>
    <w:rsid w:val="00C916B9"/>
    <w:rsid w:val="00C93479"/>
    <w:rsid w:val="00C93E70"/>
    <w:rsid w:val="00C94383"/>
    <w:rsid w:val="00C96392"/>
    <w:rsid w:val="00C97F1E"/>
    <w:rsid w:val="00CA0858"/>
    <w:rsid w:val="00CA348D"/>
    <w:rsid w:val="00CA35C5"/>
    <w:rsid w:val="00CA35CE"/>
    <w:rsid w:val="00CA3D98"/>
    <w:rsid w:val="00CA4462"/>
    <w:rsid w:val="00CA507F"/>
    <w:rsid w:val="00CB0F9B"/>
    <w:rsid w:val="00CB2141"/>
    <w:rsid w:val="00CB241C"/>
    <w:rsid w:val="00CB4714"/>
    <w:rsid w:val="00CB4728"/>
    <w:rsid w:val="00CB47E4"/>
    <w:rsid w:val="00CB5158"/>
    <w:rsid w:val="00CB5C3D"/>
    <w:rsid w:val="00CB5C53"/>
    <w:rsid w:val="00CB61B8"/>
    <w:rsid w:val="00CC289F"/>
    <w:rsid w:val="00CD09A5"/>
    <w:rsid w:val="00CD20AC"/>
    <w:rsid w:val="00CD2B79"/>
    <w:rsid w:val="00CD3539"/>
    <w:rsid w:val="00CD3B3D"/>
    <w:rsid w:val="00CD3E39"/>
    <w:rsid w:val="00CD5684"/>
    <w:rsid w:val="00CD5BCB"/>
    <w:rsid w:val="00CD6146"/>
    <w:rsid w:val="00CD676C"/>
    <w:rsid w:val="00CD7B61"/>
    <w:rsid w:val="00CE0BE9"/>
    <w:rsid w:val="00CE1DFE"/>
    <w:rsid w:val="00CE2229"/>
    <w:rsid w:val="00CE5A32"/>
    <w:rsid w:val="00CE75F1"/>
    <w:rsid w:val="00CF106D"/>
    <w:rsid w:val="00CF5DA7"/>
    <w:rsid w:val="00D00C07"/>
    <w:rsid w:val="00D026D7"/>
    <w:rsid w:val="00D02A32"/>
    <w:rsid w:val="00D03DF4"/>
    <w:rsid w:val="00D07C1D"/>
    <w:rsid w:val="00D11710"/>
    <w:rsid w:val="00D12997"/>
    <w:rsid w:val="00D12F73"/>
    <w:rsid w:val="00D24092"/>
    <w:rsid w:val="00D26F76"/>
    <w:rsid w:val="00D30403"/>
    <w:rsid w:val="00D315EA"/>
    <w:rsid w:val="00D31BC2"/>
    <w:rsid w:val="00D32179"/>
    <w:rsid w:val="00D34A66"/>
    <w:rsid w:val="00D36A29"/>
    <w:rsid w:val="00D40C38"/>
    <w:rsid w:val="00D41C98"/>
    <w:rsid w:val="00D43D5C"/>
    <w:rsid w:val="00D46790"/>
    <w:rsid w:val="00D476D1"/>
    <w:rsid w:val="00D51154"/>
    <w:rsid w:val="00D51B39"/>
    <w:rsid w:val="00D53499"/>
    <w:rsid w:val="00D5612D"/>
    <w:rsid w:val="00D57178"/>
    <w:rsid w:val="00D5726E"/>
    <w:rsid w:val="00D60697"/>
    <w:rsid w:val="00D61E22"/>
    <w:rsid w:val="00D63D22"/>
    <w:rsid w:val="00D64C88"/>
    <w:rsid w:val="00D66673"/>
    <w:rsid w:val="00D67EA8"/>
    <w:rsid w:val="00D731F8"/>
    <w:rsid w:val="00D73A6F"/>
    <w:rsid w:val="00D73DCA"/>
    <w:rsid w:val="00D741F9"/>
    <w:rsid w:val="00D77D45"/>
    <w:rsid w:val="00D80093"/>
    <w:rsid w:val="00D816A0"/>
    <w:rsid w:val="00D84367"/>
    <w:rsid w:val="00D844C3"/>
    <w:rsid w:val="00D85F88"/>
    <w:rsid w:val="00D87F40"/>
    <w:rsid w:val="00D90640"/>
    <w:rsid w:val="00D92390"/>
    <w:rsid w:val="00D94AC3"/>
    <w:rsid w:val="00D97A60"/>
    <w:rsid w:val="00DA032F"/>
    <w:rsid w:val="00DA1A4E"/>
    <w:rsid w:val="00DA2161"/>
    <w:rsid w:val="00DA2F52"/>
    <w:rsid w:val="00DA31D9"/>
    <w:rsid w:val="00DA3278"/>
    <w:rsid w:val="00DA3679"/>
    <w:rsid w:val="00DB08FA"/>
    <w:rsid w:val="00DB0DF1"/>
    <w:rsid w:val="00DB13C2"/>
    <w:rsid w:val="00DB1BB8"/>
    <w:rsid w:val="00DB6A00"/>
    <w:rsid w:val="00DB7556"/>
    <w:rsid w:val="00DC011D"/>
    <w:rsid w:val="00DC0723"/>
    <w:rsid w:val="00DC3EA6"/>
    <w:rsid w:val="00DC5103"/>
    <w:rsid w:val="00DC5A20"/>
    <w:rsid w:val="00DC6B00"/>
    <w:rsid w:val="00DC78F6"/>
    <w:rsid w:val="00DC7F65"/>
    <w:rsid w:val="00DD063A"/>
    <w:rsid w:val="00DD2083"/>
    <w:rsid w:val="00DD219F"/>
    <w:rsid w:val="00DD5288"/>
    <w:rsid w:val="00DD69F0"/>
    <w:rsid w:val="00DD7C81"/>
    <w:rsid w:val="00DD7FC6"/>
    <w:rsid w:val="00DD7FF5"/>
    <w:rsid w:val="00DE11DB"/>
    <w:rsid w:val="00DE35F8"/>
    <w:rsid w:val="00DE46D0"/>
    <w:rsid w:val="00DE67CB"/>
    <w:rsid w:val="00DE6C71"/>
    <w:rsid w:val="00DE7C39"/>
    <w:rsid w:val="00DF41A7"/>
    <w:rsid w:val="00DF6E81"/>
    <w:rsid w:val="00E00BDD"/>
    <w:rsid w:val="00E0388E"/>
    <w:rsid w:val="00E03C2E"/>
    <w:rsid w:val="00E04D28"/>
    <w:rsid w:val="00E04FD8"/>
    <w:rsid w:val="00E12FD3"/>
    <w:rsid w:val="00E15D48"/>
    <w:rsid w:val="00E16C0F"/>
    <w:rsid w:val="00E20721"/>
    <w:rsid w:val="00E21BA3"/>
    <w:rsid w:val="00E22629"/>
    <w:rsid w:val="00E25D3A"/>
    <w:rsid w:val="00E25DF3"/>
    <w:rsid w:val="00E2711E"/>
    <w:rsid w:val="00E31507"/>
    <w:rsid w:val="00E32239"/>
    <w:rsid w:val="00E33D34"/>
    <w:rsid w:val="00E34260"/>
    <w:rsid w:val="00E34A56"/>
    <w:rsid w:val="00E362AA"/>
    <w:rsid w:val="00E41E49"/>
    <w:rsid w:val="00E52BF9"/>
    <w:rsid w:val="00E53BDD"/>
    <w:rsid w:val="00E54162"/>
    <w:rsid w:val="00E60DAD"/>
    <w:rsid w:val="00E6231C"/>
    <w:rsid w:val="00E64126"/>
    <w:rsid w:val="00E6428E"/>
    <w:rsid w:val="00E67D48"/>
    <w:rsid w:val="00E7581F"/>
    <w:rsid w:val="00E80B4B"/>
    <w:rsid w:val="00E81571"/>
    <w:rsid w:val="00E8554E"/>
    <w:rsid w:val="00E8661B"/>
    <w:rsid w:val="00E8662D"/>
    <w:rsid w:val="00E9158A"/>
    <w:rsid w:val="00E916D2"/>
    <w:rsid w:val="00E962D2"/>
    <w:rsid w:val="00EA46F7"/>
    <w:rsid w:val="00EA6698"/>
    <w:rsid w:val="00EA7FF4"/>
    <w:rsid w:val="00EB179A"/>
    <w:rsid w:val="00EB2216"/>
    <w:rsid w:val="00EB2296"/>
    <w:rsid w:val="00EB2B3F"/>
    <w:rsid w:val="00EB5EE8"/>
    <w:rsid w:val="00EC2785"/>
    <w:rsid w:val="00EC2B65"/>
    <w:rsid w:val="00EC2DF6"/>
    <w:rsid w:val="00EC3F2C"/>
    <w:rsid w:val="00EC4D62"/>
    <w:rsid w:val="00EC5FD5"/>
    <w:rsid w:val="00EC6687"/>
    <w:rsid w:val="00EC69DC"/>
    <w:rsid w:val="00EC75A9"/>
    <w:rsid w:val="00ED04BE"/>
    <w:rsid w:val="00ED08E8"/>
    <w:rsid w:val="00ED1BD1"/>
    <w:rsid w:val="00ED1F07"/>
    <w:rsid w:val="00ED581F"/>
    <w:rsid w:val="00ED62AC"/>
    <w:rsid w:val="00ED6E23"/>
    <w:rsid w:val="00EE2412"/>
    <w:rsid w:val="00EE2E10"/>
    <w:rsid w:val="00EE2E73"/>
    <w:rsid w:val="00EE3B18"/>
    <w:rsid w:val="00EE4F29"/>
    <w:rsid w:val="00EE733E"/>
    <w:rsid w:val="00EF2D37"/>
    <w:rsid w:val="00EF32C1"/>
    <w:rsid w:val="00EF4478"/>
    <w:rsid w:val="00EF5770"/>
    <w:rsid w:val="00EF73CD"/>
    <w:rsid w:val="00F00B42"/>
    <w:rsid w:val="00F02DC8"/>
    <w:rsid w:val="00F02EF0"/>
    <w:rsid w:val="00F03F25"/>
    <w:rsid w:val="00F11562"/>
    <w:rsid w:val="00F11B58"/>
    <w:rsid w:val="00F14A6B"/>
    <w:rsid w:val="00F14E29"/>
    <w:rsid w:val="00F154D6"/>
    <w:rsid w:val="00F16231"/>
    <w:rsid w:val="00F16822"/>
    <w:rsid w:val="00F20032"/>
    <w:rsid w:val="00F21EAD"/>
    <w:rsid w:val="00F22739"/>
    <w:rsid w:val="00F24EBB"/>
    <w:rsid w:val="00F26553"/>
    <w:rsid w:val="00F26A52"/>
    <w:rsid w:val="00F27B62"/>
    <w:rsid w:val="00F27C77"/>
    <w:rsid w:val="00F27F9D"/>
    <w:rsid w:val="00F3075E"/>
    <w:rsid w:val="00F30977"/>
    <w:rsid w:val="00F3189D"/>
    <w:rsid w:val="00F33015"/>
    <w:rsid w:val="00F35B41"/>
    <w:rsid w:val="00F40D3D"/>
    <w:rsid w:val="00F418EA"/>
    <w:rsid w:val="00F44D8E"/>
    <w:rsid w:val="00F44E68"/>
    <w:rsid w:val="00F46752"/>
    <w:rsid w:val="00F46805"/>
    <w:rsid w:val="00F46A90"/>
    <w:rsid w:val="00F47924"/>
    <w:rsid w:val="00F47B42"/>
    <w:rsid w:val="00F503A5"/>
    <w:rsid w:val="00F52188"/>
    <w:rsid w:val="00F52EE0"/>
    <w:rsid w:val="00F54102"/>
    <w:rsid w:val="00F54EFD"/>
    <w:rsid w:val="00F573B6"/>
    <w:rsid w:val="00F57CB1"/>
    <w:rsid w:val="00F61223"/>
    <w:rsid w:val="00F63781"/>
    <w:rsid w:val="00F65B21"/>
    <w:rsid w:val="00F70D24"/>
    <w:rsid w:val="00F73689"/>
    <w:rsid w:val="00F73C02"/>
    <w:rsid w:val="00F77B35"/>
    <w:rsid w:val="00F8345C"/>
    <w:rsid w:val="00F84B67"/>
    <w:rsid w:val="00F84BFE"/>
    <w:rsid w:val="00F86547"/>
    <w:rsid w:val="00F87594"/>
    <w:rsid w:val="00F95DE1"/>
    <w:rsid w:val="00FA2AEB"/>
    <w:rsid w:val="00FA3A79"/>
    <w:rsid w:val="00FA400E"/>
    <w:rsid w:val="00FA745F"/>
    <w:rsid w:val="00FB1608"/>
    <w:rsid w:val="00FB1973"/>
    <w:rsid w:val="00FB1C93"/>
    <w:rsid w:val="00FB26F3"/>
    <w:rsid w:val="00FB7B79"/>
    <w:rsid w:val="00FC0BEC"/>
    <w:rsid w:val="00FC66C9"/>
    <w:rsid w:val="00FC7B69"/>
    <w:rsid w:val="00FC7D91"/>
    <w:rsid w:val="00FD0A00"/>
    <w:rsid w:val="00FD1AD2"/>
    <w:rsid w:val="00FD3DEB"/>
    <w:rsid w:val="00FD5F52"/>
    <w:rsid w:val="00FE06C3"/>
    <w:rsid w:val="00FE18CA"/>
    <w:rsid w:val="00FE53FC"/>
    <w:rsid w:val="00FE580F"/>
    <w:rsid w:val="00FF1161"/>
    <w:rsid w:val="00FF1A42"/>
    <w:rsid w:val="00FF29BB"/>
    <w:rsid w:val="00FF45CA"/>
    <w:rsid w:val="00FF45E7"/>
    <w:rsid w:val="0102441A"/>
    <w:rsid w:val="01C02EE6"/>
    <w:rsid w:val="020F6A40"/>
    <w:rsid w:val="02510EB2"/>
    <w:rsid w:val="02846A32"/>
    <w:rsid w:val="02B9004B"/>
    <w:rsid w:val="033E68D1"/>
    <w:rsid w:val="03560DE5"/>
    <w:rsid w:val="039C2D32"/>
    <w:rsid w:val="03DA7276"/>
    <w:rsid w:val="04195295"/>
    <w:rsid w:val="046D0E15"/>
    <w:rsid w:val="04EE41DB"/>
    <w:rsid w:val="05545B1F"/>
    <w:rsid w:val="056F1308"/>
    <w:rsid w:val="05C547BE"/>
    <w:rsid w:val="05FB20CB"/>
    <w:rsid w:val="065D102E"/>
    <w:rsid w:val="06A607BF"/>
    <w:rsid w:val="06C43341"/>
    <w:rsid w:val="07625876"/>
    <w:rsid w:val="078E7B2B"/>
    <w:rsid w:val="079C32A9"/>
    <w:rsid w:val="07C22A12"/>
    <w:rsid w:val="0892067F"/>
    <w:rsid w:val="09601015"/>
    <w:rsid w:val="09CB594F"/>
    <w:rsid w:val="09D61429"/>
    <w:rsid w:val="0A5F28D4"/>
    <w:rsid w:val="0AFF1FA2"/>
    <w:rsid w:val="0C4F19C6"/>
    <w:rsid w:val="0CEB15D6"/>
    <w:rsid w:val="0CF851A4"/>
    <w:rsid w:val="0D0D689A"/>
    <w:rsid w:val="0D9C5119"/>
    <w:rsid w:val="0DD779F6"/>
    <w:rsid w:val="0E255CFE"/>
    <w:rsid w:val="0E2A0A95"/>
    <w:rsid w:val="0E5E3662"/>
    <w:rsid w:val="0EA01D8C"/>
    <w:rsid w:val="0EBD8FBC"/>
    <w:rsid w:val="0EE35CC7"/>
    <w:rsid w:val="0EFF761C"/>
    <w:rsid w:val="0F5441F5"/>
    <w:rsid w:val="0FD3DA29"/>
    <w:rsid w:val="0FD57338"/>
    <w:rsid w:val="0FDE1A2A"/>
    <w:rsid w:val="1082782F"/>
    <w:rsid w:val="10DB46CA"/>
    <w:rsid w:val="113FCB4A"/>
    <w:rsid w:val="115B3196"/>
    <w:rsid w:val="11BE52AB"/>
    <w:rsid w:val="125F12D9"/>
    <w:rsid w:val="127259ED"/>
    <w:rsid w:val="12794548"/>
    <w:rsid w:val="12E62A2F"/>
    <w:rsid w:val="1346541D"/>
    <w:rsid w:val="134A4918"/>
    <w:rsid w:val="136E202B"/>
    <w:rsid w:val="13920297"/>
    <w:rsid w:val="13E15ACF"/>
    <w:rsid w:val="13E74886"/>
    <w:rsid w:val="14222429"/>
    <w:rsid w:val="143C3D62"/>
    <w:rsid w:val="149E5824"/>
    <w:rsid w:val="14F82B49"/>
    <w:rsid w:val="15A853C3"/>
    <w:rsid w:val="15B201B0"/>
    <w:rsid w:val="15D552A4"/>
    <w:rsid w:val="166832E3"/>
    <w:rsid w:val="16793DF1"/>
    <w:rsid w:val="16A54174"/>
    <w:rsid w:val="16AE3A12"/>
    <w:rsid w:val="1717788B"/>
    <w:rsid w:val="172C1299"/>
    <w:rsid w:val="174212C7"/>
    <w:rsid w:val="17D622D4"/>
    <w:rsid w:val="17E27CE8"/>
    <w:rsid w:val="17E2C096"/>
    <w:rsid w:val="17ED72DD"/>
    <w:rsid w:val="17FFC025"/>
    <w:rsid w:val="18713C0D"/>
    <w:rsid w:val="1895436E"/>
    <w:rsid w:val="19B07EEC"/>
    <w:rsid w:val="1A18676B"/>
    <w:rsid w:val="1A5603D9"/>
    <w:rsid w:val="1A5A6A0E"/>
    <w:rsid w:val="1AA5532C"/>
    <w:rsid w:val="1ABDEAAE"/>
    <w:rsid w:val="1B8A4177"/>
    <w:rsid w:val="1BDF3AE2"/>
    <w:rsid w:val="1BF76BF4"/>
    <w:rsid w:val="1BFC4C37"/>
    <w:rsid w:val="1C2D3975"/>
    <w:rsid w:val="1C477C69"/>
    <w:rsid w:val="1C4E277E"/>
    <w:rsid w:val="1D592AB2"/>
    <w:rsid w:val="1D842889"/>
    <w:rsid w:val="1D9D48F7"/>
    <w:rsid w:val="1DAAE9DB"/>
    <w:rsid w:val="1E4C5271"/>
    <w:rsid w:val="1E5784FE"/>
    <w:rsid w:val="1EBF3B62"/>
    <w:rsid w:val="1EE5884F"/>
    <w:rsid w:val="1EE76E8B"/>
    <w:rsid w:val="1EF9051B"/>
    <w:rsid w:val="1F8B6EFD"/>
    <w:rsid w:val="1F9052F2"/>
    <w:rsid w:val="1F9C5ADC"/>
    <w:rsid w:val="1FD856F0"/>
    <w:rsid w:val="1FDF6724"/>
    <w:rsid w:val="1FEED7E3"/>
    <w:rsid w:val="1FEF2522"/>
    <w:rsid w:val="20401F2B"/>
    <w:rsid w:val="22983107"/>
    <w:rsid w:val="22A04B60"/>
    <w:rsid w:val="22E78130"/>
    <w:rsid w:val="23114BDE"/>
    <w:rsid w:val="231C077B"/>
    <w:rsid w:val="23742F29"/>
    <w:rsid w:val="23A10033"/>
    <w:rsid w:val="23FF61C5"/>
    <w:rsid w:val="23FF7567"/>
    <w:rsid w:val="248770DA"/>
    <w:rsid w:val="24AD647A"/>
    <w:rsid w:val="24CE50AA"/>
    <w:rsid w:val="250F2C71"/>
    <w:rsid w:val="251A6A57"/>
    <w:rsid w:val="25E860BC"/>
    <w:rsid w:val="26122A49"/>
    <w:rsid w:val="263004CB"/>
    <w:rsid w:val="26A03DC7"/>
    <w:rsid w:val="26EE46EB"/>
    <w:rsid w:val="26F668C1"/>
    <w:rsid w:val="270B0FB6"/>
    <w:rsid w:val="279B7006"/>
    <w:rsid w:val="27E93F73"/>
    <w:rsid w:val="27FD2A84"/>
    <w:rsid w:val="285426FF"/>
    <w:rsid w:val="28822170"/>
    <w:rsid w:val="28CC2320"/>
    <w:rsid w:val="28DE0075"/>
    <w:rsid w:val="29B17E2D"/>
    <w:rsid w:val="29ECB884"/>
    <w:rsid w:val="2A93620C"/>
    <w:rsid w:val="2B3BC160"/>
    <w:rsid w:val="2B7F4094"/>
    <w:rsid w:val="2B9B60E1"/>
    <w:rsid w:val="2BBE5D2B"/>
    <w:rsid w:val="2BEDF20A"/>
    <w:rsid w:val="2C302ADE"/>
    <w:rsid w:val="2C7D07B7"/>
    <w:rsid w:val="2CC31066"/>
    <w:rsid w:val="2CD1655A"/>
    <w:rsid w:val="2CD50E8B"/>
    <w:rsid w:val="2CE376A7"/>
    <w:rsid w:val="2CE72D79"/>
    <w:rsid w:val="2CFD8552"/>
    <w:rsid w:val="2D1922AB"/>
    <w:rsid w:val="2D1B1057"/>
    <w:rsid w:val="2D226D14"/>
    <w:rsid w:val="2D77A5AE"/>
    <w:rsid w:val="2DCE2373"/>
    <w:rsid w:val="2E1B13E0"/>
    <w:rsid w:val="2E5D9299"/>
    <w:rsid w:val="2E7F477B"/>
    <w:rsid w:val="2EAA32E0"/>
    <w:rsid w:val="2EB53D41"/>
    <w:rsid w:val="2EF5F1F9"/>
    <w:rsid w:val="2EF8DA37"/>
    <w:rsid w:val="2EFF6F27"/>
    <w:rsid w:val="2F255719"/>
    <w:rsid w:val="2F6F0519"/>
    <w:rsid w:val="2FAA233E"/>
    <w:rsid w:val="2FE21F49"/>
    <w:rsid w:val="2FF52E67"/>
    <w:rsid w:val="2FFB2B7A"/>
    <w:rsid w:val="3046552A"/>
    <w:rsid w:val="304F9F6C"/>
    <w:rsid w:val="306C7398"/>
    <w:rsid w:val="30EDABEA"/>
    <w:rsid w:val="31604061"/>
    <w:rsid w:val="317D2998"/>
    <w:rsid w:val="31BDC45D"/>
    <w:rsid w:val="33074D78"/>
    <w:rsid w:val="33235814"/>
    <w:rsid w:val="3370B48B"/>
    <w:rsid w:val="339511E5"/>
    <w:rsid w:val="33D6CF3E"/>
    <w:rsid w:val="33E8465C"/>
    <w:rsid w:val="340A05D0"/>
    <w:rsid w:val="345470F1"/>
    <w:rsid w:val="34942E75"/>
    <w:rsid w:val="34FFDE82"/>
    <w:rsid w:val="35315A11"/>
    <w:rsid w:val="35FCF1C8"/>
    <w:rsid w:val="363B03E5"/>
    <w:rsid w:val="367267D2"/>
    <w:rsid w:val="36E31165"/>
    <w:rsid w:val="36FBDD34"/>
    <w:rsid w:val="373C3E9D"/>
    <w:rsid w:val="377FDB1B"/>
    <w:rsid w:val="379FBF95"/>
    <w:rsid w:val="37BB2088"/>
    <w:rsid w:val="37CB3712"/>
    <w:rsid w:val="37F54B88"/>
    <w:rsid w:val="37F5DDD6"/>
    <w:rsid w:val="37FE2E7A"/>
    <w:rsid w:val="37FFEFB6"/>
    <w:rsid w:val="38047329"/>
    <w:rsid w:val="38AF7743"/>
    <w:rsid w:val="38F92182"/>
    <w:rsid w:val="39723BE8"/>
    <w:rsid w:val="39A51881"/>
    <w:rsid w:val="39CD1844"/>
    <w:rsid w:val="39DC03E3"/>
    <w:rsid w:val="39EF6FF2"/>
    <w:rsid w:val="39F94634"/>
    <w:rsid w:val="3A344889"/>
    <w:rsid w:val="3A507AE9"/>
    <w:rsid w:val="3B394AAA"/>
    <w:rsid w:val="3B4B25F5"/>
    <w:rsid w:val="3B5B7533"/>
    <w:rsid w:val="3B9B63A3"/>
    <w:rsid w:val="3BAF5875"/>
    <w:rsid w:val="3BD7DFCB"/>
    <w:rsid w:val="3BE7EC32"/>
    <w:rsid w:val="3BFF1363"/>
    <w:rsid w:val="3C7693A4"/>
    <w:rsid w:val="3CA165F4"/>
    <w:rsid w:val="3CDA3757"/>
    <w:rsid w:val="3D136CDD"/>
    <w:rsid w:val="3D502D6C"/>
    <w:rsid w:val="3D7DBC9D"/>
    <w:rsid w:val="3D7FD61D"/>
    <w:rsid w:val="3D8E2A05"/>
    <w:rsid w:val="3DBB677F"/>
    <w:rsid w:val="3DBE2597"/>
    <w:rsid w:val="3DCA826F"/>
    <w:rsid w:val="3DEA645A"/>
    <w:rsid w:val="3DFDFEA6"/>
    <w:rsid w:val="3DFF8D12"/>
    <w:rsid w:val="3E5F28DC"/>
    <w:rsid w:val="3EBB24D9"/>
    <w:rsid w:val="3EDF5955"/>
    <w:rsid w:val="3EF3EAA3"/>
    <w:rsid w:val="3EFD2A24"/>
    <w:rsid w:val="3F1E404B"/>
    <w:rsid w:val="3F60B7E5"/>
    <w:rsid w:val="3F6EA53F"/>
    <w:rsid w:val="3F7A90A9"/>
    <w:rsid w:val="3FBFA236"/>
    <w:rsid w:val="3FD75185"/>
    <w:rsid w:val="3FE51AEC"/>
    <w:rsid w:val="3FEF3D63"/>
    <w:rsid w:val="3FF6928E"/>
    <w:rsid w:val="3FF743AA"/>
    <w:rsid w:val="3FFD6CD6"/>
    <w:rsid w:val="3FFF65C2"/>
    <w:rsid w:val="407311D0"/>
    <w:rsid w:val="40811D14"/>
    <w:rsid w:val="40EE7500"/>
    <w:rsid w:val="41947373"/>
    <w:rsid w:val="41A8130D"/>
    <w:rsid w:val="423F49FB"/>
    <w:rsid w:val="42907A92"/>
    <w:rsid w:val="42CB0E34"/>
    <w:rsid w:val="430F198D"/>
    <w:rsid w:val="43F5E468"/>
    <w:rsid w:val="447D625E"/>
    <w:rsid w:val="448B1990"/>
    <w:rsid w:val="44FC5452"/>
    <w:rsid w:val="45696D2D"/>
    <w:rsid w:val="45BC0D6A"/>
    <w:rsid w:val="46151D99"/>
    <w:rsid w:val="46916F7D"/>
    <w:rsid w:val="46ED5A0D"/>
    <w:rsid w:val="46FA953A"/>
    <w:rsid w:val="474A4073"/>
    <w:rsid w:val="474B1C94"/>
    <w:rsid w:val="47778B9C"/>
    <w:rsid w:val="479E0023"/>
    <w:rsid w:val="47BB931B"/>
    <w:rsid w:val="481D1203"/>
    <w:rsid w:val="48545B9B"/>
    <w:rsid w:val="487C6BF1"/>
    <w:rsid w:val="494B765C"/>
    <w:rsid w:val="49986B3C"/>
    <w:rsid w:val="4A0003C2"/>
    <w:rsid w:val="4A326068"/>
    <w:rsid w:val="4AF785D1"/>
    <w:rsid w:val="4B2F02DF"/>
    <w:rsid w:val="4B3B56C0"/>
    <w:rsid w:val="4B5DF2D2"/>
    <w:rsid w:val="4B9E21B3"/>
    <w:rsid w:val="4BFE2651"/>
    <w:rsid w:val="4BFF4DFF"/>
    <w:rsid w:val="4C757438"/>
    <w:rsid w:val="4C964B44"/>
    <w:rsid w:val="4CBF35E4"/>
    <w:rsid w:val="4CF78807"/>
    <w:rsid w:val="4D3F5FD4"/>
    <w:rsid w:val="4D5F5819"/>
    <w:rsid w:val="4DDF3BB4"/>
    <w:rsid w:val="4DDF8FCC"/>
    <w:rsid w:val="4DE906AD"/>
    <w:rsid w:val="4DEF285C"/>
    <w:rsid w:val="4E1B397D"/>
    <w:rsid w:val="4E23284E"/>
    <w:rsid w:val="4E251459"/>
    <w:rsid w:val="4E413F29"/>
    <w:rsid w:val="4ED56542"/>
    <w:rsid w:val="4EDF57D0"/>
    <w:rsid w:val="4EF799DE"/>
    <w:rsid w:val="4EFA5480"/>
    <w:rsid w:val="4F733907"/>
    <w:rsid w:val="4F9F0312"/>
    <w:rsid w:val="4FAC2B95"/>
    <w:rsid w:val="4FCC0226"/>
    <w:rsid w:val="4FCF1A6C"/>
    <w:rsid w:val="4FD16F7D"/>
    <w:rsid w:val="4FD7EB7B"/>
    <w:rsid w:val="4FDC6453"/>
    <w:rsid w:val="4FDE2C2F"/>
    <w:rsid w:val="4FDE61A4"/>
    <w:rsid w:val="4FED8C80"/>
    <w:rsid w:val="4FFB1B93"/>
    <w:rsid w:val="4FFF3C4A"/>
    <w:rsid w:val="512412DE"/>
    <w:rsid w:val="517048DB"/>
    <w:rsid w:val="51B675D1"/>
    <w:rsid w:val="51C95049"/>
    <w:rsid w:val="51F35941"/>
    <w:rsid w:val="52480F3B"/>
    <w:rsid w:val="52FD0918"/>
    <w:rsid w:val="53230BAD"/>
    <w:rsid w:val="53280C2D"/>
    <w:rsid w:val="532D68C6"/>
    <w:rsid w:val="5375553A"/>
    <w:rsid w:val="539218A5"/>
    <w:rsid w:val="53B356AB"/>
    <w:rsid w:val="53EBE8EF"/>
    <w:rsid w:val="53FDF360"/>
    <w:rsid w:val="53FEE405"/>
    <w:rsid w:val="542A612A"/>
    <w:rsid w:val="543FC456"/>
    <w:rsid w:val="54755E39"/>
    <w:rsid w:val="54887015"/>
    <w:rsid w:val="54CC2A87"/>
    <w:rsid w:val="54D75B49"/>
    <w:rsid w:val="54F7FCF3"/>
    <w:rsid w:val="54FE6C4D"/>
    <w:rsid w:val="55093630"/>
    <w:rsid w:val="552BE867"/>
    <w:rsid w:val="55594415"/>
    <w:rsid w:val="55BE44E9"/>
    <w:rsid w:val="55CC111C"/>
    <w:rsid w:val="55FB2013"/>
    <w:rsid w:val="564D2D80"/>
    <w:rsid w:val="564F71E5"/>
    <w:rsid w:val="568D59EA"/>
    <w:rsid w:val="5778F0F3"/>
    <w:rsid w:val="577B98E1"/>
    <w:rsid w:val="577F1A72"/>
    <w:rsid w:val="577F61EF"/>
    <w:rsid w:val="578F31E1"/>
    <w:rsid w:val="57BF902F"/>
    <w:rsid w:val="57D44577"/>
    <w:rsid w:val="57FBA56C"/>
    <w:rsid w:val="57FDB275"/>
    <w:rsid w:val="57FF149F"/>
    <w:rsid w:val="58AF1E3A"/>
    <w:rsid w:val="58FFF2FE"/>
    <w:rsid w:val="59B22356"/>
    <w:rsid w:val="59B64F46"/>
    <w:rsid w:val="59BB3B48"/>
    <w:rsid w:val="59C515F1"/>
    <w:rsid w:val="59DE72BA"/>
    <w:rsid w:val="5AA57EDE"/>
    <w:rsid w:val="5AA81AC8"/>
    <w:rsid w:val="5AC9173E"/>
    <w:rsid w:val="5AEA1C24"/>
    <w:rsid w:val="5AEF6673"/>
    <w:rsid w:val="5B413244"/>
    <w:rsid w:val="5B557288"/>
    <w:rsid w:val="5B6A15CD"/>
    <w:rsid w:val="5B871C71"/>
    <w:rsid w:val="5B9F37F7"/>
    <w:rsid w:val="5BAC75AC"/>
    <w:rsid w:val="5BDEB81C"/>
    <w:rsid w:val="5BEB4A70"/>
    <w:rsid w:val="5BF33231"/>
    <w:rsid w:val="5BFBBF8A"/>
    <w:rsid w:val="5BFD32FB"/>
    <w:rsid w:val="5BFF88C8"/>
    <w:rsid w:val="5BFFC101"/>
    <w:rsid w:val="5C2F1EB1"/>
    <w:rsid w:val="5CAF6C5F"/>
    <w:rsid w:val="5CEC1D32"/>
    <w:rsid w:val="5CEE2A04"/>
    <w:rsid w:val="5CF15839"/>
    <w:rsid w:val="5D0269DC"/>
    <w:rsid w:val="5D5063E5"/>
    <w:rsid w:val="5D6F3B55"/>
    <w:rsid w:val="5D7F643F"/>
    <w:rsid w:val="5DCC21AA"/>
    <w:rsid w:val="5DD3B3F0"/>
    <w:rsid w:val="5DE0489C"/>
    <w:rsid w:val="5DE1C389"/>
    <w:rsid w:val="5DFF45BC"/>
    <w:rsid w:val="5DFF8B72"/>
    <w:rsid w:val="5DFFF033"/>
    <w:rsid w:val="5E390575"/>
    <w:rsid w:val="5E400165"/>
    <w:rsid w:val="5E4A1CE4"/>
    <w:rsid w:val="5EB5690E"/>
    <w:rsid w:val="5EB76848"/>
    <w:rsid w:val="5ED301D9"/>
    <w:rsid w:val="5EEA0936"/>
    <w:rsid w:val="5F0FF952"/>
    <w:rsid w:val="5F57BF26"/>
    <w:rsid w:val="5F760CCC"/>
    <w:rsid w:val="5F7C713C"/>
    <w:rsid w:val="5F8018D8"/>
    <w:rsid w:val="5F9938CF"/>
    <w:rsid w:val="5F9F13EA"/>
    <w:rsid w:val="5FAF121F"/>
    <w:rsid w:val="5FB7336B"/>
    <w:rsid w:val="5FBE25E7"/>
    <w:rsid w:val="5FBFE6E1"/>
    <w:rsid w:val="5FC20812"/>
    <w:rsid w:val="5FCB4D2A"/>
    <w:rsid w:val="5FCD72E7"/>
    <w:rsid w:val="5FDE7839"/>
    <w:rsid w:val="5FDE9B79"/>
    <w:rsid w:val="5FE51EB6"/>
    <w:rsid w:val="5FEA04CB"/>
    <w:rsid w:val="5FEF6D56"/>
    <w:rsid w:val="5FF78F05"/>
    <w:rsid w:val="5FFD16A8"/>
    <w:rsid w:val="5FFD986B"/>
    <w:rsid w:val="5FFFB40C"/>
    <w:rsid w:val="5FFFBE26"/>
    <w:rsid w:val="602E5AC3"/>
    <w:rsid w:val="60506857"/>
    <w:rsid w:val="60D86FF7"/>
    <w:rsid w:val="61240B98"/>
    <w:rsid w:val="616145EB"/>
    <w:rsid w:val="61DB31E7"/>
    <w:rsid w:val="62532E9F"/>
    <w:rsid w:val="62B47B4F"/>
    <w:rsid w:val="62E31C50"/>
    <w:rsid w:val="630F5565"/>
    <w:rsid w:val="635F2566"/>
    <w:rsid w:val="637BCE60"/>
    <w:rsid w:val="63A237DF"/>
    <w:rsid w:val="63FD813B"/>
    <w:rsid w:val="642C08C0"/>
    <w:rsid w:val="646570D5"/>
    <w:rsid w:val="646DB006"/>
    <w:rsid w:val="649924E0"/>
    <w:rsid w:val="64AC6014"/>
    <w:rsid w:val="655D1144"/>
    <w:rsid w:val="65661FBB"/>
    <w:rsid w:val="6694DF98"/>
    <w:rsid w:val="669A7351"/>
    <w:rsid w:val="66AA7BD4"/>
    <w:rsid w:val="66FB6574"/>
    <w:rsid w:val="67D7C527"/>
    <w:rsid w:val="67DA8A7C"/>
    <w:rsid w:val="680B7F27"/>
    <w:rsid w:val="68105842"/>
    <w:rsid w:val="68291AE1"/>
    <w:rsid w:val="682F3BD1"/>
    <w:rsid w:val="683F331A"/>
    <w:rsid w:val="687788EA"/>
    <w:rsid w:val="68B87A21"/>
    <w:rsid w:val="697BEDAA"/>
    <w:rsid w:val="69AF2C52"/>
    <w:rsid w:val="69F13614"/>
    <w:rsid w:val="69F723A7"/>
    <w:rsid w:val="69FFC1D2"/>
    <w:rsid w:val="6A3A1A15"/>
    <w:rsid w:val="6A5475E1"/>
    <w:rsid w:val="6ABF2527"/>
    <w:rsid w:val="6AF42651"/>
    <w:rsid w:val="6B706E25"/>
    <w:rsid w:val="6B987538"/>
    <w:rsid w:val="6BA35A79"/>
    <w:rsid w:val="6BBBD22C"/>
    <w:rsid w:val="6BBE55AF"/>
    <w:rsid w:val="6BC24993"/>
    <w:rsid w:val="6BFF45EA"/>
    <w:rsid w:val="6C07341A"/>
    <w:rsid w:val="6C342134"/>
    <w:rsid w:val="6C461B60"/>
    <w:rsid w:val="6C5CAE3A"/>
    <w:rsid w:val="6C784E60"/>
    <w:rsid w:val="6CEF92DB"/>
    <w:rsid w:val="6CEFC49B"/>
    <w:rsid w:val="6D9B268F"/>
    <w:rsid w:val="6DB743CA"/>
    <w:rsid w:val="6DCAA4CA"/>
    <w:rsid w:val="6DD97173"/>
    <w:rsid w:val="6DDA747F"/>
    <w:rsid w:val="6DE46720"/>
    <w:rsid w:val="6DE69D9A"/>
    <w:rsid w:val="6DEA361C"/>
    <w:rsid w:val="6DFBDF0A"/>
    <w:rsid w:val="6DFF66E1"/>
    <w:rsid w:val="6E5B6A6A"/>
    <w:rsid w:val="6E7F0E2B"/>
    <w:rsid w:val="6EA56F2E"/>
    <w:rsid w:val="6EAB8C40"/>
    <w:rsid w:val="6ED03488"/>
    <w:rsid w:val="6F3AC9AE"/>
    <w:rsid w:val="6F5EB987"/>
    <w:rsid w:val="6F724319"/>
    <w:rsid w:val="6F7BF207"/>
    <w:rsid w:val="6F7F0594"/>
    <w:rsid w:val="6F7F13E5"/>
    <w:rsid w:val="6F8A491C"/>
    <w:rsid w:val="6FBB1AC5"/>
    <w:rsid w:val="6FCB1096"/>
    <w:rsid w:val="6FDA48E8"/>
    <w:rsid w:val="6FDE3579"/>
    <w:rsid w:val="6FDF1893"/>
    <w:rsid w:val="6FDF3832"/>
    <w:rsid w:val="6FED0B5E"/>
    <w:rsid w:val="6FEDADD9"/>
    <w:rsid w:val="6FF76308"/>
    <w:rsid w:val="6FFB4491"/>
    <w:rsid w:val="6FFDF21C"/>
    <w:rsid w:val="6FFDFF44"/>
    <w:rsid w:val="6FFF1191"/>
    <w:rsid w:val="70893A00"/>
    <w:rsid w:val="7098355B"/>
    <w:rsid w:val="70BF7105"/>
    <w:rsid w:val="70C16FCA"/>
    <w:rsid w:val="711653D8"/>
    <w:rsid w:val="711C71C0"/>
    <w:rsid w:val="711D6B53"/>
    <w:rsid w:val="71501E09"/>
    <w:rsid w:val="71EAEE2E"/>
    <w:rsid w:val="71FC2D14"/>
    <w:rsid w:val="71FFB4CD"/>
    <w:rsid w:val="722A429F"/>
    <w:rsid w:val="7249598E"/>
    <w:rsid w:val="727F576E"/>
    <w:rsid w:val="72A72F90"/>
    <w:rsid w:val="730D1F1D"/>
    <w:rsid w:val="7327643C"/>
    <w:rsid w:val="73346B49"/>
    <w:rsid w:val="7353FEEC"/>
    <w:rsid w:val="736C1D9C"/>
    <w:rsid w:val="736C5C4C"/>
    <w:rsid w:val="737F8B5A"/>
    <w:rsid w:val="737FA2DC"/>
    <w:rsid w:val="73D3657C"/>
    <w:rsid w:val="73D57CAF"/>
    <w:rsid w:val="73E8224D"/>
    <w:rsid w:val="73FB5C17"/>
    <w:rsid w:val="73FCB39F"/>
    <w:rsid w:val="73FE58DD"/>
    <w:rsid w:val="73FF6264"/>
    <w:rsid w:val="74BC3CEE"/>
    <w:rsid w:val="74D1238B"/>
    <w:rsid w:val="750E409F"/>
    <w:rsid w:val="754B1202"/>
    <w:rsid w:val="75D8B346"/>
    <w:rsid w:val="75FF397F"/>
    <w:rsid w:val="763591A0"/>
    <w:rsid w:val="763B4028"/>
    <w:rsid w:val="766B6BDB"/>
    <w:rsid w:val="76AB8AC4"/>
    <w:rsid w:val="76BF1099"/>
    <w:rsid w:val="76EB82EC"/>
    <w:rsid w:val="76EF8A0C"/>
    <w:rsid w:val="771A0CF3"/>
    <w:rsid w:val="773D9297"/>
    <w:rsid w:val="773F5185"/>
    <w:rsid w:val="77658D21"/>
    <w:rsid w:val="777D6000"/>
    <w:rsid w:val="77952688"/>
    <w:rsid w:val="7795A931"/>
    <w:rsid w:val="77B95ACF"/>
    <w:rsid w:val="77BD81FD"/>
    <w:rsid w:val="77C5C181"/>
    <w:rsid w:val="77D7A4D6"/>
    <w:rsid w:val="77DD33A2"/>
    <w:rsid w:val="77F57554"/>
    <w:rsid w:val="77F9AF67"/>
    <w:rsid w:val="77FA435C"/>
    <w:rsid w:val="77FF46C6"/>
    <w:rsid w:val="782966F5"/>
    <w:rsid w:val="782B6D9D"/>
    <w:rsid w:val="783F28B7"/>
    <w:rsid w:val="792E23C4"/>
    <w:rsid w:val="7931D378"/>
    <w:rsid w:val="7976D760"/>
    <w:rsid w:val="797E4523"/>
    <w:rsid w:val="79876EA5"/>
    <w:rsid w:val="79B38C8E"/>
    <w:rsid w:val="79BC70F6"/>
    <w:rsid w:val="79FFDEBA"/>
    <w:rsid w:val="7A300269"/>
    <w:rsid w:val="7AC34404"/>
    <w:rsid w:val="7AEEFC3F"/>
    <w:rsid w:val="7AF79E25"/>
    <w:rsid w:val="7AFF11B1"/>
    <w:rsid w:val="7B36C577"/>
    <w:rsid w:val="7B5DE2FB"/>
    <w:rsid w:val="7B6D80AD"/>
    <w:rsid w:val="7B7B4981"/>
    <w:rsid w:val="7B7FBA79"/>
    <w:rsid w:val="7BAECBB0"/>
    <w:rsid w:val="7BB3DE6E"/>
    <w:rsid w:val="7BB58215"/>
    <w:rsid w:val="7BBE550D"/>
    <w:rsid w:val="7BDEFF69"/>
    <w:rsid w:val="7BDF94D6"/>
    <w:rsid w:val="7BE44F8E"/>
    <w:rsid w:val="7BF64266"/>
    <w:rsid w:val="7BF7B5C5"/>
    <w:rsid w:val="7BF90639"/>
    <w:rsid w:val="7BFB8424"/>
    <w:rsid w:val="7BFED880"/>
    <w:rsid w:val="7BFF2DE5"/>
    <w:rsid w:val="7BFF35C5"/>
    <w:rsid w:val="7BFF5DE3"/>
    <w:rsid w:val="7C606123"/>
    <w:rsid w:val="7C7009B1"/>
    <w:rsid w:val="7C8F5DDC"/>
    <w:rsid w:val="7CBF09A7"/>
    <w:rsid w:val="7CF07A1C"/>
    <w:rsid w:val="7CFF6AA5"/>
    <w:rsid w:val="7D5EDE84"/>
    <w:rsid w:val="7D676C97"/>
    <w:rsid w:val="7D6E6BE7"/>
    <w:rsid w:val="7D6F319A"/>
    <w:rsid w:val="7D701E40"/>
    <w:rsid w:val="7D7E6679"/>
    <w:rsid w:val="7D7F6E17"/>
    <w:rsid w:val="7D7F7AC3"/>
    <w:rsid w:val="7D7F8227"/>
    <w:rsid w:val="7D9B2BD3"/>
    <w:rsid w:val="7DAB780B"/>
    <w:rsid w:val="7DAEB139"/>
    <w:rsid w:val="7DB1CEF5"/>
    <w:rsid w:val="7DBF758D"/>
    <w:rsid w:val="7DC8BD30"/>
    <w:rsid w:val="7DCF30F3"/>
    <w:rsid w:val="7DDC5B86"/>
    <w:rsid w:val="7DE73612"/>
    <w:rsid w:val="7DEB8262"/>
    <w:rsid w:val="7DEF4655"/>
    <w:rsid w:val="7DEF65F2"/>
    <w:rsid w:val="7DF5FFB4"/>
    <w:rsid w:val="7DFB0E98"/>
    <w:rsid w:val="7DFD6AF1"/>
    <w:rsid w:val="7DFDC866"/>
    <w:rsid w:val="7DFF6E9E"/>
    <w:rsid w:val="7E025D34"/>
    <w:rsid w:val="7E177C59"/>
    <w:rsid w:val="7E1EBA4F"/>
    <w:rsid w:val="7E7E1DFF"/>
    <w:rsid w:val="7E9FEF55"/>
    <w:rsid w:val="7EAD56B1"/>
    <w:rsid w:val="7EAFF9E7"/>
    <w:rsid w:val="7EB50C2E"/>
    <w:rsid w:val="7EB7260B"/>
    <w:rsid w:val="7EBBE926"/>
    <w:rsid w:val="7EBEAAB7"/>
    <w:rsid w:val="7ECE7F98"/>
    <w:rsid w:val="7EDFC6CB"/>
    <w:rsid w:val="7EDFCB76"/>
    <w:rsid w:val="7EEF9220"/>
    <w:rsid w:val="7EF7124F"/>
    <w:rsid w:val="7EF71A8A"/>
    <w:rsid w:val="7EFBD295"/>
    <w:rsid w:val="7EFCC499"/>
    <w:rsid w:val="7EFD0AA1"/>
    <w:rsid w:val="7EFF0026"/>
    <w:rsid w:val="7EFF0492"/>
    <w:rsid w:val="7EFF99EC"/>
    <w:rsid w:val="7EFFD475"/>
    <w:rsid w:val="7F046992"/>
    <w:rsid w:val="7F270A15"/>
    <w:rsid w:val="7F3D96C5"/>
    <w:rsid w:val="7F3DD40D"/>
    <w:rsid w:val="7F4B4280"/>
    <w:rsid w:val="7F57409C"/>
    <w:rsid w:val="7F585760"/>
    <w:rsid w:val="7F5C2383"/>
    <w:rsid w:val="7F5C40CB"/>
    <w:rsid w:val="7F5D606E"/>
    <w:rsid w:val="7F678EAE"/>
    <w:rsid w:val="7F6A3C6C"/>
    <w:rsid w:val="7F6C2608"/>
    <w:rsid w:val="7F738F71"/>
    <w:rsid w:val="7F779DB6"/>
    <w:rsid w:val="7F79DC30"/>
    <w:rsid w:val="7F7A079C"/>
    <w:rsid w:val="7F7CFF83"/>
    <w:rsid w:val="7F7D4BCA"/>
    <w:rsid w:val="7F7F64BF"/>
    <w:rsid w:val="7F9B431E"/>
    <w:rsid w:val="7F9E7101"/>
    <w:rsid w:val="7FA446FB"/>
    <w:rsid w:val="7FA7486B"/>
    <w:rsid w:val="7FAF7F9F"/>
    <w:rsid w:val="7FB539CA"/>
    <w:rsid w:val="7FB597E5"/>
    <w:rsid w:val="7FB6F16D"/>
    <w:rsid w:val="7FB84992"/>
    <w:rsid w:val="7FBFBAA4"/>
    <w:rsid w:val="7FD52385"/>
    <w:rsid w:val="7FD9E1C5"/>
    <w:rsid w:val="7FDA181D"/>
    <w:rsid w:val="7FDCBF76"/>
    <w:rsid w:val="7FDD2465"/>
    <w:rsid w:val="7FDDF945"/>
    <w:rsid w:val="7FDE3FD9"/>
    <w:rsid w:val="7FDED1DF"/>
    <w:rsid w:val="7FDF2A49"/>
    <w:rsid w:val="7FDF439D"/>
    <w:rsid w:val="7FDF8DA6"/>
    <w:rsid w:val="7FDFBC84"/>
    <w:rsid w:val="7FDFC6C1"/>
    <w:rsid w:val="7FDFFA6A"/>
    <w:rsid w:val="7FE32A08"/>
    <w:rsid w:val="7FE7091D"/>
    <w:rsid w:val="7FE753B1"/>
    <w:rsid w:val="7FEB637C"/>
    <w:rsid w:val="7FEDA992"/>
    <w:rsid w:val="7FEE68AD"/>
    <w:rsid w:val="7FEEA9AF"/>
    <w:rsid w:val="7FEFC8E6"/>
    <w:rsid w:val="7FEFD5E1"/>
    <w:rsid w:val="7FF36C1E"/>
    <w:rsid w:val="7FF42EA8"/>
    <w:rsid w:val="7FF648FD"/>
    <w:rsid w:val="7FF651E1"/>
    <w:rsid w:val="7FF71FF7"/>
    <w:rsid w:val="7FF7EC76"/>
    <w:rsid w:val="7FF834D1"/>
    <w:rsid w:val="7FF907EF"/>
    <w:rsid w:val="7FF9DC05"/>
    <w:rsid w:val="7FFA28C4"/>
    <w:rsid w:val="7FFBD5FE"/>
    <w:rsid w:val="7FFC115C"/>
    <w:rsid w:val="7FFDA9B3"/>
    <w:rsid w:val="7FFE85CB"/>
    <w:rsid w:val="7FFECD53"/>
    <w:rsid w:val="7FFF4E69"/>
    <w:rsid w:val="7FFF4F99"/>
    <w:rsid w:val="7FFF9090"/>
    <w:rsid w:val="7FFFA1AD"/>
    <w:rsid w:val="7FFFB55C"/>
    <w:rsid w:val="7FFFD192"/>
    <w:rsid w:val="87FDEEF7"/>
    <w:rsid w:val="89DD00E2"/>
    <w:rsid w:val="8CEF913A"/>
    <w:rsid w:val="8D59FED7"/>
    <w:rsid w:val="95A7F658"/>
    <w:rsid w:val="95F71008"/>
    <w:rsid w:val="97AC48AB"/>
    <w:rsid w:val="97AD9E4F"/>
    <w:rsid w:val="97E7B5B3"/>
    <w:rsid w:val="999BDB53"/>
    <w:rsid w:val="99FBC1EC"/>
    <w:rsid w:val="9AB77249"/>
    <w:rsid w:val="9E97E31A"/>
    <w:rsid w:val="9EDF963C"/>
    <w:rsid w:val="9EEDAD22"/>
    <w:rsid w:val="9F7FC6E0"/>
    <w:rsid w:val="9FC3F004"/>
    <w:rsid w:val="9FCF4B14"/>
    <w:rsid w:val="9FE3C800"/>
    <w:rsid w:val="9FF99350"/>
    <w:rsid w:val="9FFFD6AC"/>
    <w:rsid w:val="A4FFB3AC"/>
    <w:rsid w:val="A57C06F8"/>
    <w:rsid w:val="A5EF8D97"/>
    <w:rsid w:val="A66A8386"/>
    <w:rsid w:val="A7B394D5"/>
    <w:rsid w:val="A7F71872"/>
    <w:rsid w:val="A7FF86AA"/>
    <w:rsid w:val="AABC176D"/>
    <w:rsid w:val="AB7DA88C"/>
    <w:rsid w:val="ABFB74D6"/>
    <w:rsid w:val="AC3F4F29"/>
    <w:rsid w:val="AC8F6D27"/>
    <w:rsid w:val="ACCDEBD0"/>
    <w:rsid w:val="AD77FDDB"/>
    <w:rsid w:val="ADACF0B2"/>
    <w:rsid w:val="ADCFE861"/>
    <w:rsid w:val="ADF7082A"/>
    <w:rsid w:val="AE7E5B2B"/>
    <w:rsid w:val="AEF71CDA"/>
    <w:rsid w:val="AFBF3FE0"/>
    <w:rsid w:val="AFBF6FC8"/>
    <w:rsid w:val="AFDE5C37"/>
    <w:rsid w:val="AFEB8A29"/>
    <w:rsid w:val="B0EBCE2F"/>
    <w:rsid w:val="B33A43EA"/>
    <w:rsid w:val="B3F3B54D"/>
    <w:rsid w:val="B3FD25A6"/>
    <w:rsid w:val="B4F736D3"/>
    <w:rsid w:val="B54FC232"/>
    <w:rsid w:val="B5A371E4"/>
    <w:rsid w:val="B6E8C1BC"/>
    <w:rsid w:val="B7F321C4"/>
    <w:rsid w:val="B7FF1E8F"/>
    <w:rsid w:val="B8FFB020"/>
    <w:rsid w:val="B99D8C89"/>
    <w:rsid w:val="BAEB9A08"/>
    <w:rsid w:val="BAFFAF87"/>
    <w:rsid w:val="BAFFB3E7"/>
    <w:rsid w:val="BB47EDDF"/>
    <w:rsid w:val="BB5FB99B"/>
    <w:rsid w:val="BB75CCC7"/>
    <w:rsid w:val="BBBF6D39"/>
    <w:rsid w:val="BBDEECD5"/>
    <w:rsid w:val="BBE22BEA"/>
    <w:rsid w:val="BBEF4406"/>
    <w:rsid w:val="BBF700BB"/>
    <w:rsid w:val="BCBEC7C9"/>
    <w:rsid w:val="BCF507EA"/>
    <w:rsid w:val="BD37409C"/>
    <w:rsid w:val="BDCB87A7"/>
    <w:rsid w:val="BDD52652"/>
    <w:rsid w:val="BDF58520"/>
    <w:rsid w:val="BDFB9E49"/>
    <w:rsid w:val="BE7FC86C"/>
    <w:rsid w:val="BEBC6C80"/>
    <w:rsid w:val="BEBD5A08"/>
    <w:rsid w:val="BED57555"/>
    <w:rsid w:val="BEFF0767"/>
    <w:rsid w:val="BF31058D"/>
    <w:rsid w:val="BF3B566C"/>
    <w:rsid w:val="BF3BC828"/>
    <w:rsid w:val="BF3F023B"/>
    <w:rsid w:val="BF59302C"/>
    <w:rsid w:val="BF7FD358"/>
    <w:rsid w:val="BF833641"/>
    <w:rsid w:val="BF83A5E4"/>
    <w:rsid w:val="BFB74BB3"/>
    <w:rsid w:val="BFBEB6C9"/>
    <w:rsid w:val="BFEF5C67"/>
    <w:rsid w:val="BFF7B73C"/>
    <w:rsid w:val="BFF911DF"/>
    <w:rsid w:val="BFFD7F71"/>
    <w:rsid w:val="BFFF32D5"/>
    <w:rsid w:val="C2FDE18F"/>
    <w:rsid w:val="C6FDE42D"/>
    <w:rsid w:val="CBDB0190"/>
    <w:rsid w:val="CC772EB5"/>
    <w:rsid w:val="CDBCC162"/>
    <w:rsid w:val="CDFEC1C8"/>
    <w:rsid w:val="CDFFE22F"/>
    <w:rsid w:val="CE37E72F"/>
    <w:rsid w:val="CE6F0111"/>
    <w:rsid w:val="CEFB404B"/>
    <w:rsid w:val="CFA518A5"/>
    <w:rsid w:val="CFB703A3"/>
    <w:rsid w:val="CFCF0321"/>
    <w:rsid w:val="CFFFA6A4"/>
    <w:rsid w:val="CFFFCA42"/>
    <w:rsid w:val="CFFFEBB2"/>
    <w:rsid w:val="D1FB8843"/>
    <w:rsid w:val="D1FF9D66"/>
    <w:rsid w:val="D2F35509"/>
    <w:rsid w:val="D2F778B6"/>
    <w:rsid w:val="D38ED2AD"/>
    <w:rsid w:val="D5BF4071"/>
    <w:rsid w:val="D6DFB17A"/>
    <w:rsid w:val="D72B0041"/>
    <w:rsid w:val="D74E9F66"/>
    <w:rsid w:val="D795E7BE"/>
    <w:rsid w:val="D7AFA73A"/>
    <w:rsid w:val="D7E7AC71"/>
    <w:rsid w:val="D7EFFB54"/>
    <w:rsid w:val="D7F729F5"/>
    <w:rsid w:val="D7F75782"/>
    <w:rsid w:val="D8DF9375"/>
    <w:rsid w:val="D9FB7033"/>
    <w:rsid w:val="DBAF9628"/>
    <w:rsid w:val="DBD5F3E1"/>
    <w:rsid w:val="DC6B8941"/>
    <w:rsid w:val="DCEF12F8"/>
    <w:rsid w:val="DCEF7C72"/>
    <w:rsid w:val="DCF3B9CD"/>
    <w:rsid w:val="DCFFDBA9"/>
    <w:rsid w:val="DD5E1609"/>
    <w:rsid w:val="DD665D87"/>
    <w:rsid w:val="DD7423AE"/>
    <w:rsid w:val="DD7F0361"/>
    <w:rsid w:val="DDADC0EC"/>
    <w:rsid w:val="DDEE9A17"/>
    <w:rsid w:val="DDF75931"/>
    <w:rsid w:val="DDF99A1B"/>
    <w:rsid w:val="DDF9D50E"/>
    <w:rsid w:val="DDFF6CEE"/>
    <w:rsid w:val="DE33AD35"/>
    <w:rsid w:val="DE47A49B"/>
    <w:rsid w:val="DEEFDFFA"/>
    <w:rsid w:val="DEFA30B6"/>
    <w:rsid w:val="DEFE2832"/>
    <w:rsid w:val="DEFFF913"/>
    <w:rsid w:val="DF302365"/>
    <w:rsid w:val="DF37A92E"/>
    <w:rsid w:val="DF4B79A4"/>
    <w:rsid w:val="DF4F86F2"/>
    <w:rsid w:val="DF59B33A"/>
    <w:rsid w:val="DF7C33A5"/>
    <w:rsid w:val="DF7E8EAE"/>
    <w:rsid w:val="DF7F3001"/>
    <w:rsid w:val="DF7F8136"/>
    <w:rsid w:val="DF8F5631"/>
    <w:rsid w:val="DF9B987E"/>
    <w:rsid w:val="DF9F0907"/>
    <w:rsid w:val="DF9FE4E9"/>
    <w:rsid w:val="DFBA213F"/>
    <w:rsid w:val="DFD1006B"/>
    <w:rsid w:val="DFD747DC"/>
    <w:rsid w:val="DFE72BFD"/>
    <w:rsid w:val="DFE9F2CB"/>
    <w:rsid w:val="DFFD7B9F"/>
    <w:rsid w:val="DFFFECED"/>
    <w:rsid w:val="DFFFF96F"/>
    <w:rsid w:val="E0FE834A"/>
    <w:rsid w:val="E2D93ADE"/>
    <w:rsid w:val="E3769EFE"/>
    <w:rsid w:val="E3C9862B"/>
    <w:rsid w:val="E3ED0D52"/>
    <w:rsid w:val="E4B9A730"/>
    <w:rsid w:val="E57FCE81"/>
    <w:rsid w:val="E67F98AB"/>
    <w:rsid w:val="E6F3C0F4"/>
    <w:rsid w:val="E6FDE000"/>
    <w:rsid w:val="E765336E"/>
    <w:rsid w:val="E7BD331F"/>
    <w:rsid w:val="E7D1877B"/>
    <w:rsid w:val="E7FF9A7A"/>
    <w:rsid w:val="E835163F"/>
    <w:rsid w:val="E9D7E337"/>
    <w:rsid w:val="EBBFC297"/>
    <w:rsid w:val="EBEDAD30"/>
    <w:rsid w:val="EBEFB238"/>
    <w:rsid w:val="EBF061D7"/>
    <w:rsid w:val="EBFA2687"/>
    <w:rsid w:val="EBFA82BF"/>
    <w:rsid w:val="EBFF3B04"/>
    <w:rsid w:val="EC98709F"/>
    <w:rsid w:val="ECB7AABB"/>
    <w:rsid w:val="ECE88C6B"/>
    <w:rsid w:val="ECFF6BBA"/>
    <w:rsid w:val="ED3B0C0F"/>
    <w:rsid w:val="ED73E94D"/>
    <w:rsid w:val="EDDF7087"/>
    <w:rsid w:val="EDEFDDDC"/>
    <w:rsid w:val="EDF36572"/>
    <w:rsid w:val="EDF9DA90"/>
    <w:rsid w:val="EDFDEDB9"/>
    <w:rsid w:val="EDFF2D28"/>
    <w:rsid w:val="EDFFB063"/>
    <w:rsid w:val="EDFFB70C"/>
    <w:rsid w:val="EE3D8C8F"/>
    <w:rsid w:val="EE5CD502"/>
    <w:rsid w:val="EE7FBE2E"/>
    <w:rsid w:val="EEBB08A5"/>
    <w:rsid w:val="EEC1EF99"/>
    <w:rsid w:val="EEFFFCE5"/>
    <w:rsid w:val="EF3FE9B1"/>
    <w:rsid w:val="EF578CDC"/>
    <w:rsid w:val="EF6766B3"/>
    <w:rsid w:val="EF6BF400"/>
    <w:rsid w:val="EF7D3EBA"/>
    <w:rsid w:val="EF7F264C"/>
    <w:rsid w:val="EFBF17D7"/>
    <w:rsid w:val="EFBF1A76"/>
    <w:rsid w:val="EFBF611F"/>
    <w:rsid w:val="EFC55747"/>
    <w:rsid w:val="EFD7ACAA"/>
    <w:rsid w:val="EFDBC9B1"/>
    <w:rsid w:val="EFE22AAD"/>
    <w:rsid w:val="EFE3CA81"/>
    <w:rsid w:val="EFE933F5"/>
    <w:rsid w:val="EFFB18FC"/>
    <w:rsid w:val="F0DF864F"/>
    <w:rsid w:val="F0FB6EA1"/>
    <w:rsid w:val="F2B7C243"/>
    <w:rsid w:val="F2FF6B3D"/>
    <w:rsid w:val="F3ABE071"/>
    <w:rsid w:val="F3F71E2C"/>
    <w:rsid w:val="F3FBD9C4"/>
    <w:rsid w:val="F3FF1D02"/>
    <w:rsid w:val="F3FFD21A"/>
    <w:rsid w:val="F4BFDF8E"/>
    <w:rsid w:val="F4EB517A"/>
    <w:rsid w:val="F4F70B92"/>
    <w:rsid w:val="F4FE5F7C"/>
    <w:rsid w:val="F57FEDA9"/>
    <w:rsid w:val="F5FE3489"/>
    <w:rsid w:val="F5FF4DA3"/>
    <w:rsid w:val="F6BBE594"/>
    <w:rsid w:val="F6BBFF46"/>
    <w:rsid w:val="F6F7F3A4"/>
    <w:rsid w:val="F6FAB470"/>
    <w:rsid w:val="F6FEAC3E"/>
    <w:rsid w:val="F74FCDC7"/>
    <w:rsid w:val="F76BAF73"/>
    <w:rsid w:val="F77F63EF"/>
    <w:rsid w:val="F77FFD8D"/>
    <w:rsid w:val="F797D814"/>
    <w:rsid w:val="F79B4782"/>
    <w:rsid w:val="F7ACD86F"/>
    <w:rsid w:val="F7B79444"/>
    <w:rsid w:val="F7BB5C8A"/>
    <w:rsid w:val="F7BDF69A"/>
    <w:rsid w:val="F7C400C0"/>
    <w:rsid w:val="F7C76387"/>
    <w:rsid w:val="F7CE5591"/>
    <w:rsid w:val="F7DE93E7"/>
    <w:rsid w:val="F7DF4D99"/>
    <w:rsid w:val="F7E5A5B0"/>
    <w:rsid w:val="F7E66C31"/>
    <w:rsid w:val="F7E71075"/>
    <w:rsid w:val="F7EF98E7"/>
    <w:rsid w:val="F7F32AC5"/>
    <w:rsid w:val="F7F7904B"/>
    <w:rsid w:val="F7FBA864"/>
    <w:rsid w:val="F7FF5DC8"/>
    <w:rsid w:val="F7FF93DC"/>
    <w:rsid w:val="F83F39BD"/>
    <w:rsid w:val="F8F74784"/>
    <w:rsid w:val="F9F7B805"/>
    <w:rsid w:val="F9FF0D5B"/>
    <w:rsid w:val="FA2765CD"/>
    <w:rsid w:val="FA4D6C00"/>
    <w:rsid w:val="FA5954B8"/>
    <w:rsid w:val="FADD7FEF"/>
    <w:rsid w:val="FAE56E9B"/>
    <w:rsid w:val="FAE98EE9"/>
    <w:rsid w:val="FAF6BF84"/>
    <w:rsid w:val="FAFFE8E7"/>
    <w:rsid w:val="FB1B908E"/>
    <w:rsid w:val="FB1F6D78"/>
    <w:rsid w:val="FB331E5A"/>
    <w:rsid w:val="FB7D9729"/>
    <w:rsid w:val="FB7D9E5A"/>
    <w:rsid w:val="FB7FCC26"/>
    <w:rsid w:val="FB9D7953"/>
    <w:rsid w:val="FB9FF9A9"/>
    <w:rsid w:val="FBAB69B1"/>
    <w:rsid w:val="FBAFB47C"/>
    <w:rsid w:val="FBBE5EF6"/>
    <w:rsid w:val="FBEC5B4D"/>
    <w:rsid w:val="FBED29CE"/>
    <w:rsid w:val="FBEF43FB"/>
    <w:rsid w:val="FBF15EAE"/>
    <w:rsid w:val="FBF697AC"/>
    <w:rsid w:val="FBFB2674"/>
    <w:rsid w:val="FBFB7236"/>
    <w:rsid w:val="FBFECE3F"/>
    <w:rsid w:val="FBFF64F6"/>
    <w:rsid w:val="FBFF9C6C"/>
    <w:rsid w:val="FBFFE281"/>
    <w:rsid w:val="FC65968A"/>
    <w:rsid w:val="FCB1B018"/>
    <w:rsid w:val="FCCF3AB5"/>
    <w:rsid w:val="FCDF8C1D"/>
    <w:rsid w:val="FCFE80CA"/>
    <w:rsid w:val="FD3436E6"/>
    <w:rsid w:val="FD3AEAFA"/>
    <w:rsid w:val="FD3CEC68"/>
    <w:rsid w:val="FD5FE22E"/>
    <w:rsid w:val="FD7D1FA0"/>
    <w:rsid w:val="FDAA0E12"/>
    <w:rsid w:val="FDAD2D5D"/>
    <w:rsid w:val="FDB3D398"/>
    <w:rsid w:val="FDBEB282"/>
    <w:rsid w:val="FDCBA470"/>
    <w:rsid w:val="FDEB9895"/>
    <w:rsid w:val="FDF0F39C"/>
    <w:rsid w:val="FDF6B9D8"/>
    <w:rsid w:val="FDF738BB"/>
    <w:rsid w:val="FDF77C56"/>
    <w:rsid w:val="FDF90599"/>
    <w:rsid w:val="FDFEBE96"/>
    <w:rsid w:val="FDFFA122"/>
    <w:rsid w:val="FE37108D"/>
    <w:rsid w:val="FE57B664"/>
    <w:rsid w:val="FE7FC2FC"/>
    <w:rsid w:val="FE9FE843"/>
    <w:rsid w:val="FEBAE37F"/>
    <w:rsid w:val="FEBBA25D"/>
    <w:rsid w:val="FEBF677D"/>
    <w:rsid w:val="FEDFB3A7"/>
    <w:rsid w:val="FEEF9CAA"/>
    <w:rsid w:val="FEF7B180"/>
    <w:rsid w:val="FEFB6B19"/>
    <w:rsid w:val="FEFC2353"/>
    <w:rsid w:val="FF0C47B9"/>
    <w:rsid w:val="FF1DDD9D"/>
    <w:rsid w:val="FF377688"/>
    <w:rsid w:val="FF3A0707"/>
    <w:rsid w:val="FF3E3589"/>
    <w:rsid w:val="FF3E7D3D"/>
    <w:rsid w:val="FF3F5B2E"/>
    <w:rsid w:val="FF57C955"/>
    <w:rsid w:val="FF7EE660"/>
    <w:rsid w:val="FF7F5333"/>
    <w:rsid w:val="FF7F8323"/>
    <w:rsid w:val="FF967CAE"/>
    <w:rsid w:val="FF9BE00C"/>
    <w:rsid w:val="FFADC027"/>
    <w:rsid w:val="FFAE2BD4"/>
    <w:rsid w:val="FFB4212C"/>
    <w:rsid w:val="FFBA55CC"/>
    <w:rsid w:val="FFBBBC62"/>
    <w:rsid w:val="FFBE24F8"/>
    <w:rsid w:val="FFBEBFCE"/>
    <w:rsid w:val="FFBF5525"/>
    <w:rsid w:val="FFBF97DA"/>
    <w:rsid w:val="FFBFCC72"/>
    <w:rsid w:val="FFC4825D"/>
    <w:rsid w:val="FFCB5A10"/>
    <w:rsid w:val="FFCB6BB7"/>
    <w:rsid w:val="FFCBA5FC"/>
    <w:rsid w:val="FFCE17C1"/>
    <w:rsid w:val="FFCFA5CB"/>
    <w:rsid w:val="FFD6897F"/>
    <w:rsid w:val="FFDD4AFB"/>
    <w:rsid w:val="FFDEA47E"/>
    <w:rsid w:val="FFDF404B"/>
    <w:rsid w:val="FFE7FAA7"/>
    <w:rsid w:val="FFE97364"/>
    <w:rsid w:val="FFED56DB"/>
    <w:rsid w:val="FFEF7746"/>
    <w:rsid w:val="FFF55140"/>
    <w:rsid w:val="FFF735DA"/>
    <w:rsid w:val="FFF77352"/>
    <w:rsid w:val="FFF86280"/>
    <w:rsid w:val="FFF884A1"/>
    <w:rsid w:val="FFFA3503"/>
    <w:rsid w:val="FFFA740F"/>
    <w:rsid w:val="FFFB0412"/>
    <w:rsid w:val="FFFB5034"/>
    <w:rsid w:val="FFFD08EC"/>
    <w:rsid w:val="FFFD1394"/>
    <w:rsid w:val="FFFDA3E5"/>
    <w:rsid w:val="FFFDA53C"/>
    <w:rsid w:val="FFFDD5C2"/>
    <w:rsid w:val="FFFEB3A1"/>
    <w:rsid w:val="FFFEF935"/>
    <w:rsid w:val="FFFEFAB1"/>
    <w:rsid w:val="FFFF0D65"/>
    <w:rsid w:val="FFFFE274"/>
    <w:rsid w:val="FFFFEF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6"/>
    <w:qFormat/>
    <w:uiPriority w:val="0"/>
    <w:pPr>
      <w:keepNext/>
      <w:keepLines/>
      <w:numPr>
        <w:ilvl w:val="0"/>
        <w:numId w:val="1"/>
      </w:numPr>
      <w:spacing w:line="360" w:lineRule="auto"/>
      <w:outlineLvl w:val="0"/>
    </w:pPr>
    <w:rPr>
      <w:rFonts w:ascii="仿宋_GB2312" w:hAnsi="仿宋_GB2312" w:eastAsia="黑体" w:cs="Times New Roman"/>
      <w:b/>
      <w:kern w:val="44"/>
      <w:sz w:val="32"/>
      <w:szCs w:val="24"/>
    </w:rPr>
  </w:style>
  <w:style w:type="paragraph" w:styleId="3">
    <w:name w:val="heading 2"/>
    <w:basedOn w:val="1"/>
    <w:next w:val="1"/>
    <w:link w:val="27"/>
    <w:qFormat/>
    <w:uiPriority w:val="0"/>
    <w:pPr>
      <w:keepNext/>
      <w:keepLines/>
      <w:numPr>
        <w:ilvl w:val="1"/>
        <w:numId w:val="1"/>
      </w:numPr>
      <w:spacing w:line="360" w:lineRule="auto"/>
      <w:outlineLvl w:val="1"/>
    </w:pPr>
    <w:rPr>
      <w:rFonts w:ascii="Arial" w:hAnsi="Arial" w:eastAsia="仿宋_GB2312" w:cs="Times New Roman"/>
      <w:b/>
      <w:sz w:val="30"/>
      <w:szCs w:val="24"/>
    </w:rPr>
  </w:style>
  <w:style w:type="paragraph" w:styleId="4">
    <w:name w:val="heading 3"/>
    <w:basedOn w:val="1"/>
    <w:next w:val="1"/>
    <w:link w:val="28"/>
    <w:qFormat/>
    <w:uiPriority w:val="0"/>
    <w:pPr>
      <w:keepNext/>
      <w:keepLines/>
      <w:numPr>
        <w:ilvl w:val="2"/>
        <w:numId w:val="1"/>
      </w:numPr>
      <w:spacing w:line="360" w:lineRule="auto"/>
      <w:outlineLvl w:val="2"/>
    </w:pPr>
    <w:rPr>
      <w:rFonts w:ascii="仿宋_GB2312" w:hAnsi="仿宋_GB2312" w:eastAsia="仿宋_GB2312" w:cs="Times New Roman"/>
      <w:b/>
      <w:sz w:val="30"/>
      <w:szCs w:val="24"/>
    </w:rPr>
  </w:style>
  <w:style w:type="paragraph" w:styleId="5">
    <w:name w:val="heading 4"/>
    <w:basedOn w:val="1"/>
    <w:next w:val="1"/>
    <w:link w:val="29"/>
    <w:qFormat/>
    <w:uiPriority w:val="0"/>
    <w:pPr>
      <w:keepNext/>
      <w:keepLines/>
      <w:numPr>
        <w:ilvl w:val="3"/>
        <w:numId w:val="1"/>
      </w:numPr>
      <w:spacing w:line="360" w:lineRule="auto"/>
      <w:outlineLvl w:val="3"/>
    </w:pPr>
    <w:rPr>
      <w:rFonts w:ascii="Arial" w:hAnsi="Arial" w:eastAsia="仿宋_GB2312" w:cs="Times New Roman"/>
      <w:b/>
      <w:sz w:val="30"/>
      <w:szCs w:val="24"/>
    </w:rPr>
  </w:style>
  <w:style w:type="paragraph" w:styleId="6">
    <w:name w:val="heading 5"/>
    <w:basedOn w:val="1"/>
    <w:next w:val="1"/>
    <w:link w:val="30"/>
    <w:qFormat/>
    <w:uiPriority w:val="0"/>
    <w:pPr>
      <w:keepNext/>
      <w:keepLines/>
      <w:numPr>
        <w:ilvl w:val="4"/>
        <w:numId w:val="1"/>
      </w:numPr>
      <w:spacing w:line="372" w:lineRule="auto"/>
      <w:outlineLvl w:val="4"/>
    </w:pPr>
    <w:rPr>
      <w:rFonts w:ascii="仿宋_GB2312" w:hAnsi="仿宋_GB2312" w:eastAsia="仿宋_GB2312" w:cs="Times New Roman"/>
      <w:b/>
      <w:sz w:val="28"/>
      <w:szCs w:val="24"/>
    </w:rPr>
  </w:style>
  <w:style w:type="paragraph" w:styleId="7">
    <w:name w:val="heading 6"/>
    <w:basedOn w:val="1"/>
    <w:next w:val="1"/>
    <w:link w:val="31"/>
    <w:qFormat/>
    <w:uiPriority w:val="0"/>
    <w:pPr>
      <w:keepNext/>
      <w:keepLines/>
      <w:numPr>
        <w:ilvl w:val="5"/>
        <w:numId w:val="1"/>
      </w:numPr>
      <w:spacing w:line="317" w:lineRule="auto"/>
      <w:outlineLvl w:val="5"/>
    </w:pPr>
    <w:rPr>
      <w:rFonts w:ascii="Arial" w:hAnsi="Arial" w:eastAsia="黑体" w:cs="Times New Roman"/>
      <w:b/>
      <w:sz w:val="24"/>
      <w:szCs w:val="24"/>
    </w:rPr>
  </w:style>
  <w:style w:type="paragraph" w:styleId="8">
    <w:name w:val="heading 7"/>
    <w:basedOn w:val="1"/>
    <w:next w:val="1"/>
    <w:link w:val="32"/>
    <w:qFormat/>
    <w:uiPriority w:val="0"/>
    <w:pPr>
      <w:keepNext/>
      <w:keepLines/>
      <w:numPr>
        <w:ilvl w:val="6"/>
        <w:numId w:val="1"/>
      </w:numPr>
      <w:spacing w:line="317" w:lineRule="auto"/>
      <w:outlineLvl w:val="6"/>
    </w:pPr>
    <w:rPr>
      <w:rFonts w:ascii="仿宋_GB2312" w:hAnsi="仿宋_GB2312" w:eastAsia="仿宋_GB2312" w:cs="Times New Roman"/>
      <w:b/>
      <w:sz w:val="24"/>
      <w:szCs w:val="24"/>
    </w:rPr>
  </w:style>
  <w:style w:type="paragraph" w:styleId="9">
    <w:name w:val="heading 8"/>
    <w:basedOn w:val="1"/>
    <w:next w:val="1"/>
    <w:link w:val="33"/>
    <w:qFormat/>
    <w:uiPriority w:val="0"/>
    <w:pPr>
      <w:keepNext/>
      <w:keepLines/>
      <w:numPr>
        <w:ilvl w:val="7"/>
        <w:numId w:val="1"/>
      </w:numPr>
      <w:spacing w:line="317" w:lineRule="auto"/>
      <w:outlineLvl w:val="7"/>
    </w:pPr>
    <w:rPr>
      <w:rFonts w:ascii="Arial" w:hAnsi="Arial" w:eastAsia="黑体" w:cs="Times New Roman"/>
      <w:sz w:val="24"/>
      <w:szCs w:val="24"/>
    </w:rPr>
  </w:style>
  <w:style w:type="paragraph" w:styleId="10">
    <w:name w:val="heading 9"/>
    <w:basedOn w:val="1"/>
    <w:next w:val="1"/>
    <w:link w:val="34"/>
    <w:qFormat/>
    <w:uiPriority w:val="0"/>
    <w:pPr>
      <w:keepNext/>
      <w:keepLines/>
      <w:numPr>
        <w:ilvl w:val="8"/>
        <w:numId w:val="1"/>
      </w:numPr>
      <w:spacing w:line="317" w:lineRule="auto"/>
      <w:outlineLvl w:val="8"/>
    </w:pPr>
    <w:rPr>
      <w:rFonts w:ascii="Arial" w:hAnsi="Arial" w:eastAsia="黑体" w:cs="Times New Roman"/>
      <w:szCs w:val="24"/>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pPr>
    <w:rPr>
      <w:rFonts w:ascii="Times New Roman" w:hAnsi="Times New Roman"/>
    </w:rPr>
  </w:style>
  <w:style w:type="paragraph" w:styleId="12">
    <w:name w:val="Body Text"/>
    <w:basedOn w:val="1"/>
    <w:link w:val="35"/>
    <w:qFormat/>
    <w:uiPriority w:val="0"/>
    <w:rPr>
      <w:rFonts w:ascii="MicrosoftYaHei" w:hAnsi="MicrosoftYaHei" w:eastAsia="宋体" w:cs="Times New Roman"/>
      <w:sz w:val="28"/>
      <w:szCs w:val="24"/>
    </w:rPr>
  </w:style>
  <w:style w:type="paragraph" w:styleId="13">
    <w:name w:val="Plain Text"/>
    <w:basedOn w:val="1"/>
    <w:link w:val="36"/>
    <w:qFormat/>
    <w:uiPriority w:val="0"/>
    <w:rPr>
      <w:rFonts w:ascii="宋体" w:hAnsi="Courier New" w:cs="Courier New"/>
      <w:szCs w:val="21"/>
    </w:rPr>
  </w:style>
  <w:style w:type="paragraph" w:styleId="14">
    <w:name w:val="Date"/>
    <w:basedOn w:val="1"/>
    <w:next w:val="1"/>
    <w:link w:val="37"/>
    <w:unhideWhenUsed/>
    <w:qFormat/>
    <w:uiPriority w:val="99"/>
    <w:pPr>
      <w:ind w:left="100" w:leftChars="2500"/>
    </w:pPr>
  </w:style>
  <w:style w:type="paragraph" w:styleId="15">
    <w:name w:val="Balloon Text"/>
    <w:basedOn w:val="1"/>
    <w:link w:val="38"/>
    <w:unhideWhenUsed/>
    <w:qFormat/>
    <w:uiPriority w:val="99"/>
    <w:rPr>
      <w:sz w:val="18"/>
      <w:szCs w:val="18"/>
    </w:rPr>
  </w:style>
  <w:style w:type="paragraph" w:styleId="16">
    <w:name w:val="footer"/>
    <w:basedOn w:val="1"/>
    <w:link w:val="39"/>
    <w:qFormat/>
    <w:uiPriority w:val="0"/>
    <w:pPr>
      <w:tabs>
        <w:tab w:val="center" w:pos="4153"/>
        <w:tab w:val="right" w:pos="8306"/>
      </w:tabs>
      <w:adjustRightInd w:val="0"/>
      <w:snapToGrid w:val="0"/>
      <w:spacing w:line="240" w:lineRule="atLeast"/>
      <w:jc w:val="left"/>
      <w:textAlignment w:val="baseline"/>
    </w:pPr>
    <w:rPr>
      <w:rFonts w:ascii="Times New Roman" w:hAnsi="Times New Roman" w:eastAsia="宋体" w:cs="Times New Roman"/>
      <w:kern w:val="0"/>
      <w:sz w:val="18"/>
      <w:szCs w:val="18"/>
    </w:rPr>
  </w:style>
  <w:style w:type="paragraph" w:styleId="17">
    <w:name w:val="header"/>
    <w:basedOn w:val="1"/>
    <w:link w:val="40"/>
    <w:qFormat/>
    <w:uiPriority w:val="0"/>
    <w:pPr>
      <w:widowControl/>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after="200"/>
    </w:pPr>
    <w:rPr>
      <w:rFonts w:ascii="Times New Roman" w:hAnsi="Times New Roman" w:eastAsia="微软雅黑" w:cs="Times New Roman"/>
      <w:kern w:val="0"/>
      <w:sz w:val="18"/>
    </w:rPr>
  </w:style>
  <w:style w:type="paragraph" w:styleId="18">
    <w:name w:val="toc 1"/>
    <w:basedOn w:val="1"/>
    <w:next w:val="1"/>
    <w:qFormat/>
    <w:uiPriority w:val="0"/>
    <w:pPr>
      <w:tabs>
        <w:tab w:val="right" w:leader="dot" w:pos="8380"/>
      </w:tabs>
    </w:pPr>
    <w:rPr>
      <w:rFonts w:ascii="黑体" w:hAnsi="黑体" w:eastAsia="黑体" w:cs="仿宋_GB2312"/>
      <w:sz w:val="32"/>
      <w:szCs w:val="32"/>
    </w:rPr>
  </w:style>
  <w:style w:type="paragraph" w:styleId="19">
    <w:name w:val="toc 2"/>
    <w:basedOn w:val="1"/>
    <w:next w:val="1"/>
    <w:unhideWhenUsed/>
    <w:qFormat/>
    <w:uiPriority w:val="0"/>
    <w:pPr>
      <w:ind w:left="420" w:leftChars="2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basedOn w:val="23"/>
    <w:qFormat/>
    <w:uiPriority w:val="0"/>
    <w:rPr>
      <w:color w:val="0000FF"/>
      <w:u w:val="single"/>
    </w:rPr>
  </w:style>
  <w:style w:type="character" w:customStyle="1" w:styleId="26">
    <w:name w:val="标题 1 Char"/>
    <w:basedOn w:val="23"/>
    <w:link w:val="2"/>
    <w:qFormat/>
    <w:uiPriority w:val="0"/>
    <w:rPr>
      <w:rFonts w:ascii="仿宋_GB2312" w:hAnsi="仿宋_GB2312" w:eastAsia="黑体"/>
      <w:b/>
      <w:kern w:val="44"/>
      <w:sz w:val="32"/>
      <w:szCs w:val="24"/>
    </w:rPr>
  </w:style>
  <w:style w:type="character" w:customStyle="1" w:styleId="27">
    <w:name w:val="标题 2 Char"/>
    <w:basedOn w:val="23"/>
    <w:link w:val="3"/>
    <w:qFormat/>
    <w:uiPriority w:val="0"/>
    <w:rPr>
      <w:rFonts w:ascii="Arial" w:hAnsi="Arial" w:eastAsia="仿宋_GB2312" w:cs="Times New Roman"/>
      <w:b/>
      <w:kern w:val="2"/>
      <w:sz w:val="30"/>
      <w:szCs w:val="24"/>
    </w:rPr>
  </w:style>
  <w:style w:type="character" w:customStyle="1" w:styleId="28">
    <w:name w:val="标题 3 Char"/>
    <w:basedOn w:val="23"/>
    <w:link w:val="4"/>
    <w:semiHidden/>
    <w:qFormat/>
    <w:uiPriority w:val="0"/>
    <w:rPr>
      <w:rFonts w:ascii="仿宋_GB2312" w:hAnsi="仿宋_GB2312" w:eastAsia="仿宋_GB2312" w:cs="Times New Roman"/>
      <w:b/>
      <w:kern w:val="2"/>
      <w:sz w:val="30"/>
      <w:szCs w:val="24"/>
    </w:rPr>
  </w:style>
  <w:style w:type="character" w:customStyle="1" w:styleId="29">
    <w:name w:val="标题 4 Char"/>
    <w:basedOn w:val="23"/>
    <w:link w:val="5"/>
    <w:semiHidden/>
    <w:qFormat/>
    <w:uiPriority w:val="0"/>
    <w:rPr>
      <w:rFonts w:ascii="Arial" w:hAnsi="Arial" w:eastAsia="仿宋_GB2312" w:cs="Times New Roman"/>
      <w:b/>
      <w:kern w:val="2"/>
      <w:sz w:val="30"/>
      <w:szCs w:val="24"/>
    </w:rPr>
  </w:style>
  <w:style w:type="character" w:customStyle="1" w:styleId="30">
    <w:name w:val="标题 5 Char"/>
    <w:basedOn w:val="23"/>
    <w:link w:val="6"/>
    <w:semiHidden/>
    <w:qFormat/>
    <w:uiPriority w:val="0"/>
    <w:rPr>
      <w:rFonts w:ascii="仿宋_GB2312" w:hAnsi="仿宋_GB2312" w:eastAsia="仿宋_GB2312" w:cs="Times New Roman"/>
      <w:b/>
      <w:kern w:val="2"/>
      <w:sz w:val="28"/>
      <w:szCs w:val="24"/>
    </w:rPr>
  </w:style>
  <w:style w:type="character" w:customStyle="1" w:styleId="31">
    <w:name w:val="标题 6 Char"/>
    <w:basedOn w:val="23"/>
    <w:link w:val="7"/>
    <w:semiHidden/>
    <w:qFormat/>
    <w:uiPriority w:val="0"/>
    <w:rPr>
      <w:rFonts w:ascii="Arial" w:hAnsi="Arial" w:eastAsia="黑体" w:cs="Times New Roman"/>
      <w:b/>
      <w:kern w:val="2"/>
      <w:sz w:val="24"/>
      <w:szCs w:val="24"/>
    </w:rPr>
  </w:style>
  <w:style w:type="character" w:customStyle="1" w:styleId="32">
    <w:name w:val="标题 7 Char"/>
    <w:basedOn w:val="23"/>
    <w:link w:val="8"/>
    <w:semiHidden/>
    <w:qFormat/>
    <w:uiPriority w:val="0"/>
    <w:rPr>
      <w:rFonts w:ascii="仿宋_GB2312" w:hAnsi="仿宋_GB2312" w:eastAsia="仿宋_GB2312" w:cs="Times New Roman"/>
      <w:b/>
      <w:kern w:val="2"/>
      <w:sz w:val="24"/>
      <w:szCs w:val="24"/>
    </w:rPr>
  </w:style>
  <w:style w:type="character" w:customStyle="1" w:styleId="33">
    <w:name w:val="标题 8 Char"/>
    <w:basedOn w:val="23"/>
    <w:link w:val="9"/>
    <w:semiHidden/>
    <w:qFormat/>
    <w:uiPriority w:val="0"/>
    <w:rPr>
      <w:rFonts w:ascii="Arial" w:hAnsi="Arial" w:eastAsia="黑体" w:cs="Times New Roman"/>
      <w:kern w:val="2"/>
      <w:sz w:val="24"/>
      <w:szCs w:val="24"/>
    </w:rPr>
  </w:style>
  <w:style w:type="character" w:customStyle="1" w:styleId="34">
    <w:name w:val="标题 9 Char"/>
    <w:basedOn w:val="23"/>
    <w:link w:val="10"/>
    <w:semiHidden/>
    <w:qFormat/>
    <w:uiPriority w:val="0"/>
    <w:rPr>
      <w:rFonts w:ascii="Arial" w:hAnsi="Arial" w:eastAsia="黑体" w:cs="Times New Roman"/>
      <w:kern w:val="2"/>
      <w:sz w:val="21"/>
      <w:szCs w:val="24"/>
    </w:rPr>
  </w:style>
  <w:style w:type="character" w:customStyle="1" w:styleId="35">
    <w:name w:val="正文文本 Char"/>
    <w:basedOn w:val="23"/>
    <w:link w:val="12"/>
    <w:qFormat/>
    <w:uiPriority w:val="0"/>
    <w:rPr>
      <w:rFonts w:ascii="MicrosoftYaHei" w:hAnsi="MicrosoftYaHei" w:eastAsia="宋体" w:cs="Times New Roman"/>
      <w:kern w:val="2"/>
      <w:sz w:val="28"/>
      <w:szCs w:val="24"/>
    </w:rPr>
  </w:style>
  <w:style w:type="character" w:customStyle="1" w:styleId="36">
    <w:name w:val="纯文本 Char"/>
    <w:basedOn w:val="23"/>
    <w:link w:val="13"/>
    <w:qFormat/>
    <w:uiPriority w:val="0"/>
    <w:rPr>
      <w:rFonts w:ascii="宋体" w:hAnsi="Courier New" w:cs="Courier New"/>
      <w:kern w:val="2"/>
      <w:sz w:val="21"/>
      <w:szCs w:val="21"/>
    </w:rPr>
  </w:style>
  <w:style w:type="character" w:customStyle="1" w:styleId="37">
    <w:name w:val="日期 Char"/>
    <w:basedOn w:val="23"/>
    <w:link w:val="14"/>
    <w:semiHidden/>
    <w:qFormat/>
    <w:uiPriority w:val="99"/>
    <w:rPr>
      <w:kern w:val="2"/>
      <w:sz w:val="21"/>
      <w:szCs w:val="22"/>
    </w:rPr>
  </w:style>
  <w:style w:type="character" w:customStyle="1" w:styleId="38">
    <w:name w:val="批注框文本 Char"/>
    <w:basedOn w:val="23"/>
    <w:link w:val="15"/>
    <w:semiHidden/>
    <w:qFormat/>
    <w:uiPriority w:val="99"/>
    <w:rPr>
      <w:kern w:val="2"/>
      <w:sz w:val="18"/>
      <w:szCs w:val="18"/>
    </w:rPr>
  </w:style>
  <w:style w:type="character" w:customStyle="1" w:styleId="39">
    <w:name w:val="页脚 Char"/>
    <w:basedOn w:val="23"/>
    <w:link w:val="16"/>
    <w:qFormat/>
    <w:uiPriority w:val="0"/>
    <w:rPr>
      <w:rFonts w:ascii="Times New Roman" w:hAnsi="Times New Roman" w:eastAsia="宋体" w:cs="Times New Roman"/>
      <w:kern w:val="0"/>
      <w:sz w:val="18"/>
      <w:szCs w:val="18"/>
    </w:rPr>
  </w:style>
  <w:style w:type="character" w:customStyle="1" w:styleId="40">
    <w:name w:val="页眉 Char"/>
    <w:basedOn w:val="23"/>
    <w:link w:val="17"/>
    <w:qFormat/>
    <w:uiPriority w:val="0"/>
    <w:rPr>
      <w:rFonts w:ascii="Times New Roman" w:hAnsi="Times New Roman" w:eastAsia="微软雅黑" w:cs="Times New Roman"/>
      <w:kern w:val="0"/>
      <w:sz w:val="18"/>
    </w:rPr>
  </w:style>
  <w:style w:type="character" w:customStyle="1" w:styleId="41">
    <w:name w:val="标题2 Char"/>
    <w:link w:val="42"/>
    <w:qFormat/>
    <w:locked/>
    <w:uiPriority w:val="0"/>
    <w:rPr>
      <w:rFonts w:ascii="方正小标宋简体" w:eastAsia="方正小标宋简体"/>
      <w:color w:val="000000"/>
      <w:kern w:val="2"/>
      <w:sz w:val="44"/>
      <w:szCs w:val="44"/>
    </w:rPr>
  </w:style>
  <w:style w:type="paragraph" w:customStyle="1" w:styleId="42">
    <w:name w:val="标题2"/>
    <w:basedOn w:val="1"/>
    <w:link w:val="41"/>
    <w:qFormat/>
    <w:uiPriority w:val="0"/>
    <w:pPr>
      <w:spacing w:line="600" w:lineRule="exact"/>
      <w:jc w:val="center"/>
    </w:pPr>
    <w:rPr>
      <w:rFonts w:ascii="方正小标宋简体" w:eastAsia="方正小标宋简体"/>
      <w:color w:val="000000"/>
      <w:sz w:val="44"/>
      <w:szCs w:val="44"/>
    </w:rPr>
  </w:style>
  <w:style w:type="character" w:customStyle="1" w:styleId="43">
    <w:name w:val="fontstyle01"/>
    <w:basedOn w:val="23"/>
    <w:qFormat/>
    <w:uiPriority w:val="0"/>
    <w:rPr>
      <w:rFonts w:hint="eastAsia" w:ascii="MS Mincho" w:hAnsi="MS Mincho" w:eastAsia="MS Mincho"/>
      <w:color w:val="000000"/>
      <w:sz w:val="34"/>
      <w:szCs w:val="34"/>
    </w:rPr>
  </w:style>
  <w:style w:type="paragraph" w:customStyle="1" w:styleId="44">
    <w:name w:val="p0"/>
    <w:basedOn w:val="1"/>
    <w:qFormat/>
    <w:uiPriority w:val="0"/>
    <w:pPr>
      <w:widowControl/>
    </w:pPr>
    <w:rPr>
      <w:rFonts w:ascii="Times New Roman" w:hAnsi="Times New Roman"/>
      <w:kern w:val="0"/>
      <w:szCs w:val="21"/>
    </w:rPr>
  </w:style>
  <w:style w:type="paragraph" w:styleId="45">
    <w:name w:val="List Paragraph"/>
    <w:basedOn w:val="1"/>
    <w:qFormat/>
    <w:uiPriority w:val="0"/>
    <w:pPr>
      <w:ind w:firstLine="420" w:firstLineChars="200"/>
    </w:pPr>
    <w:rPr>
      <w:sz w:val="32"/>
      <w:szCs w:val="32"/>
    </w:rPr>
  </w:style>
  <w:style w:type="paragraph" w:customStyle="1" w:styleId="46">
    <w:name w:val="_Style 47"/>
    <w:basedOn w:val="1"/>
    <w:next w:val="1"/>
    <w:qFormat/>
    <w:uiPriority w:val="0"/>
    <w:pPr>
      <w:pBdr>
        <w:top w:val="single" w:color="auto" w:sz="6" w:space="1"/>
      </w:pBdr>
      <w:jc w:val="center"/>
    </w:pPr>
    <w:rPr>
      <w:rFonts w:ascii="Arial" w:hAnsi="Arial" w:cs="Arial"/>
      <w:vanish/>
      <w:sz w:val="16"/>
      <w:szCs w:val="16"/>
    </w:rPr>
  </w:style>
  <w:style w:type="paragraph" w:customStyle="1" w:styleId="47">
    <w:name w:val="_Style 45"/>
    <w:basedOn w:val="1"/>
    <w:next w:val="1"/>
    <w:qFormat/>
    <w:uiPriority w:val="0"/>
    <w:pPr>
      <w:pBdr>
        <w:bottom w:val="single" w:color="auto" w:sz="6" w:space="1"/>
      </w:pBdr>
      <w:jc w:val="center"/>
    </w:pPr>
    <w:rPr>
      <w:rFonts w:ascii="Arial" w:hAnsi="Arial" w:cs="Arial"/>
      <w:vanish/>
      <w:sz w:val="16"/>
      <w:szCs w:val="16"/>
    </w:rPr>
  </w:style>
  <w:style w:type="paragraph" w:customStyle="1" w:styleId="48">
    <w:name w:val="_Style 46"/>
    <w:semiHidden/>
    <w:qFormat/>
    <w:uiPriority w:val="99"/>
    <w:rPr>
      <w:rFonts w:ascii="Times New Roman" w:hAnsi="Times New Roman" w:eastAsia="宋体" w:cs="Times New Roman"/>
      <w:kern w:val="2"/>
      <w:sz w:val="21"/>
      <w:szCs w:val="22"/>
      <w:lang w:val="en-US" w:eastAsia="zh-CN" w:bidi="ar-SA"/>
    </w:rPr>
  </w:style>
  <w:style w:type="paragraph" w:customStyle="1" w:styleId="49">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50">
    <w:name w:val="无间隔1"/>
    <w:basedOn w:val="1"/>
    <w:qFormat/>
    <w:uiPriority w:val="0"/>
    <w:pPr>
      <w:spacing w:line="400" w:lineRule="exact"/>
    </w:pPr>
    <w:rPr>
      <w:rFonts w:ascii="Times New Roman" w:hAnsi="Times New Roman" w:cs="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thtf/C:\dreamsoft\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Deepin</Company>
  <Pages>46</Pages>
  <Words>11968</Words>
  <Characters>12882</Characters>
  <Lines>80</Lines>
  <Paragraphs>22</Paragraphs>
  <TotalTime>28</TotalTime>
  <ScaleCrop>false</ScaleCrop>
  <LinksUpToDate>false</LinksUpToDate>
  <CharactersWithSpaces>13102</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2021-05-09T01:24:00Z</dcterms:created>
  <dc:creator>李良，公文起草</dc:creator>
  <cp:lastModifiedBy>thtf</cp:lastModifiedBy>
  <cp:lastPrinted>2024-03-29T01:28:00Z</cp:lastPrinted>
  <dcterms:modified xsi:type="dcterms:W3CDTF">2024-03-28T10:05:43Z</dcterms:modified>
  <dc:title>附件1</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1487516A0EB85F2B3ED00466CE07DE58</vt:lpwstr>
  </property>
</Properties>
</file>