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广东省人力资源管理服务信息系统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年度报告操作手册</w:t>
      </w:r>
    </w:p>
    <w:p/>
    <w:p>
      <w:pPr>
        <w:widowControl/>
        <w:jc w:val="center"/>
      </w:pPr>
      <w:r>
        <w:rPr>
          <w:rFonts w:ascii="黑体" w:hAnsi="宋体" w:eastAsia="黑体" w:cs="黑体"/>
          <w:color w:val="000000"/>
          <w:kern w:val="0"/>
          <w:sz w:val="36"/>
          <w:szCs w:val="36"/>
          <w:lang w:bidi="ar"/>
        </w:rPr>
        <w:t>（人力资源服务机构用户）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widowControl/>
        <w:jc w:val="center"/>
        <w:rPr>
          <w:rFonts w:ascii="楷体_GB2312" w:hAnsi="楷体_GB2312" w:eastAsia="楷体_GB2312" w:cs="楷体_GB2312"/>
          <w:color w:val="000000"/>
          <w:kern w:val="0"/>
          <w:sz w:val="31"/>
          <w:szCs w:val="31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  <w:lang w:bidi="ar"/>
        </w:rPr>
        <w:t xml:space="preserve">2023 </w:t>
      </w:r>
      <w:r>
        <w:rPr>
          <w:rFonts w:ascii="楷体_GB2312" w:hAnsi="楷体_GB2312" w:eastAsia="楷体_GB2312" w:cs="楷体_GB2312"/>
          <w:color w:val="000000"/>
          <w:kern w:val="0"/>
          <w:sz w:val="31"/>
          <w:szCs w:val="31"/>
          <w:lang w:bidi="ar"/>
        </w:rPr>
        <w:t xml:space="preserve">年 </w:t>
      </w:r>
      <w:r>
        <w:rPr>
          <w:rFonts w:ascii="Times New Roman" w:hAnsi="Times New Roman" w:eastAsia="宋体" w:cs="Times New Roman"/>
          <w:color w:val="000000"/>
          <w:kern w:val="0"/>
          <w:sz w:val="31"/>
          <w:szCs w:val="31"/>
          <w:lang w:bidi="ar"/>
        </w:rPr>
        <w:t xml:space="preserve">12 </w:t>
      </w:r>
      <w:r>
        <w:rPr>
          <w:rFonts w:ascii="楷体_GB2312" w:hAnsi="楷体_GB2312" w:eastAsia="楷体_GB2312" w:cs="楷体_GB2312"/>
          <w:color w:val="000000"/>
          <w:kern w:val="0"/>
          <w:sz w:val="31"/>
          <w:szCs w:val="31"/>
          <w:lang w:bidi="ar"/>
        </w:rPr>
        <w:t>月</w:t>
      </w:r>
    </w:p>
    <w:sdt>
      <w:sdtPr>
        <w:rPr>
          <w:rFonts w:ascii="宋体" w:hAnsi="宋体" w:eastAsia="宋体"/>
        </w:rPr>
        <w:id w:val="147471946"/>
        <w15:color w:val="DBDBDB"/>
        <w:docPartObj>
          <w:docPartGallery w:val="Table of Contents"/>
          <w:docPartUnique/>
        </w:docPartObj>
      </w:sdtPr>
      <w:sdtEndPr>
        <w:rPr>
          <w:rFonts w:hint="eastAsia" w:ascii="楷体_GB2312" w:hAnsi="楷体_GB2312" w:eastAsia="楷体_GB2312" w:cs="楷体_GB2312"/>
          <w:color w:val="000000"/>
          <w:kern w:val="0"/>
          <w:szCs w:val="31"/>
          <w:lang w:bidi="ar"/>
        </w:rPr>
      </w:sdtEndPr>
      <w:sdtContent>
        <w:p>
          <w:pPr>
            <w:jc w:val="center"/>
          </w:pPr>
          <w:r>
            <w:rPr>
              <w:rFonts w:ascii="宋体" w:hAnsi="宋体" w:eastAsia="宋体"/>
            </w:rPr>
            <w:t>目录</w:t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="楷体_GB2312" w:hAnsi="楷体_GB2312" w:eastAsia="楷体_GB2312" w:cs="楷体_GB2312"/>
              <w:color w:val="000000"/>
              <w:kern w:val="0"/>
              <w:sz w:val="31"/>
              <w:szCs w:val="31"/>
              <w:lang w:bidi="ar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color w:val="000000"/>
              <w:kern w:val="0"/>
              <w:sz w:val="31"/>
              <w:szCs w:val="31"/>
              <w:lang w:bidi="ar"/>
            </w:rPr>
            <w:instrText xml:space="preserve">TOC \o "1-3" \h \u </w:instrText>
          </w:r>
          <w:r>
            <w:rPr>
              <w:rFonts w:hint="eastAsia" w:ascii="楷体_GB2312" w:hAnsi="楷体_GB2312" w:eastAsia="楷体_GB2312" w:cs="楷体_GB2312"/>
              <w:color w:val="000000"/>
              <w:kern w:val="0"/>
              <w:sz w:val="31"/>
              <w:szCs w:val="31"/>
              <w:lang w:bidi="ar"/>
            </w:rPr>
            <w:fldChar w:fldCharType="separate"/>
          </w:r>
          <w:r>
            <w:fldChar w:fldCharType="begin"/>
          </w:r>
          <w:r>
            <w:instrText xml:space="preserve"> HYPERLINK \l "_Toc4174" </w:instrText>
          </w:r>
          <w:r>
            <w:fldChar w:fldCharType="separate"/>
          </w:r>
          <w:r>
            <w:rPr>
              <w:rFonts w:hint="eastAsia"/>
            </w:rPr>
            <w:t>一、 简介</w:t>
          </w:r>
          <w:r>
            <w:tab/>
          </w:r>
          <w:r>
            <w:fldChar w:fldCharType="begin"/>
          </w:r>
          <w:r>
            <w:instrText xml:space="preserve"> PAGEREF _Toc4174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"_Toc28582" </w:instrText>
          </w:r>
          <w:r>
            <w:fldChar w:fldCharType="separate"/>
          </w:r>
          <w:r>
            <w:rPr>
              <w:rFonts w:hint="eastAsia"/>
            </w:rPr>
            <w:t>（一） 功能介绍</w:t>
          </w:r>
          <w:r>
            <w:tab/>
          </w:r>
          <w:r>
            <w:fldChar w:fldCharType="begin"/>
          </w:r>
          <w:r>
            <w:instrText xml:space="preserve"> PAGEREF _Toc28582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"_Toc24501" </w:instrText>
          </w:r>
          <w:r>
            <w:fldChar w:fldCharType="separate"/>
          </w:r>
          <w:r>
            <w:rPr>
              <w:rFonts w:hint="eastAsia"/>
            </w:rPr>
            <w:t>（二） 系统访问</w:t>
          </w:r>
          <w:r>
            <w:tab/>
          </w:r>
          <w:r>
            <w:fldChar w:fldCharType="begin"/>
          </w:r>
          <w:r>
            <w:instrText xml:space="preserve"> PAGEREF _Toc24501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"_Toc19002" </w:instrText>
          </w:r>
          <w:r>
            <w:fldChar w:fldCharType="separate"/>
          </w:r>
          <w:r>
            <w:rPr>
              <w:rFonts w:hint="eastAsia"/>
            </w:rPr>
            <w:t>二、 系统填报</w:t>
          </w:r>
          <w:r>
            <w:tab/>
          </w:r>
          <w:r>
            <w:fldChar w:fldCharType="begin"/>
          </w:r>
          <w:r>
            <w:instrText xml:space="preserve"> PAGEREF _Toc19002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"_Toc27586" </w:instrText>
          </w:r>
          <w:r>
            <w:fldChar w:fldCharType="separate"/>
          </w:r>
          <w:r>
            <w:rPr>
              <w:rFonts w:hint="eastAsia"/>
            </w:rPr>
            <w:t>（一） 访问系统</w:t>
          </w:r>
          <w:r>
            <w:tab/>
          </w:r>
          <w:r>
            <w:fldChar w:fldCharType="begin"/>
          </w:r>
          <w:r>
            <w:instrText xml:space="preserve"> PAGEREF _Toc27586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"_Toc28752" </w:instrText>
          </w:r>
          <w:r>
            <w:fldChar w:fldCharType="separate"/>
          </w:r>
          <w:r>
            <w:rPr>
              <w:rFonts w:hint="eastAsia"/>
            </w:rPr>
            <w:t>1. 账号注册</w:t>
          </w:r>
          <w:r>
            <w:tab/>
          </w:r>
          <w:r>
            <w:fldChar w:fldCharType="begin"/>
          </w:r>
          <w:r>
            <w:instrText xml:space="preserve"> PAGEREF _Toc28752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"_Toc16866" </w:instrText>
          </w:r>
          <w:r>
            <w:fldChar w:fldCharType="separate"/>
          </w:r>
          <w:r>
            <w:t xml:space="preserve">2. </w:t>
          </w:r>
          <w:r>
            <w:rPr>
              <w:rFonts w:hint="eastAsia"/>
            </w:rPr>
            <w:t>系统登录</w:t>
          </w:r>
          <w:r>
            <w:tab/>
          </w:r>
          <w:r>
            <w:fldChar w:fldCharType="begin"/>
          </w:r>
          <w:r>
            <w:instrText xml:space="preserve"> PAGEREF _Toc16866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"_Toc8042" </w:instrText>
          </w:r>
          <w:r>
            <w:fldChar w:fldCharType="separate"/>
          </w:r>
          <w:r>
            <w:rPr>
              <w:rFonts w:hint="eastAsia"/>
            </w:rPr>
            <w:t>3. 账号密码找回</w:t>
          </w:r>
          <w:r>
            <w:tab/>
          </w:r>
          <w:r>
            <w:fldChar w:fldCharType="begin"/>
          </w:r>
          <w:r>
            <w:instrText xml:space="preserve"> PAGEREF _Toc8042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"_Toc71" </w:instrText>
          </w:r>
          <w:r>
            <w:fldChar w:fldCharType="separate"/>
          </w:r>
          <w:r>
            <w:rPr>
              <w:rFonts w:hint="eastAsia"/>
            </w:rPr>
            <w:t>（二） 年度报告填报</w:t>
          </w:r>
          <w:r>
            <w:tab/>
          </w:r>
          <w:r>
            <w:fldChar w:fldCharType="begin"/>
          </w:r>
          <w:r>
            <w:instrText xml:space="preserve"> PAGEREF _Toc71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"_Toc24770" </w:instrText>
          </w:r>
          <w:r>
            <w:fldChar w:fldCharType="separate"/>
          </w:r>
          <w:r>
            <w:rPr>
              <w:rFonts w:hint="eastAsia"/>
            </w:rPr>
            <w:t>（三） 保存与提交</w:t>
          </w:r>
          <w:r>
            <w:tab/>
          </w:r>
          <w:r>
            <w:fldChar w:fldCharType="begin"/>
          </w:r>
          <w:r>
            <w:instrText xml:space="preserve"> PAGEREF _Toc24770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"_Toc10189" </w:instrText>
          </w:r>
          <w:r>
            <w:fldChar w:fldCharType="separate"/>
          </w:r>
          <w:r>
            <w:rPr>
              <w:rFonts w:hint="eastAsia"/>
            </w:rPr>
            <w:t>（四） 退回修改</w:t>
          </w:r>
          <w:r>
            <w:tab/>
          </w:r>
          <w:r>
            <w:fldChar w:fldCharType="begin"/>
          </w:r>
          <w:r>
            <w:instrText xml:space="preserve"> PAGEREF _Toc10189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"_Toc1059" </w:instrText>
          </w:r>
          <w:r>
            <w:fldChar w:fldCharType="separate"/>
          </w:r>
          <w:r>
            <w:rPr>
              <w:rFonts w:hint="eastAsia"/>
            </w:rPr>
            <w:t>三、 技术咨询</w:t>
          </w:r>
          <w:r>
            <w:tab/>
          </w:r>
          <w:r>
            <w:fldChar w:fldCharType="begin"/>
          </w:r>
          <w:r>
            <w:instrText xml:space="preserve"> PAGEREF _Toc1059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widowControl/>
            <w:jc w:val="center"/>
            <w:rPr>
              <w:rFonts w:ascii="楷体_GB2312" w:hAnsi="楷体_GB2312" w:eastAsia="楷体_GB2312" w:cs="楷体_GB2312"/>
              <w:color w:val="000000"/>
              <w:kern w:val="0"/>
              <w:sz w:val="31"/>
              <w:szCs w:val="31"/>
              <w:lang w:bidi="ar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楷体_GB2312" w:hAnsi="楷体_GB2312" w:eastAsia="楷体_GB2312" w:cs="楷体_GB2312"/>
              <w:color w:val="000000"/>
              <w:kern w:val="0"/>
              <w:szCs w:val="31"/>
              <w:lang w:bidi="ar"/>
            </w:rPr>
            <w:fldChar w:fldCharType="end"/>
          </w:r>
        </w:p>
      </w:sdtContent>
    </w:sdt>
    <w:p>
      <w:pPr>
        <w:pStyle w:val="2"/>
        <w:numPr>
          <w:ilvl w:val="0"/>
          <w:numId w:val="1"/>
        </w:numPr>
      </w:pPr>
      <w:bookmarkStart w:id="0" w:name="_Toc4174"/>
      <w:r>
        <w:rPr>
          <w:rFonts w:hint="eastAsia"/>
        </w:rPr>
        <w:t>简介</w:t>
      </w:r>
      <w:bookmarkEnd w:id="0"/>
    </w:p>
    <w:p>
      <w:pPr>
        <w:pStyle w:val="3"/>
        <w:numPr>
          <w:ilvl w:val="0"/>
          <w:numId w:val="2"/>
        </w:numPr>
      </w:pPr>
      <w:bookmarkStart w:id="1" w:name="_Toc28582"/>
      <w:r>
        <w:rPr>
          <w:rFonts w:hint="eastAsia"/>
        </w:rPr>
        <w:t>功能介绍</w:t>
      </w:r>
      <w:bookmarkEnd w:id="1"/>
    </w:p>
    <w:p>
      <w:pPr>
        <w:widowControl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各人力资源服务机构作为填报用户，可通过 PC 端在浏览器访问广东省人力资源管理服务信息系统，年度报告模块进行年度报告填报工作。</w:t>
      </w:r>
    </w:p>
    <w:p/>
    <w:p>
      <w:pPr>
        <w:pStyle w:val="3"/>
        <w:numPr>
          <w:ilvl w:val="0"/>
          <w:numId w:val="2"/>
        </w:numPr>
      </w:pPr>
      <w:bookmarkStart w:id="2" w:name="_Toc24501"/>
      <w:r>
        <w:rPr>
          <w:rFonts w:hint="eastAsia"/>
        </w:rPr>
        <w:t>系统访问</w:t>
      </w:r>
      <w:bookmarkEnd w:id="2"/>
    </w:p>
    <w:p>
      <w:pPr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参考网址：广东省人力资源管理服务信息系统</w:t>
      </w:r>
    </w:p>
    <w:p>
      <w:pPr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sz w:val="24"/>
        </w:rPr>
        <w:t>（https://ggfw.hrss.gd.gov.cn/rlzyh/）</w:t>
      </w:r>
    </w:p>
    <w:p>
      <w:pPr>
        <w:rPr>
          <w:rFonts w:asciiTheme="minorEastAsia" w:hAnsiTheme="minorEastAsia" w:cstheme="minorEastAsia"/>
          <w:sz w:val="24"/>
        </w:rPr>
      </w:pPr>
    </w:p>
    <w:p>
      <w:pPr>
        <w:widowControl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 xml:space="preserve">参考浏览器：浏览器支持 Google Chrome 浏览器（重点推荐）、360 </w:t>
      </w:r>
    </w:p>
    <w:p>
      <w:pPr>
        <w:widowControl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极速浏览器等常见浏览器。</w:t>
      </w:r>
    </w:p>
    <w:p/>
    <w:p>
      <w:pPr>
        <w:pStyle w:val="2"/>
        <w:numPr>
          <w:ilvl w:val="0"/>
          <w:numId w:val="1"/>
        </w:numPr>
      </w:pPr>
      <w:bookmarkStart w:id="3" w:name="_Toc19002"/>
      <w:r>
        <w:rPr>
          <w:rFonts w:hint="eastAsia"/>
        </w:rPr>
        <w:t>系统填报</w:t>
      </w:r>
      <w:bookmarkEnd w:id="3"/>
    </w:p>
    <w:p>
      <w:pPr>
        <w:pStyle w:val="3"/>
        <w:numPr>
          <w:ilvl w:val="0"/>
          <w:numId w:val="3"/>
        </w:numPr>
      </w:pPr>
      <w:bookmarkStart w:id="4" w:name="_Toc27586"/>
      <w:r>
        <w:rPr>
          <w:rFonts w:hint="eastAsia"/>
        </w:rPr>
        <w:t>访问系统</w:t>
      </w:r>
      <w:bookmarkEnd w:id="4"/>
    </w:p>
    <w:p>
      <w:pPr>
        <w:rPr>
          <w:sz w:val="24"/>
        </w:rPr>
      </w:pPr>
      <w:r>
        <w:rPr>
          <w:rFonts w:hint="eastAsia"/>
          <w:sz w:val="24"/>
        </w:rPr>
        <w:t>在浏览器输入系统链接访问系统，然后在“区域选择”中选择单位所属区县，并点击对应区域，进入到对应区域页面，点击左边“业务办理”或右上角“登录”进行系统登录，如无账号则点击右上角的“注册”进行账号的注册。</w:t>
      </w:r>
    </w:p>
    <w:p>
      <w:r>
        <w:drawing>
          <wp:inline distT="0" distB="0" distL="114300" distR="114300">
            <wp:extent cx="5260975" cy="2324735"/>
            <wp:effectExtent l="0" t="0" r="12065" b="6985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32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6690" cy="2307590"/>
            <wp:effectExtent l="0" t="0" r="6350" b="8890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0"/>
          <w:numId w:val="4"/>
        </w:numPr>
      </w:pPr>
      <w:bookmarkStart w:id="5" w:name="_Toc28752"/>
      <w:r>
        <w:rPr>
          <w:rFonts w:hint="eastAsia"/>
        </w:rPr>
        <w:t>账号注册</w:t>
      </w:r>
      <w:bookmarkEnd w:id="5"/>
    </w:p>
    <w:p>
      <w:r>
        <w:rPr>
          <w:rFonts w:hint="eastAsia"/>
        </w:rPr>
        <w:t>点击“注册”后进入到账号注册页面，需要填写对应的个人用户信息，再填写单位用户信息，具体信息项如下图所示：</w:t>
      </w:r>
    </w:p>
    <w:p>
      <w:r>
        <w:rPr>
          <w:rFonts w:hint="eastAsia"/>
        </w:rPr>
        <w:t>个人账号注册指引可参考：</w:t>
      </w:r>
    </w:p>
    <w:p>
      <w:pPr>
        <w:jc w:val="left"/>
      </w:pPr>
      <w:r>
        <w:t>https://ggfw.hrss.gd.gov.cn/isso/twoWaysToRegister.html?showIndex=1</w:t>
      </w:r>
    </w:p>
    <w:p>
      <w:pPr>
        <w:jc w:val="left"/>
      </w:pPr>
      <w:r>
        <w:rPr>
          <w:rFonts w:hint="eastAsia"/>
        </w:rPr>
        <w:t>单位注册指引可参考：</w:t>
      </w:r>
      <w:r>
        <w:t>https://ggfw.hrss.gd.gov.cn/isso/twoWaysToRegister.html?showIndex=3</w:t>
      </w:r>
    </w:p>
    <w:p>
      <w:pPr>
        <w:jc w:val="left"/>
      </w:pPr>
      <w:r>
        <w:rPr>
          <w:rFonts w:hint="eastAsia"/>
        </w:rPr>
        <w:t>单位授权个人用户可参考：</w:t>
      </w:r>
      <w:r>
        <w:fldChar w:fldCharType="begin"/>
      </w:r>
      <w:r>
        <w:instrText xml:space="preserve"> HYPERLINK "https://ggfw.hrss.gd.gov.cn/ssologin/html/UnitBindsPerson.html" </w:instrText>
      </w:r>
      <w:r>
        <w:fldChar w:fldCharType="separate"/>
      </w:r>
      <w:r>
        <w:rPr>
          <w:rStyle w:val="12"/>
          <w:rFonts w:hint="eastAsia"/>
        </w:rPr>
        <w:t>https://ggfw.hrss.gd.gov.cn/ssologin/html/UnitBindsPerson.html</w:t>
      </w:r>
      <w:r>
        <w:rPr>
          <w:rStyle w:val="13"/>
          <w:rFonts w:hint="eastAsia"/>
        </w:rPr>
        <w:fldChar w:fldCharType="end"/>
      </w:r>
    </w:p>
    <w:p/>
    <w:p>
      <w:r>
        <w:drawing>
          <wp:inline distT="0" distB="0" distL="0" distR="0">
            <wp:extent cx="5274310" cy="2414905"/>
            <wp:effectExtent l="0" t="0" r="2540" b="4445"/>
            <wp:docPr id="37" name="图片 37" descr="E:\Program Files\ShareX绿色版 12.3.1\ShareX绿色版 12.3.1\ShareX\Screenshots\2023-12\chrome_0OmOoEwd0E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E:\Program Files\ShareX绿色版 12.3.1\ShareX绿色版 12.3.1\ShareX\Screenshots\2023-12\chrome_0OmOoEwd0E.png"/>
                    <pic:cNvPicPr>
                      <a:picLocks noChangeAspect="true" noChangeArrowheads="true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0" distR="0">
            <wp:extent cx="5274310" cy="2414905"/>
            <wp:effectExtent l="0" t="0" r="2540" b="4445"/>
            <wp:docPr id="38" name="图片 38" descr="E:\Program Files\ShareX绿色版 12.3.1\ShareX绿色版 12.3.1\ShareX\Screenshots\2023-12\chrome_uKrAyNNWEg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E:\Program Files\ShareX绿色版 12.3.1\ShareX绿色版 12.3.1\ShareX\Screenshots\2023-12\chrome_uKrAyNNWEg.png"/>
                    <pic:cNvPicPr>
                      <a:picLocks noChangeAspect="true" noChangeArrowheads="true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74310" cy="2414905"/>
            <wp:effectExtent l="0" t="0" r="2540" b="4445"/>
            <wp:docPr id="39" name="图片 39" descr="E:\Program Files\ShareX绿色版 12.3.1\ShareX绿色版 12.3.1\ShareX\Screenshots\2023-12\chrome_gSc5TOSwWA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E:\Program Files\ShareX绿色版 12.3.1\ShareX绿色版 12.3.1\ShareX\Screenshots\2023-12\chrome_gSc5TOSwWA.png"/>
                    <pic:cNvPicPr>
                      <a:picLocks noChangeAspect="true" noChangeArrowheads="true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0" distR="0">
            <wp:extent cx="5274310" cy="2414905"/>
            <wp:effectExtent l="0" t="0" r="2540" b="4445"/>
            <wp:docPr id="40" name="图片 40" descr="E:\Program Files\ShareX绿色版 12.3.1\ShareX绿色版 12.3.1\ShareX\Screenshots\2023-12\chrome_VKxd4SkAMn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E:\Program Files\ShareX绿色版 12.3.1\ShareX绿色版 12.3.1\ShareX\Screenshots\2023-12\chrome_VKxd4SkAMn.png"/>
                    <pic:cNvPicPr>
                      <a:picLocks noChangeAspect="true" noChangeArrowheads="true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0" distR="0">
            <wp:extent cx="5274310" cy="2414905"/>
            <wp:effectExtent l="0" t="0" r="2540" b="4445"/>
            <wp:docPr id="41" name="图片 41" descr="E:\Program Files\ShareX绿色版 12.3.1\ShareX绿色版 12.3.1\ShareX\Screenshots\2023-12\chrome_A0l6D2NkZd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E:\Program Files\ShareX绿色版 12.3.1\ShareX绿色版 12.3.1\ShareX\Screenshots\2023-12\chrome_A0l6D2NkZd.png"/>
                    <pic:cNvPicPr>
                      <a:picLocks noChangeAspect="true" noChangeArrowheads="true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rFonts w:hint="eastAsia"/>
        </w:rPr>
        <w:t>账号注册成功后，重新访问系统，并进行账号登录。</w:t>
      </w:r>
    </w:p>
    <w:p>
      <w:r>
        <w:rPr>
          <w:rFonts w:hint="eastAsia"/>
        </w:rPr>
        <w:t>注：账号注册时，如需进行实名认证，则按要求进行实名认证。</w:t>
      </w:r>
    </w:p>
    <w:p/>
    <w:p/>
    <w:p>
      <w:pPr>
        <w:pStyle w:val="4"/>
        <w:numPr>
          <w:ilvl w:val="0"/>
          <w:numId w:val="4"/>
        </w:numPr>
      </w:pPr>
      <w:bookmarkStart w:id="6" w:name="_Toc16866"/>
      <w:r>
        <w:rPr>
          <w:rFonts w:hint="eastAsia"/>
        </w:rPr>
        <w:t>系统登录</w:t>
      </w:r>
      <w:bookmarkEnd w:id="6"/>
    </w:p>
    <w:p>
      <w:pPr>
        <w:rPr>
          <w:highlight w:val="yellow"/>
        </w:rPr>
      </w:pPr>
      <w:r>
        <w:rPr>
          <w:rFonts w:hint="eastAsia"/>
        </w:rPr>
        <w:t>访问系统后，进行系统的登录，进行业务的办理，</w:t>
      </w:r>
      <w:r>
        <w:rPr>
          <w:rFonts w:hint="eastAsia"/>
          <w:highlight w:val="yellow"/>
        </w:rPr>
        <w:t>当进入到登录页面，请选择“单位登录”，填写单位账号、密码、验证码等信息，正确填写后，点击单位登录进行系统登录。</w:t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74310" cy="2414905"/>
            <wp:effectExtent l="0" t="0" r="2540" b="4445"/>
            <wp:docPr id="42" name="图片 42" descr="E:\Program Files\ShareX绿色版 12.3.1\ShareX绿色版 12.3.1\ShareX\Screenshots\2023-12\chrome_nmU9ewodp4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E:\Program Files\ShareX绿色版 12.3.1\ShareX绿色版 12.3.1\ShareX\Screenshots\2023-12\chrome_nmU9ewodp4.png"/>
                    <pic:cNvPicPr>
                      <a:picLocks noChangeAspect="true" noChangeArrowheads="true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0"/>
          <w:numId w:val="4"/>
        </w:numPr>
      </w:pPr>
      <w:bookmarkStart w:id="7" w:name="_Toc8042"/>
      <w:r>
        <w:rPr>
          <w:rFonts w:hint="eastAsia"/>
        </w:rPr>
        <w:t>账号密码找回</w:t>
      </w:r>
      <w:bookmarkEnd w:id="7"/>
    </w:p>
    <w:p>
      <w:pPr>
        <w:numPr>
          <w:ilvl w:val="0"/>
          <w:numId w:val="5"/>
        </w:numPr>
      </w:pPr>
      <w:r>
        <w:rPr>
          <w:rFonts w:hint="eastAsia"/>
        </w:rPr>
        <w:t>账号找回参考：</w:t>
      </w:r>
    </w:p>
    <w:p>
      <w:r>
        <w:t>https://ggfw.hrss.gd.gov.cn/isso/findLoginId.html?showIndex=2</w:t>
      </w:r>
      <w:r>
        <w:drawing>
          <wp:inline distT="0" distB="0" distL="0" distR="0">
            <wp:extent cx="5274310" cy="2414905"/>
            <wp:effectExtent l="0" t="0" r="2540" b="4445"/>
            <wp:docPr id="45" name="图片 45" descr="E:\Program Files\ShareX绿色版 12.3.1\ShareX绿色版 12.3.1\ShareX\Screenshots\2023-12\chrome_5HSXVRN4DP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E:\Program Files\ShareX绿色版 12.3.1\ShareX绿色版 12.3.1\ShareX\Screenshots\2023-12\chrome_5HSXVRN4DP.png"/>
                    <pic:cNvPicPr>
                      <a:picLocks noChangeAspect="true" noChangeArrowheads="true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rPr>
          <w:rFonts w:hint="eastAsia"/>
        </w:rPr>
        <w:t>密码找回参考：</w:t>
      </w:r>
    </w:p>
    <w:p>
      <w:r>
        <w:t>https://ggfw.hrss.gd.gov.cn/isso/findPassword.html?showIndex=2</w:t>
      </w:r>
    </w:p>
    <w:p>
      <w:r>
        <w:drawing>
          <wp:inline distT="0" distB="0" distL="0" distR="0">
            <wp:extent cx="5274310" cy="2414905"/>
            <wp:effectExtent l="0" t="0" r="2540" b="4445"/>
            <wp:docPr id="46" name="图片 46" descr="E:\Program Files\ShareX绿色版 12.3.1\ShareX绿色版 12.3.1\ShareX\Screenshots\2023-12\chrome_oRB2Q5NO75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E:\Program Files\ShareX绿色版 12.3.1\ShareX绿色版 12.3.1\ShareX\Screenshots\2023-12\chrome_oRB2Q5NO75.png"/>
                    <pic:cNvPicPr>
                      <a:picLocks noChangeAspect="true" noChangeArrowheads="true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0"/>
          <w:numId w:val="3"/>
        </w:numPr>
      </w:pPr>
      <w:bookmarkStart w:id="8" w:name="_Toc71"/>
      <w:r>
        <w:rPr>
          <w:rFonts w:hint="eastAsia"/>
        </w:rPr>
        <w:t>年度报告填报</w:t>
      </w:r>
      <w:bookmarkEnd w:id="8"/>
    </w:p>
    <w:p>
      <w:r>
        <w:rPr>
          <w:rFonts w:hint="eastAsia"/>
        </w:rPr>
        <w:t>待成功登录系统后，点击左边菜单栏“年度报告”菜单，并点击“年度报告”菜单进入到年度报告填报页面。</w:t>
      </w:r>
    </w:p>
    <w:p>
      <w:r>
        <w:drawing>
          <wp:inline distT="0" distB="0" distL="114300" distR="114300">
            <wp:extent cx="5268595" cy="1885315"/>
            <wp:effectExtent l="0" t="0" r="4445" b="4445"/>
            <wp:docPr id="14" name="图片 1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rFonts w:hint="eastAsia"/>
        </w:rPr>
        <w:t>进入到年度报告填报页面，如未填报，则点击“新增”按钮进行填报，如已填报并保存成功的，则可以点击列表中对应信息项“操作”中的“查看”，可以查看已保存成功的年度报告信息。</w:t>
      </w:r>
    </w:p>
    <w:p>
      <w:r>
        <w:drawing>
          <wp:inline distT="0" distB="0" distL="114300" distR="114300">
            <wp:extent cx="5267325" cy="1076325"/>
            <wp:effectExtent l="0" t="0" r="5715" b="5715"/>
            <wp:docPr id="15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rPr>
          <w:rFonts w:hint="eastAsia"/>
        </w:rPr>
        <w:t>进入到年报详细页面，可先点击右上角的“内容说明”，查看年度报告内容信息项的参数解析。如下图：</w:t>
      </w:r>
    </w:p>
    <w:p>
      <w:r>
        <w:drawing>
          <wp:inline distT="0" distB="0" distL="114300" distR="114300">
            <wp:extent cx="5267325" cy="471805"/>
            <wp:effectExtent l="0" t="0" r="5715" b="635"/>
            <wp:docPr id="18" name="图片 1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12" w:name="_GoBack"/>
      <w:r>
        <w:drawing>
          <wp:inline distT="0" distB="0" distL="114300" distR="114300">
            <wp:extent cx="5267325" cy="2521585"/>
            <wp:effectExtent l="0" t="0" r="5715" b="8255"/>
            <wp:docPr id="19" name="图片 1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true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2"/>
    </w:p>
    <w:p/>
    <w:p>
      <w:r>
        <w:rPr>
          <w:rFonts w:hint="eastAsia"/>
        </w:rPr>
        <w:t>年度报告信息项中的年度、上级部门、机构基本信息等不用填写，系统根据机构基本信息获取数据进行显示。如下图：</w:t>
      </w:r>
    </w:p>
    <w:p>
      <w:r>
        <w:drawing>
          <wp:inline distT="0" distB="0" distL="0" distR="0">
            <wp:extent cx="5274310" cy="2522855"/>
            <wp:effectExtent l="0" t="0" r="2540" b="0"/>
            <wp:docPr id="47" name="图片 47" descr="E:\Program Files\ShareX绿色版 12.3.1\ShareX绿色版 12.3.1\ShareX\Screenshots\2023-12\msedge_KWJBJ5pfBA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E:\Program Files\ShareX绿色版 12.3.1\ShareX绿色版 12.3.1\ShareX\Screenshots\2023-12\msedge_KWJBJ5pfBA.png"/>
                    <pic:cNvPicPr>
                      <a:picLocks noChangeAspect="true" noChangeArrowheads="true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以下信息项需要填写完整具体信息，并需要注意按顺序填写。</w:t>
      </w:r>
    </w:p>
    <w:p>
      <w:pPr>
        <w:rPr>
          <w:b/>
          <w:bCs/>
        </w:rPr>
      </w:pPr>
      <w:r>
        <w:rPr>
          <w:rFonts w:hint="eastAsia"/>
          <w:b/>
          <w:bCs/>
        </w:rPr>
        <w:t>注意事项：</w:t>
      </w:r>
    </w:p>
    <w:p>
      <w:pPr>
        <w:numPr>
          <w:ilvl w:val="0"/>
          <w:numId w:val="6"/>
        </w:numPr>
        <w:rPr>
          <w:b/>
          <w:bCs/>
          <w:color w:val="FF0000"/>
        </w:rPr>
      </w:pPr>
      <w:r>
        <w:rPr>
          <w:rFonts w:hint="eastAsia"/>
          <w:b/>
          <w:bCs/>
          <w:color w:val="FF0000"/>
          <w:highlight w:val="yellow"/>
        </w:rPr>
        <w:t>对应信息项的数值单位，如人、家、万元等</w:t>
      </w:r>
      <w:r>
        <w:rPr>
          <w:rFonts w:hint="eastAsia"/>
          <w:b/>
          <w:bCs/>
          <w:color w:val="FF0000"/>
        </w:rPr>
        <w:t>。</w:t>
      </w:r>
    </w:p>
    <w:p>
      <w:pPr>
        <w:numPr>
          <w:ilvl w:val="0"/>
          <w:numId w:val="6"/>
        </w:num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关注内容说明中的指标解析，填写正确信息。</w:t>
      </w:r>
    </w:p>
    <w:p>
      <w:pPr>
        <w:numPr>
          <w:ilvl w:val="0"/>
          <w:numId w:val="6"/>
        </w:num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注意部分信息项中的逻辑关系，填写要求。</w:t>
      </w:r>
    </w:p>
    <w:p>
      <w:pPr>
        <w:numPr>
          <w:ilvl w:val="0"/>
          <w:numId w:val="6"/>
        </w:numPr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注意对应信息项是否只能填整数，数值单位如：人、家等，如果数值单位为万元等，则可以为整数或带小数。</w:t>
      </w:r>
    </w:p>
    <w:p>
      <w:r>
        <w:drawing>
          <wp:inline distT="0" distB="0" distL="114300" distR="114300">
            <wp:extent cx="5267960" cy="2433320"/>
            <wp:effectExtent l="0" t="0" r="5080" b="5080"/>
            <wp:docPr id="17" name="图片 1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true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2573020"/>
            <wp:effectExtent l="0" t="0" r="8255" b="2540"/>
            <wp:docPr id="20" name="图片 2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true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2245" cy="1777365"/>
            <wp:effectExtent l="0" t="0" r="10795" b="5715"/>
            <wp:docPr id="21" name="图片 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770" cy="1764665"/>
            <wp:effectExtent l="0" t="0" r="1270" b="3175"/>
            <wp:docPr id="22" name="图片 2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true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76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3040" cy="2714625"/>
            <wp:effectExtent l="0" t="0" r="0" b="13335"/>
            <wp:docPr id="23" name="图片 2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true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4785" cy="1233805"/>
            <wp:effectExtent l="0" t="0" r="8255" b="635"/>
            <wp:docPr id="25" name="图片 2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true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</w:pPr>
      <w:bookmarkStart w:id="9" w:name="_Toc24770"/>
      <w:r>
        <w:rPr>
          <w:rFonts w:hint="eastAsia"/>
        </w:rPr>
        <w:t>保存与提交</w:t>
      </w:r>
      <w:bookmarkEnd w:id="9"/>
    </w:p>
    <w:p>
      <w:r>
        <w:rPr>
          <w:rFonts w:hint="eastAsia"/>
        </w:rPr>
        <w:t>当填写完整年度报告所需信息项，并检查无误后可以点击右上角“保存”按钮保存填写的数据信息项，若保存时有相应提示信息框出现，则根据提示信息框内容检查对应信息项内容是否填写正确，并更正，当提示保存成功时则为保存成功。</w:t>
      </w:r>
    </w:p>
    <w:p>
      <w:r>
        <w:rPr>
          <w:rFonts w:hint="eastAsia"/>
        </w:rPr>
        <w:t>如下提示框：则需要填写对应信息项内容才可以保存信息。</w:t>
      </w:r>
    </w:p>
    <w:p>
      <w:r>
        <w:drawing>
          <wp:inline distT="0" distB="0" distL="114300" distR="114300">
            <wp:extent cx="5267960" cy="2328545"/>
            <wp:effectExtent l="0" t="0" r="5080" b="3175"/>
            <wp:docPr id="29" name="图片 2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true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当提示“保存成功”时，才是成功保存信息。</w:t>
      </w:r>
    </w:p>
    <w:p>
      <w:r>
        <w:drawing>
          <wp:inline distT="0" distB="0" distL="114300" distR="114300">
            <wp:extent cx="5265420" cy="2447925"/>
            <wp:effectExtent l="0" t="0" r="7620" b="5715"/>
            <wp:docPr id="28" name="图片 2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true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查询保存成功后的信息，如下图在年度报告列表中可以查询显示对应的年度数据信息。</w:t>
      </w:r>
    </w:p>
    <w:p>
      <w:r>
        <w:drawing>
          <wp:inline distT="0" distB="0" distL="114300" distR="114300">
            <wp:extent cx="5262245" cy="908685"/>
            <wp:effectExtent l="0" t="0" r="10795" b="5715"/>
            <wp:docPr id="33" name="图片 3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true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rFonts w:hint="eastAsia"/>
        </w:rPr>
        <w:t>当信息项都填写完毕并检查无误后，可以点击右上角“提交到区审核”（上级部门如为市级的，则为提交到市级审核），提交上报填写的年度报告数据信息，提示如下图所示则为成功提交数据信息。提交上报成功后不能修改数据信息</w:t>
      </w:r>
    </w:p>
    <w:p>
      <w:r>
        <w:drawing>
          <wp:inline distT="0" distB="0" distL="114300" distR="114300">
            <wp:extent cx="5273675" cy="2402205"/>
            <wp:effectExtent l="0" t="0" r="14605" b="5715"/>
            <wp:docPr id="31" name="图片 3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true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此时查看上报成功后的信息，可按下图步骤操作查询。</w:t>
      </w:r>
    </w:p>
    <w:p>
      <w:r>
        <w:drawing>
          <wp:inline distT="0" distB="0" distL="114300" distR="114300">
            <wp:extent cx="5267960" cy="1268095"/>
            <wp:effectExtent l="0" t="0" r="5080" b="12065"/>
            <wp:docPr id="32" name="图片 3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true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</w:pPr>
      <w:bookmarkStart w:id="10" w:name="_Toc10189"/>
      <w:r>
        <w:rPr>
          <w:rFonts w:hint="eastAsia"/>
        </w:rPr>
        <w:t>退回修改</w:t>
      </w:r>
      <w:bookmarkEnd w:id="10"/>
    </w:p>
    <w:p>
      <w:r>
        <w:rPr>
          <w:rFonts w:hint="eastAsia"/>
        </w:rPr>
        <w:t>如果人社部门退回提交的业务时，则可以在年度报告列表中查看到对应信息，并点击对应信息项右侧“查看”进入到详细页面，在顶部“审核信息”中查看到审核结果，此处则为退回的原因。如下图所示：</w:t>
      </w:r>
    </w:p>
    <w:p>
      <w:r>
        <w:drawing>
          <wp:inline distT="0" distB="0" distL="114300" distR="114300">
            <wp:extent cx="5267960" cy="972185"/>
            <wp:effectExtent l="0" t="0" r="5080" b="3175"/>
            <wp:docPr id="34" name="图片 3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true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1135" cy="645160"/>
            <wp:effectExtent l="0" t="0" r="1905" b="10160"/>
            <wp:docPr id="35" name="图片 3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true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numPr>
          <w:ilvl w:val="0"/>
          <w:numId w:val="1"/>
        </w:numPr>
      </w:pPr>
      <w:bookmarkStart w:id="11" w:name="_Toc1059"/>
      <w:r>
        <w:rPr>
          <w:rFonts w:hint="eastAsia"/>
        </w:rPr>
        <w:t>技术咨询</w:t>
      </w:r>
      <w:bookmarkEnd w:id="11"/>
    </w:p>
    <w:p>
      <w:pPr>
        <w:widowControl/>
        <w:jc w:val="left"/>
        <w:rPr>
          <w:rFonts w:asciiTheme="minorEastAsia" w:hAnsiTheme="minorEastAsia" w:cstheme="minorEastAsia"/>
          <w:sz w:val="24"/>
        </w:rPr>
      </w:pPr>
      <w:r>
        <w:rPr>
          <w:rFonts w:hint="eastAsia" w:asciiTheme="minorEastAsia" w:hAnsiTheme="minorEastAsia" w:cstheme="minorEastAsia"/>
          <w:color w:val="000000"/>
          <w:kern w:val="0"/>
          <w:sz w:val="24"/>
          <w:lang w:bidi="ar"/>
        </w:rPr>
        <w:t>系统使用遇到问题，请联系：陈工 020-83179656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NWIy7xYCAAAb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2AEAA2"/>
    <w:multiLevelType w:val="singleLevel"/>
    <w:tmpl w:val="8E2AEAA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8E389F6A"/>
    <w:multiLevelType w:val="singleLevel"/>
    <w:tmpl w:val="8E389F6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B9294875"/>
    <w:multiLevelType w:val="singleLevel"/>
    <w:tmpl w:val="B929487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8CE8345"/>
    <w:multiLevelType w:val="singleLevel"/>
    <w:tmpl w:val="E8CE8345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195E688"/>
    <w:multiLevelType w:val="singleLevel"/>
    <w:tmpl w:val="4195E68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54E85BA9"/>
    <w:multiLevelType w:val="singleLevel"/>
    <w:tmpl w:val="54E85BA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ZTQ1NjljYjk4YjQxMDliZjlmMmNjMTJlYjZkY2IifQ=="/>
  </w:docVars>
  <w:rsids>
    <w:rsidRoot w:val="6B940AC6"/>
    <w:rsid w:val="003810FF"/>
    <w:rsid w:val="00490990"/>
    <w:rsid w:val="00557CF8"/>
    <w:rsid w:val="0060389F"/>
    <w:rsid w:val="009A27A9"/>
    <w:rsid w:val="009E4CEC"/>
    <w:rsid w:val="00C8558B"/>
    <w:rsid w:val="00CA454A"/>
    <w:rsid w:val="00EF0EB9"/>
    <w:rsid w:val="00FD432A"/>
    <w:rsid w:val="10EE11C5"/>
    <w:rsid w:val="11227FAD"/>
    <w:rsid w:val="174277A3"/>
    <w:rsid w:val="18E15BC5"/>
    <w:rsid w:val="32543E01"/>
    <w:rsid w:val="37E03852"/>
    <w:rsid w:val="590D57DD"/>
    <w:rsid w:val="5E1656EE"/>
    <w:rsid w:val="610004E2"/>
    <w:rsid w:val="6B940AC6"/>
    <w:rsid w:val="6DBF27BC"/>
    <w:rsid w:val="72F45119"/>
    <w:rsid w:val="757C34CF"/>
    <w:rsid w:val="E7FF8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character" w:styleId="12">
    <w:name w:val="FollowedHyperlink"/>
    <w:basedOn w:val="11"/>
    <w:uiPriority w:val="0"/>
    <w:rPr>
      <w:color w:val="800080"/>
      <w:u w:val="single"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5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customXml" Target="../customXml/item1.xml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411</Words>
  <Characters>2345</Characters>
  <Lines>19</Lines>
  <Paragraphs>5</Paragraphs>
  <TotalTime>3</TotalTime>
  <ScaleCrop>false</ScaleCrop>
  <LinksUpToDate>false</LinksUpToDate>
  <CharactersWithSpaces>2751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2022-12-30T14:22:00Z</dcterms:created>
  <dc:creator>JBin</dc:creator>
  <cp:lastModifiedBy>kylin</cp:lastModifiedBy>
  <dcterms:modified xsi:type="dcterms:W3CDTF">2024-01-04T09:30:53Z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206BF6E7160E482B85FB4A5B44B50487</vt:lpwstr>
  </property>
</Properties>
</file>