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eastAsia="方正小标宋简体" w:cs="方正小标宋简体"/>
          <w:b w:val="0"/>
          <w:bCs/>
          <w:color w:val="000000"/>
          <w:sz w:val="44"/>
          <w:szCs w:val="44"/>
        </w:rPr>
      </w:pPr>
      <w:r>
        <w:rPr>
          <w:rFonts w:hint="eastAsia" w:eastAsia="方正小标宋简体" w:cs="方正小标宋简体"/>
          <w:b w:val="0"/>
          <w:bCs/>
          <w:color w:val="000000"/>
          <w:sz w:val="44"/>
          <w:szCs w:val="44"/>
        </w:rPr>
        <w:t>珠海市电热水壶产品质量监督抽查实施细则</w:t>
      </w:r>
    </w:p>
    <w:p>
      <w:pPr>
        <w:spacing w:line="520" w:lineRule="exact"/>
        <w:ind w:firstLine="880" w:firstLineChars="200"/>
        <w:jc w:val="left"/>
        <w:rPr>
          <w:rFonts w:eastAsia="方正小标宋简体" w:cs="方正小标宋简体"/>
          <w:b w:val="0"/>
          <w:bCs/>
          <w:color w:val="000000"/>
          <w:sz w:val="44"/>
          <w:szCs w:val="44"/>
        </w:rPr>
      </w:pPr>
    </w:p>
    <w:p>
      <w:pPr>
        <w:spacing w:line="590" w:lineRule="exact"/>
        <w:ind w:firstLine="640" w:firstLineChars="200"/>
        <w:jc w:val="left"/>
        <w:rPr>
          <w:rFonts w:ascii="黑体" w:hAnsi="黑体" w:eastAsia="黑体" w:cs="黑体"/>
          <w:b w:val="0"/>
          <w:bCs/>
          <w:color w:val="000000"/>
          <w:szCs w:val="32"/>
        </w:rPr>
      </w:pPr>
      <w:r>
        <w:rPr>
          <w:rFonts w:hint="eastAsia" w:ascii="黑体" w:hAnsi="黑体" w:eastAsia="黑体" w:cs="黑体"/>
          <w:b w:val="0"/>
          <w:bCs/>
          <w:color w:val="000000"/>
          <w:szCs w:val="32"/>
        </w:rPr>
        <w:t>一、抽样方法</w:t>
      </w:r>
    </w:p>
    <w:p>
      <w:pPr>
        <w:widowControl/>
        <w:spacing w:line="600" w:lineRule="exact"/>
        <w:ind w:firstLine="640" w:firstLineChars="200"/>
        <w:jc w:val="left"/>
        <w:rPr>
          <w:rFonts w:hint="eastAsia" w:ascii="仿宋" w:hAnsi="仿宋" w:eastAsia="仿宋" w:cs="仿宋"/>
          <w:b w:val="0"/>
          <w:bCs/>
          <w:szCs w:val="32"/>
        </w:rPr>
      </w:pPr>
      <w:r>
        <w:rPr>
          <w:rFonts w:hint="eastAsia" w:ascii="仿宋" w:hAnsi="仿宋" w:eastAsia="仿宋" w:cs="仿宋"/>
          <w:b w:val="0"/>
          <w:bCs/>
          <w:kern w:val="0"/>
          <w:szCs w:val="32"/>
        </w:rPr>
        <w:t>以随机抽样的方式在被抽查市场主体的待销产品中抽取。</w:t>
      </w:r>
    </w:p>
    <w:p>
      <w:pPr>
        <w:widowControl/>
        <w:spacing w:line="600" w:lineRule="exact"/>
        <w:ind w:firstLine="640" w:firstLineChars="200"/>
        <w:jc w:val="left"/>
        <w:rPr>
          <w:rFonts w:hint="eastAsia" w:ascii="仿宋" w:hAnsi="仿宋" w:eastAsia="仿宋" w:cs="仿宋"/>
          <w:b w:val="0"/>
          <w:bCs/>
          <w:szCs w:val="32"/>
        </w:rPr>
      </w:pPr>
      <w:r>
        <w:rPr>
          <w:rFonts w:hint="eastAsia" w:ascii="仿宋" w:hAnsi="仿宋" w:eastAsia="仿宋" w:cs="仿宋"/>
          <w:b w:val="0"/>
          <w:bCs/>
          <w:color w:val="333333"/>
          <w:kern w:val="0"/>
          <w:szCs w:val="32"/>
        </w:rPr>
        <w:t>随机数一般可使用随机数表等方法产生。</w:t>
      </w:r>
    </w:p>
    <w:p>
      <w:pPr>
        <w:spacing w:line="590" w:lineRule="exact"/>
        <w:ind w:firstLine="640" w:firstLineChars="200"/>
        <w:jc w:val="left"/>
        <w:rPr>
          <w:rFonts w:hint="eastAsia" w:ascii="仿宋" w:hAnsi="仿宋" w:eastAsia="仿宋" w:cs="仿宋"/>
          <w:b w:val="0"/>
          <w:bCs/>
          <w:color w:val="000000"/>
          <w:szCs w:val="32"/>
        </w:rPr>
      </w:pPr>
      <w:r>
        <w:rPr>
          <w:rFonts w:hint="eastAsia" w:ascii="仿宋" w:hAnsi="仿宋" w:eastAsia="仿宋" w:cs="仿宋"/>
          <w:b w:val="0"/>
          <w:bCs/>
          <w:color w:val="000000"/>
          <w:szCs w:val="32"/>
        </w:rPr>
        <w:t>抽查数量：每款产品抽取2组样本，第1组用于检验，第2组用于备样。其中第1组抽取样品2</w:t>
      </w:r>
      <w:r>
        <w:rPr>
          <w:rFonts w:hint="eastAsia" w:ascii="仿宋" w:hAnsi="仿宋" w:eastAsia="仿宋" w:cs="仿宋"/>
          <w:b w:val="0"/>
          <w:bCs/>
          <w:color w:val="000000"/>
          <w:kern w:val="0"/>
          <w:szCs w:val="32"/>
        </w:rPr>
        <w:t>台</w:t>
      </w:r>
      <w:r>
        <w:rPr>
          <w:rFonts w:hint="eastAsia" w:ascii="仿宋" w:hAnsi="仿宋" w:eastAsia="仿宋" w:cs="仿宋"/>
          <w:b w:val="0"/>
          <w:bCs/>
          <w:color w:val="000000"/>
          <w:szCs w:val="32"/>
        </w:rPr>
        <w:t>，第2组抽取样品2</w:t>
      </w:r>
      <w:r>
        <w:rPr>
          <w:rFonts w:hint="eastAsia" w:ascii="仿宋" w:hAnsi="仿宋" w:eastAsia="仿宋" w:cs="仿宋"/>
          <w:b w:val="0"/>
          <w:bCs/>
          <w:color w:val="000000"/>
          <w:kern w:val="0"/>
          <w:szCs w:val="32"/>
        </w:rPr>
        <w:t>台</w:t>
      </w:r>
      <w:r>
        <w:rPr>
          <w:rFonts w:hint="eastAsia" w:ascii="仿宋" w:hAnsi="仿宋" w:eastAsia="仿宋" w:cs="仿宋"/>
          <w:b w:val="0"/>
          <w:bCs/>
          <w:color w:val="000000"/>
          <w:szCs w:val="32"/>
        </w:rPr>
        <w:t>。</w:t>
      </w:r>
    </w:p>
    <w:p>
      <w:pPr>
        <w:spacing w:line="590" w:lineRule="exact"/>
        <w:ind w:firstLine="640" w:firstLineChars="200"/>
        <w:jc w:val="left"/>
        <w:rPr>
          <w:rFonts w:ascii="黑体" w:hAnsi="黑体" w:eastAsia="黑体" w:cs="黑体"/>
          <w:b w:val="0"/>
          <w:bCs/>
          <w:color w:val="000000"/>
          <w:szCs w:val="32"/>
        </w:rPr>
      </w:pPr>
      <w:r>
        <w:rPr>
          <w:rFonts w:hint="eastAsia" w:eastAsia="黑体" w:cs="黑体"/>
          <w:b w:val="0"/>
          <w:bCs/>
          <w:color w:val="000000"/>
          <w:szCs w:val="32"/>
        </w:rPr>
        <w:t>二、主要检验项目及检验项目属性划分</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36"/>
        <w:gridCol w:w="1420"/>
        <w:gridCol w:w="2941"/>
        <w:gridCol w:w="736"/>
        <w:gridCol w:w="877"/>
        <w:gridCol w:w="736"/>
        <w:gridCol w:w="879"/>
        <w:gridCol w:w="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61"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b w:val="0"/>
                <w:bCs/>
                <w:color w:val="000000"/>
                <w:sz w:val="24"/>
              </w:rPr>
            </w:pPr>
            <w:r>
              <w:rPr>
                <w:rFonts w:hint="eastAsia" w:ascii="黑体" w:hAnsi="黑体" w:eastAsia="黑体" w:cs="黑体"/>
                <w:b w:val="0"/>
                <w:bCs/>
                <w:color w:val="000000"/>
                <w:sz w:val="24"/>
              </w:rPr>
              <w:t>序号</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b w:val="0"/>
                <w:bCs/>
                <w:color w:val="000000"/>
                <w:sz w:val="24"/>
              </w:rPr>
            </w:pPr>
            <w:r>
              <w:rPr>
                <w:rFonts w:hint="eastAsia" w:ascii="黑体" w:hAnsi="黑体" w:eastAsia="黑体" w:cs="黑体"/>
                <w:b w:val="0"/>
                <w:bCs/>
                <w:color w:val="000000"/>
                <w:sz w:val="24"/>
              </w:rPr>
              <w:t>检验项目</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b w:val="0"/>
                <w:bCs/>
                <w:color w:val="000000"/>
                <w:sz w:val="24"/>
              </w:rPr>
            </w:pPr>
            <w:r>
              <w:rPr>
                <w:rFonts w:hint="eastAsia" w:ascii="黑体" w:hAnsi="黑体" w:eastAsia="黑体" w:cs="黑体"/>
                <w:b w:val="0"/>
                <w:bCs/>
                <w:color w:val="000000"/>
                <w:sz w:val="24"/>
              </w:rPr>
              <w:t>依据法律法规或标准</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b w:val="0"/>
                <w:bCs/>
                <w:color w:val="000000"/>
                <w:sz w:val="24"/>
              </w:rPr>
            </w:pPr>
            <w:r>
              <w:rPr>
                <w:rFonts w:hint="eastAsia" w:ascii="黑体" w:hAnsi="黑体" w:eastAsia="黑体" w:cs="黑体"/>
                <w:b w:val="0"/>
                <w:bCs/>
                <w:color w:val="000000"/>
                <w:sz w:val="24"/>
              </w:rPr>
              <w:t>强制性</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b w:val="0"/>
                <w:bCs/>
                <w:color w:val="000000"/>
                <w:sz w:val="24"/>
              </w:rPr>
            </w:pPr>
            <w:r>
              <w:rPr>
                <w:rFonts w:hint="eastAsia" w:ascii="黑体" w:hAnsi="黑体" w:eastAsia="黑体" w:cs="黑体"/>
                <w:b w:val="0"/>
                <w:bCs/>
                <w:color w:val="000000"/>
                <w:sz w:val="24"/>
              </w:rPr>
              <w:t>非强制性</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b w:val="0"/>
                <w:bCs/>
                <w:color w:val="000000"/>
                <w:sz w:val="24"/>
              </w:rPr>
            </w:pPr>
            <w:r>
              <w:rPr>
                <w:rFonts w:hint="eastAsia" w:ascii="黑体" w:hAnsi="黑体" w:eastAsia="黑体" w:cs="黑体"/>
                <w:b w:val="0"/>
                <w:bCs/>
                <w:color w:val="000000"/>
                <w:sz w:val="24"/>
              </w:rPr>
              <w:t>重要项</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b w:val="0"/>
                <w:bCs/>
                <w:color w:val="000000"/>
                <w:sz w:val="24"/>
              </w:rPr>
            </w:pPr>
            <w:r>
              <w:rPr>
                <w:rFonts w:hint="eastAsia" w:ascii="黑体" w:hAnsi="黑体" w:eastAsia="黑体" w:cs="黑体"/>
                <w:b w:val="0"/>
                <w:bCs/>
                <w:color w:val="000000"/>
                <w:sz w:val="24"/>
              </w:rPr>
              <w:t>较重要项</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b w:val="0"/>
                <w:bCs/>
                <w:color w:val="000000"/>
                <w:sz w:val="24"/>
              </w:rPr>
            </w:pPr>
            <w:r>
              <w:rPr>
                <w:rFonts w:hint="eastAsia" w:ascii="黑体" w:hAnsi="黑体" w:eastAsia="黑体" w:cs="黑体"/>
                <w:b w:val="0"/>
                <w:bCs/>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标志和说明</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4706.1-2005条款7</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4706.19-2008条款7</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70"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2</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对触及带电部件的防护</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4706.1-2005条款8</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4706.19-2008条款8</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3</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输入功率和电流</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4706.1-2005条款10</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4706.19-2008条款10</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4</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发热</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4706.1-2005条款11</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4706.19-2008条款11</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5</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工作温度下的泄漏电流和电气强度</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4706.1-2005条款13</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4706.19-2008条款13</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6</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耐潮湿</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4706.1-2005条款15</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4706.19-2008条款15</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7</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泄漏电流和电气强度</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4706.1-2005条款16</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4706.19-2008条款16</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8</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非正常工作（不包括19.11.4）</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4706.1-2005条款19</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4706.19-2008条款19</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9</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稳定性和机械危险</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4706.1-2005条款20</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4706.19-2008条款20</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10</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机械强度</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4706.1-2005条款21</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4706.19-2008条款21</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11</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结构（不包括22.46（含附录R））</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4706.1-2005条款22</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4706.19-2008条款22</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12</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内部布线</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4706.1-2005条款23</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4706.19-2008条款23</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13</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电源连接及外部软线</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4706.1-2005条款25</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4706.19-2008条款25</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14</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外部导线用接线端子</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4706.1-2005条款26</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4706.19-2008条款26</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15</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接地措施</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4706.1-2005条款27</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4706.19-2008条款27</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16</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螺钉和连接</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4706.1-2005条款28</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4706.19-2008条款28</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17</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电气间隙、爬电距离和固体绝缘</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4706.1-2005条款29</w:t>
            </w:r>
          </w:p>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4706.19-2008条款29</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18</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端子骚扰电压（连续骚扰）</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4343.1-2018</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19</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骚扰功率、辐射骚扰</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4343.1-2018</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20</w:t>
            </w:r>
          </w:p>
        </w:tc>
        <w:tc>
          <w:tcPr>
            <w:tcW w:w="783"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谐波电流</w:t>
            </w:r>
          </w:p>
        </w:tc>
        <w:tc>
          <w:tcPr>
            <w:tcW w:w="162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 17625.1-2012</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06"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b w:val="0"/>
                <w:bCs/>
                <w:color w:val="000000"/>
                <w:sz w:val="24"/>
              </w:rPr>
            </w:pPr>
          </w:p>
        </w:tc>
      </w:tr>
    </w:tbl>
    <w:p>
      <w:pPr>
        <w:adjustRightInd w:val="0"/>
        <w:snapToGrid w:val="0"/>
        <w:spacing w:line="340" w:lineRule="exact"/>
        <w:ind w:firstLine="480" w:firstLineChars="200"/>
        <w:jc w:val="left"/>
        <w:rPr>
          <w:rFonts w:hint="eastAsia" w:ascii="仿宋" w:hAnsi="仿宋" w:eastAsia="仿宋" w:cs="仿宋"/>
          <w:b w:val="0"/>
          <w:bCs/>
          <w:color w:val="000000"/>
          <w:sz w:val="24"/>
        </w:rPr>
      </w:pPr>
      <w:r>
        <w:rPr>
          <w:rFonts w:hint="eastAsia" w:ascii="仿宋" w:hAnsi="仿宋" w:eastAsia="仿宋" w:cs="仿宋"/>
          <w:b w:val="0"/>
          <w:bCs/>
          <w:color w:val="000000"/>
          <w:sz w:val="24"/>
        </w:rPr>
        <w:t>注：执行企业标准、团体标准、地方标准的产品，检验项目参照上述内容执行。</w:t>
      </w:r>
    </w:p>
    <w:p>
      <w:pPr>
        <w:adjustRightInd w:val="0"/>
        <w:snapToGrid w:val="0"/>
        <w:spacing w:line="340" w:lineRule="exact"/>
        <w:ind w:firstLine="480" w:firstLineChars="200"/>
        <w:jc w:val="left"/>
        <w:rPr>
          <w:rFonts w:ascii="CESI仿宋-GB2312" w:hAnsi="CESI仿宋-GB2312" w:eastAsia="CESI仿宋-GB2312" w:cs="CESI仿宋-GB2312"/>
          <w:b w:val="0"/>
          <w:bCs/>
          <w:color w:val="000000"/>
          <w:sz w:val="24"/>
        </w:rPr>
      </w:pPr>
      <w:r>
        <w:rPr>
          <w:rFonts w:hint="eastAsia" w:ascii="仿宋" w:hAnsi="仿宋" w:eastAsia="仿宋" w:cs="仿宋"/>
          <w:b w:val="0"/>
          <w:bCs/>
          <w:color w:val="000000"/>
          <w:sz w:val="24"/>
        </w:rPr>
        <w:t>凡是注日期的文件，其随后所有的修改单（不包括勘误的内容）或修订版不适用于本细则。凡是不注日期的文件，其最新版本适用于本细则。</w:t>
      </w:r>
    </w:p>
    <w:p>
      <w:pPr>
        <w:spacing w:line="600" w:lineRule="exact"/>
        <w:ind w:firstLine="640" w:firstLineChars="200"/>
        <w:jc w:val="left"/>
        <w:rPr>
          <w:rFonts w:eastAsia="黑体" w:cs="黑体"/>
          <w:b w:val="0"/>
          <w:bCs/>
          <w:szCs w:val="32"/>
        </w:rPr>
      </w:pPr>
      <w:r>
        <w:rPr>
          <w:rFonts w:hint="eastAsia" w:eastAsia="黑体" w:cs="黑体"/>
          <w:b w:val="0"/>
          <w:bCs/>
          <w:szCs w:val="32"/>
        </w:rPr>
        <w:t>三、判定规则</w:t>
      </w:r>
    </w:p>
    <w:p>
      <w:pPr>
        <w:widowControl/>
        <w:spacing w:line="600" w:lineRule="exact"/>
        <w:ind w:firstLine="640" w:firstLineChars="200"/>
        <w:jc w:val="left"/>
        <w:rPr>
          <w:rFonts w:hint="eastAsia" w:ascii="仿宋" w:hAnsi="仿宋" w:eastAsia="仿宋" w:cs="仿宋"/>
          <w:b w:val="0"/>
          <w:bCs/>
          <w:kern w:val="0"/>
          <w:szCs w:val="32"/>
        </w:rPr>
      </w:pPr>
      <w:r>
        <w:rPr>
          <w:rFonts w:hint="eastAsia" w:ascii="仿宋" w:hAnsi="仿宋" w:eastAsia="仿宋" w:cs="仿宋"/>
          <w:b w:val="0"/>
          <w:bCs/>
          <w:kern w:val="0"/>
          <w:szCs w:val="32"/>
        </w:rPr>
        <w:t>（</w:t>
      </w:r>
      <w:r>
        <w:rPr>
          <w:rFonts w:hint="eastAsia" w:ascii="楷体_GB2312" w:hAnsi="楷体_GB2312" w:eastAsia="楷体_GB2312" w:cs="楷体_GB2312"/>
          <w:b w:val="0"/>
          <w:bCs/>
          <w:color w:val="000000"/>
          <w:spacing w:val="-4"/>
          <w:szCs w:val="32"/>
        </w:rPr>
        <w:t>一）依据标准</w:t>
      </w:r>
    </w:p>
    <w:p>
      <w:pPr>
        <w:widowControl/>
        <w:spacing w:line="600" w:lineRule="exact"/>
        <w:ind w:firstLine="640" w:firstLineChars="200"/>
        <w:jc w:val="left"/>
        <w:rPr>
          <w:rFonts w:hint="eastAsia" w:ascii="仿宋" w:hAnsi="仿宋" w:eastAsia="仿宋" w:cs="仿宋"/>
          <w:b w:val="0"/>
          <w:bCs/>
          <w:kern w:val="0"/>
          <w:szCs w:val="32"/>
        </w:rPr>
      </w:pPr>
      <w:r>
        <w:rPr>
          <w:rFonts w:hint="eastAsia" w:ascii="仿宋" w:hAnsi="仿宋" w:eastAsia="仿宋" w:cs="仿宋"/>
          <w:b w:val="0"/>
          <w:bCs/>
          <w:kern w:val="0"/>
          <w:szCs w:val="32"/>
        </w:rPr>
        <w:t>GB 4706.1-2005《家用和类似用途电器的安全 第1部分：通用要求》</w:t>
      </w:r>
    </w:p>
    <w:p>
      <w:pPr>
        <w:widowControl/>
        <w:spacing w:line="600" w:lineRule="exact"/>
        <w:ind w:firstLine="640" w:firstLineChars="200"/>
        <w:jc w:val="left"/>
        <w:rPr>
          <w:rFonts w:hint="eastAsia" w:ascii="仿宋" w:hAnsi="仿宋" w:eastAsia="仿宋" w:cs="仿宋"/>
          <w:b w:val="0"/>
          <w:bCs/>
          <w:kern w:val="0"/>
          <w:szCs w:val="32"/>
        </w:rPr>
      </w:pPr>
      <w:r>
        <w:rPr>
          <w:rFonts w:hint="eastAsia" w:ascii="仿宋" w:hAnsi="仿宋" w:eastAsia="仿宋" w:cs="仿宋"/>
          <w:b w:val="0"/>
          <w:bCs/>
          <w:kern w:val="0"/>
          <w:szCs w:val="32"/>
        </w:rPr>
        <w:t>GB 4706.19-2008《家用和类似用途电器的安全 液体加热器的特殊要求》</w:t>
      </w:r>
    </w:p>
    <w:p>
      <w:pPr>
        <w:widowControl/>
        <w:spacing w:line="600" w:lineRule="exact"/>
        <w:ind w:firstLine="640" w:firstLineChars="200"/>
        <w:jc w:val="left"/>
        <w:rPr>
          <w:rFonts w:hint="eastAsia" w:ascii="仿宋" w:hAnsi="仿宋" w:eastAsia="仿宋" w:cs="仿宋"/>
          <w:b w:val="0"/>
          <w:bCs/>
          <w:kern w:val="0"/>
          <w:szCs w:val="32"/>
        </w:rPr>
      </w:pPr>
      <w:r>
        <w:rPr>
          <w:rFonts w:hint="eastAsia" w:ascii="仿宋" w:hAnsi="仿宋" w:eastAsia="仿宋" w:cs="仿宋"/>
          <w:b w:val="0"/>
          <w:bCs/>
          <w:kern w:val="0"/>
          <w:szCs w:val="32"/>
        </w:rPr>
        <w:t>GB 4343.1-2018《家用电器、电动工具和类似器具的电磁兼容要求 第1部分：发射》</w:t>
      </w:r>
    </w:p>
    <w:p>
      <w:pPr>
        <w:widowControl/>
        <w:spacing w:line="600" w:lineRule="exact"/>
        <w:ind w:firstLine="640" w:firstLineChars="200"/>
        <w:jc w:val="left"/>
        <w:rPr>
          <w:rFonts w:hint="eastAsia" w:ascii="仿宋" w:hAnsi="仿宋" w:eastAsia="仿宋" w:cs="仿宋"/>
          <w:b w:val="0"/>
          <w:bCs/>
          <w:kern w:val="0"/>
          <w:szCs w:val="32"/>
        </w:rPr>
      </w:pPr>
      <w:r>
        <w:rPr>
          <w:rFonts w:hint="eastAsia" w:ascii="仿宋" w:hAnsi="仿宋" w:eastAsia="仿宋" w:cs="仿宋"/>
          <w:b w:val="0"/>
          <w:bCs/>
          <w:kern w:val="0"/>
          <w:szCs w:val="32"/>
        </w:rPr>
        <w:t>GB 17625.1-2012《电磁兼容 限值 谐波电流发射限值(设备每相输入电流≤16A)》</w:t>
      </w:r>
    </w:p>
    <w:p>
      <w:pPr>
        <w:widowControl/>
        <w:spacing w:line="600" w:lineRule="exact"/>
        <w:ind w:firstLine="640" w:firstLineChars="200"/>
        <w:jc w:val="left"/>
        <w:rPr>
          <w:rFonts w:hint="eastAsia" w:ascii="仿宋" w:hAnsi="仿宋" w:eastAsia="仿宋" w:cs="仿宋"/>
          <w:b w:val="0"/>
          <w:bCs/>
          <w:kern w:val="0"/>
          <w:szCs w:val="32"/>
        </w:rPr>
      </w:pPr>
      <w:r>
        <w:rPr>
          <w:rFonts w:hint="eastAsia" w:ascii="仿宋" w:hAnsi="仿宋" w:eastAsia="仿宋" w:cs="仿宋"/>
          <w:b w:val="0"/>
          <w:bCs/>
          <w:kern w:val="0"/>
          <w:szCs w:val="32"/>
        </w:rPr>
        <w:t>现行有效的企业标准、团体标准、地方标准及产品明示质量要求。</w:t>
      </w:r>
    </w:p>
    <w:p>
      <w:pPr>
        <w:spacing w:line="578" w:lineRule="exact"/>
        <w:ind w:firstLine="624" w:firstLineChars="200"/>
        <w:jc w:val="left"/>
        <w:rPr>
          <w:rFonts w:hint="eastAsia" w:ascii="楷体_GB2312" w:hAnsi="楷体_GB2312" w:eastAsia="楷体_GB2312" w:cs="楷体_GB2312"/>
          <w:b w:val="0"/>
          <w:bCs/>
          <w:color w:val="000000"/>
          <w:spacing w:val="-4"/>
          <w:szCs w:val="32"/>
        </w:rPr>
      </w:pPr>
      <w:r>
        <w:rPr>
          <w:rFonts w:hint="eastAsia" w:ascii="楷体_GB2312" w:hAnsi="楷体_GB2312" w:eastAsia="楷体_GB2312" w:cs="楷体_GB2312"/>
          <w:b w:val="0"/>
          <w:bCs/>
          <w:color w:val="000000"/>
          <w:spacing w:val="-4"/>
          <w:szCs w:val="32"/>
        </w:rPr>
        <w:t>（二）判定原则</w:t>
      </w:r>
    </w:p>
    <w:p>
      <w:pPr>
        <w:widowControl/>
        <w:spacing w:line="600" w:lineRule="exact"/>
        <w:ind w:firstLine="640" w:firstLineChars="200"/>
        <w:jc w:val="left"/>
        <w:rPr>
          <w:rFonts w:hint="eastAsia" w:ascii="仿宋" w:hAnsi="仿宋" w:eastAsia="仿宋" w:cs="仿宋"/>
          <w:b w:val="0"/>
          <w:bCs/>
          <w:kern w:val="0"/>
          <w:szCs w:val="32"/>
        </w:rPr>
      </w:pPr>
      <w:r>
        <w:rPr>
          <w:rFonts w:hint="eastAsia" w:ascii="仿宋" w:hAnsi="仿宋" w:eastAsia="仿宋" w:cs="仿宋"/>
          <w:b w:val="0"/>
          <w:bCs/>
          <w:kern w:val="0"/>
          <w:szCs w:val="32"/>
        </w:rPr>
        <w:t>经检验，检验项目全部合格，判定为抽取的样本所检项目未检出不合格；检验项目中任一项或一项以上不合格，判定为被抽查产品不合格。</w:t>
      </w:r>
    </w:p>
    <w:p>
      <w:pPr>
        <w:widowControl/>
        <w:spacing w:line="600" w:lineRule="exact"/>
        <w:ind w:firstLine="640" w:firstLineChars="200"/>
        <w:jc w:val="left"/>
        <w:rPr>
          <w:rFonts w:hint="eastAsia" w:ascii="仿宋" w:hAnsi="仿宋" w:eastAsia="仿宋" w:cs="仿宋"/>
          <w:b w:val="0"/>
          <w:bCs/>
          <w:kern w:val="0"/>
          <w:szCs w:val="32"/>
        </w:rPr>
      </w:pPr>
      <w:r>
        <w:rPr>
          <w:rFonts w:hint="eastAsia" w:ascii="仿宋" w:hAnsi="仿宋" w:eastAsia="仿宋" w:cs="仿宋"/>
          <w:b w:val="0"/>
          <w:bCs/>
          <w:kern w:val="0"/>
          <w:szCs w:val="32"/>
        </w:rPr>
        <w:t>当被检样品明示的质量要求优于监督抽查实施细则中依据的标准要求时，应按被检样品明示的质量要求判定；</w:t>
      </w:r>
    </w:p>
    <w:p>
      <w:pPr>
        <w:widowControl/>
        <w:spacing w:line="600" w:lineRule="exact"/>
        <w:ind w:firstLine="640" w:firstLineChars="200"/>
        <w:jc w:val="left"/>
        <w:rPr>
          <w:rFonts w:hint="eastAsia" w:ascii="仿宋" w:hAnsi="仿宋" w:eastAsia="仿宋" w:cs="仿宋"/>
          <w:b w:val="0"/>
          <w:bCs/>
          <w:kern w:val="0"/>
          <w:szCs w:val="32"/>
        </w:rPr>
      </w:pPr>
      <w:r>
        <w:rPr>
          <w:rFonts w:hint="eastAsia" w:ascii="仿宋" w:hAnsi="仿宋" w:eastAsia="仿宋" w:cs="仿宋"/>
          <w:b w:val="0"/>
          <w:bCs/>
          <w:kern w:val="0"/>
          <w:szCs w:val="32"/>
        </w:rPr>
        <w:t>当被检样品明示的质量要求劣于或不包含监督抽查实施细则中依据的强制性标准要求时，应按照强制性标准要求判定；</w:t>
      </w:r>
    </w:p>
    <w:p>
      <w:pPr>
        <w:widowControl/>
        <w:spacing w:line="600" w:lineRule="exact"/>
        <w:ind w:firstLine="640" w:firstLineChars="200"/>
        <w:jc w:val="left"/>
        <w:rPr>
          <w:rFonts w:hint="eastAsia" w:ascii="仿宋" w:hAnsi="仿宋" w:eastAsia="仿宋" w:cs="仿宋"/>
          <w:b w:val="0"/>
          <w:bCs/>
          <w:kern w:val="0"/>
          <w:szCs w:val="32"/>
        </w:rPr>
      </w:pPr>
      <w:bookmarkStart w:id="0" w:name="_GoBack"/>
      <w:bookmarkEnd w:id="0"/>
      <w:r>
        <w:rPr>
          <w:rFonts w:hint="eastAsia" w:ascii="仿宋" w:hAnsi="仿宋" w:eastAsia="仿宋" w:cs="仿宋"/>
          <w:b w:val="0"/>
          <w:bCs/>
          <w:kern w:val="0"/>
          <w:szCs w:val="32"/>
        </w:rPr>
        <w:t>当被检样品未能提供有效的企业标准时，按相关国家或行业标准进行判定；</w:t>
      </w:r>
    </w:p>
    <w:p>
      <w:pPr>
        <w:widowControl/>
        <w:spacing w:line="600" w:lineRule="exact"/>
        <w:ind w:firstLine="640" w:firstLineChars="200"/>
        <w:jc w:val="left"/>
        <w:rPr>
          <w:rFonts w:hint="eastAsia" w:ascii="仿宋" w:hAnsi="仿宋" w:eastAsia="仿宋" w:cs="仿宋"/>
          <w:b w:val="0"/>
          <w:bCs/>
          <w:kern w:val="0"/>
          <w:szCs w:val="32"/>
        </w:rPr>
      </w:pPr>
      <w:r>
        <w:rPr>
          <w:rFonts w:hint="eastAsia" w:ascii="仿宋" w:hAnsi="仿宋" w:eastAsia="仿宋" w:cs="仿宋"/>
          <w:b w:val="0"/>
          <w:bCs/>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640" w:firstLineChars="200"/>
        <w:jc w:val="left"/>
        <w:rPr>
          <w:rFonts w:hint="eastAsia" w:ascii="仿宋" w:hAnsi="仿宋" w:eastAsia="仿宋" w:cs="仿宋"/>
          <w:b w:val="0"/>
          <w:bCs/>
          <w:kern w:val="0"/>
          <w:szCs w:val="32"/>
        </w:rPr>
      </w:pPr>
      <w:r>
        <w:rPr>
          <w:rFonts w:hint="eastAsia" w:ascii="仿宋" w:hAnsi="仿宋" w:eastAsia="仿宋" w:cs="仿宋"/>
          <w:b w:val="0"/>
          <w:bCs/>
          <w:kern w:val="0"/>
          <w:szCs w:val="32"/>
        </w:rPr>
        <w:t>按照产品质量相关法律法规的规定判定。</w:t>
      </w:r>
    </w:p>
    <w:p>
      <w:pPr>
        <w:widowControl/>
        <w:spacing w:line="600" w:lineRule="exact"/>
        <w:ind w:firstLine="640" w:firstLineChars="200"/>
        <w:jc w:val="left"/>
        <w:rPr>
          <w:rFonts w:hint="eastAsia" w:ascii="仿宋" w:hAnsi="仿宋" w:eastAsia="仿宋" w:cs="仿宋"/>
          <w:b w:val="0"/>
          <w:bCs/>
          <w:kern w:val="0"/>
          <w:szCs w:val="32"/>
        </w:rPr>
      </w:pPr>
      <w:r>
        <w:rPr>
          <w:rFonts w:hint="eastAsia" w:ascii="仿宋" w:hAnsi="仿宋" w:eastAsia="仿宋" w:cs="仿宋"/>
          <w:b w:val="0"/>
          <w:bCs/>
          <w:kern w:val="0"/>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仿宋-GB2312">
    <w:altName w:val="微软雅黑"/>
    <w:panose1 w:val="00000000000000000000"/>
    <w:charset w:val="86"/>
    <w:family w:val="auto"/>
    <w:pitch w:val="default"/>
    <w:sig w:usb0="00000000" w:usb1="00000000" w:usb2="00000010" w:usb3="00000000" w:csb0="0004000F"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044B"/>
    <w:rsid w:val="00103144"/>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DC2"/>
    <w:rsid w:val="003257CC"/>
    <w:rsid w:val="00331E2F"/>
    <w:rsid w:val="00342025"/>
    <w:rsid w:val="00342B64"/>
    <w:rsid w:val="00347461"/>
    <w:rsid w:val="00352CEF"/>
    <w:rsid w:val="00357BCA"/>
    <w:rsid w:val="00360DB7"/>
    <w:rsid w:val="003622FD"/>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3717F"/>
    <w:rsid w:val="0044553D"/>
    <w:rsid w:val="004464C0"/>
    <w:rsid w:val="0045524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4BF5"/>
    <w:rsid w:val="00BC333C"/>
    <w:rsid w:val="00BC351D"/>
    <w:rsid w:val="00BD0C33"/>
    <w:rsid w:val="00BD12B3"/>
    <w:rsid w:val="00BE3BFF"/>
    <w:rsid w:val="00BF15F4"/>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3ACF"/>
    <w:rsid w:val="00C950EE"/>
    <w:rsid w:val="00CA1718"/>
    <w:rsid w:val="00CA406A"/>
    <w:rsid w:val="00CA425B"/>
    <w:rsid w:val="00CA61B5"/>
    <w:rsid w:val="00CC5C02"/>
    <w:rsid w:val="00CC78CE"/>
    <w:rsid w:val="00CD6080"/>
    <w:rsid w:val="00CD6B1C"/>
    <w:rsid w:val="00CD7BCE"/>
    <w:rsid w:val="00CE2578"/>
    <w:rsid w:val="00CE6144"/>
    <w:rsid w:val="00CF4B1B"/>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41E6B"/>
    <w:rsid w:val="00E43544"/>
    <w:rsid w:val="00E44C75"/>
    <w:rsid w:val="00E454F0"/>
    <w:rsid w:val="00E55F0E"/>
    <w:rsid w:val="00E56533"/>
    <w:rsid w:val="00E5688B"/>
    <w:rsid w:val="00E62ECC"/>
    <w:rsid w:val="00E65B7D"/>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1129"/>
    <w:rsid w:val="00F775C9"/>
    <w:rsid w:val="00F823C1"/>
    <w:rsid w:val="00F827E5"/>
    <w:rsid w:val="00F87A27"/>
    <w:rsid w:val="00FA3326"/>
    <w:rsid w:val="00FA4329"/>
    <w:rsid w:val="00FA5D05"/>
    <w:rsid w:val="00FB2698"/>
    <w:rsid w:val="00FB466B"/>
    <w:rsid w:val="00FC0BE1"/>
    <w:rsid w:val="00FC4942"/>
    <w:rsid w:val="00FD6C34"/>
    <w:rsid w:val="00FE3526"/>
    <w:rsid w:val="00FF317F"/>
    <w:rsid w:val="00FF59F8"/>
    <w:rsid w:val="31D21237"/>
    <w:rsid w:val="37BFD2D9"/>
    <w:rsid w:val="426B0075"/>
    <w:rsid w:val="4D8C0B01"/>
    <w:rsid w:val="6FBF29D2"/>
    <w:rsid w:val="7C151E15"/>
    <w:rsid w:val="7E57B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321</Words>
  <Characters>1836</Characters>
  <Lines>15</Lines>
  <Paragraphs>4</Paragraphs>
  <TotalTime>222</TotalTime>
  <ScaleCrop>false</ScaleCrop>
  <LinksUpToDate>false</LinksUpToDate>
  <CharactersWithSpaces>2153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2020-07-15T02:31:00Z</dcterms:created>
  <dc:creator>微软用户</dc:creator>
  <cp:lastModifiedBy>刘赞</cp:lastModifiedBy>
  <dcterms:modified xsi:type="dcterms:W3CDTF">2023-05-10T08:34:59Z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C349227E77DD475E9498FA461095CBF3</vt:lpwstr>
  </property>
</Properties>
</file>