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Times New Roman" w:hAnsi="Times New Roman" w:eastAsia="方正小标宋简体" w:cs="Times New Roman"/>
          <w:bCs/>
          <w:sz w:val="44"/>
          <w:szCs w:val="44"/>
        </w:rPr>
      </w:pPr>
      <w:r>
        <w:rPr>
          <w:rFonts w:hint="eastAsia" w:ascii="Times New Roman" w:hAnsi="Times New Roman" w:eastAsia="方正小标宋简体" w:cs="Times New Roman"/>
          <w:bCs/>
          <w:sz w:val="44"/>
          <w:szCs w:val="44"/>
          <w:lang w:val="en-US" w:eastAsia="zh-CN"/>
        </w:rPr>
        <w:t>珠海市</w:t>
      </w:r>
      <w:r>
        <w:rPr>
          <w:rFonts w:hint="eastAsia" w:ascii="Times New Roman" w:hAnsi="Times New Roman" w:eastAsia="方正小标宋简体" w:cs="Times New Roman"/>
          <w:bCs/>
          <w:sz w:val="44"/>
          <w:szCs w:val="44"/>
        </w:rPr>
        <w:t>床上用品产品质量监督抽查实施细则</w:t>
      </w:r>
    </w:p>
    <w:p>
      <w:pPr>
        <w:spacing w:line="590" w:lineRule="exact"/>
        <w:ind w:firstLine="640" w:firstLineChars="200"/>
        <w:rPr>
          <w:rFonts w:ascii="黑体" w:hAnsi="黑体" w:eastAsia="黑体" w:cs="黑体"/>
          <w:color w:val="000000"/>
          <w:szCs w:val="32"/>
        </w:rPr>
      </w:pPr>
    </w:p>
    <w:p>
      <w:pPr>
        <w:spacing w:line="600" w:lineRule="exact"/>
        <w:ind w:firstLine="640" w:firstLineChars="200"/>
        <w:rPr>
          <w:rFonts w:ascii="黑体" w:hAnsi="黑体" w:eastAsia="黑体" w:cs="黑体"/>
          <w:szCs w:val="32"/>
        </w:rPr>
      </w:pPr>
      <w:r>
        <w:rPr>
          <w:rFonts w:hint="eastAsia" w:ascii="黑体" w:hAnsi="黑体" w:eastAsia="黑体" w:cs="黑体"/>
          <w:szCs w:val="32"/>
        </w:rPr>
        <w:t>一、抽样方法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随机数一般可使用随机数表等方法产生。</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抽查数量：每组样本抽取2组样本，第1组用于检验，第2组用于备样。每组样本需抽取样品数量如下表所示:</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0"/>
        <w:gridCol w:w="1187"/>
        <w:gridCol w:w="2460"/>
        <w:gridCol w:w="2254"/>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20"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序号</w:t>
            </w:r>
          </w:p>
        </w:tc>
        <w:tc>
          <w:tcPr>
            <w:tcW w:w="2059" w:type="pct"/>
            <w:gridSpan w:val="2"/>
            <w:shd w:val="clear" w:color="auto" w:fill="D7D7D7" w:themeFill="background1" w:themeFillShade="D8"/>
            <w:vAlign w:val="center"/>
          </w:tcPr>
          <w:p>
            <w:pPr>
              <w:adjustRightInd w:val="0"/>
              <w:snapToGrid w:val="0"/>
              <w:spacing w:line="400" w:lineRule="exact"/>
              <w:ind w:firstLine="420" w:firstLineChars="20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产品名称</w:t>
            </w:r>
          </w:p>
        </w:tc>
        <w:tc>
          <w:tcPr>
            <w:tcW w:w="1273"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第1组数量</w:t>
            </w:r>
          </w:p>
          <w:p>
            <w:pPr>
              <w:adjustRightInd w:val="0"/>
              <w:snapToGrid w:val="0"/>
              <w:spacing w:line="400" w:lineRule="exact"/>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（条/套/个）</w:t>
            </w:r>
          </w:p>
        </w:tc>
        <w:tc>
          <w:tcPr>
            <w:tcW w:w="1146"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第2组数量</w:t>
            </w:r>
          </w:p>
          <w:p>
            <w:pPr>
              <w:adjustRightInd w:val="0"/>
              <w:snapToGrid w:val="0"/>
              <w:spacing w:line="400" w:lineRule="exact"/>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（条/套/个）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20" w:type="pct"/>
            <w:vMerge w:val="restar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670" w:type="pct"/>
            <w:vMerge w:val="restar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无填充物床上用品</w:t>
            </w: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床单、被套、床罩、</w:t>
            </w:r>
          </w:p>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毛巾被</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atLeast"/>
          <w:jc w:val="center"/>
        </w:trPr>
        <w:tc>
          <w:tcPr>
            <w:tcW w:w="52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67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枕套</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52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67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毯子</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52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67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配套床上用品</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520" w:type="pct"/>
            <w:vMerge w:val="restar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670" w:type="pct"/>
            <w:vMerge w:val="restar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有填充物床上用品</w:t>
            </w: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绗缝制品</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52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67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被类</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52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670" w:type="pct"/>
            <w:vMerge w:val="continue"/>
            <w:vAlign w:val="center"/>
          </w:tcPr>
          <w:p>
            <w:pPr>
              <w:adjustRightInd w:val="0"/>
              <w:snapToGrid w:val="0"/>
              <w:spacing w:line="400" w:lineRule="exact"/>
              <w:jc w:val="center"/>
              <w:rPr>
                <w:rFonts w:hint="eastAsia" w:ascii="仿宋" w:hAnsi="仿宋" w:eastAsia="仿宋" w:cs="仿宋"/>
                <w:sz w:val="24"/>
                <w:szCs w:val="24"/>
              </w:rPr>
            </w:pPr>
          </w:p>
        </w:tc>
        <w:tc>
          <w:tcPr>
            <w:tcW w:w="1388"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枕、靠垫类产品</w:t>
            </w:r>
          </w:p>
        </w:tc>
        <w:tc>
          <w:tcPr>
            <w:tcW w:w="1273"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146" w:type="pct"/>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r>
    </w:tbl>
    <w:p>
      <w:pPr>
        <w:widowControl/>
        <w:spacing w:line="4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注：</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 1 \* GB3 </w:instrText>
      </w:r>
      <w:r>
        <w:rPr>
          <w:rFonts w:hint="eastAsia" w:ascii="仿宋" w:hAnsi="仿宋" w:eastAsia="仿宋" w:cs="仿宋"/>
          <w:sz w:val="30"/>
          <w:szCs w:val="30"/>
        </w:rPr>
        <w:fldChar w:fldCharType="separate"/>
      </w:r>
      <w:r>
        <w:rPr>
          <w:rFonts w:hint="eastAsia" w:ascii="仿宋" w:hAnsi="仿宋" w:eastAsia="仿宋" w:cs="仿宋"/>
          <w:sz w:val="30"/>
          <w:szCs w:val="30"/>
        </w:rPr>
        <w:t>①</w:t>
      </w:r>
      <w:r>
        <w:rPr>
          <w:rFonts w:hint="eastAsia" w:ascii="仿宋" w:hAnsi="仿宋" w:eastAsia="仿宋" w:cs="仿宋"/>
          <w:sz w:val="30"/>
          <w:szCs w:val="30"/>
        </w:rPr>
        <w:fldChar w:fldCharType="end"/>
      </w:r>
      <w:r>
        <w:rPr>
          <w:rFonts w:hint="eastAsia" w:ascii="仿宋" w:hAnsi="仿宋" w:eastAsia="仿宋" w:cs="仿宋"/>
          <w:sz w:val="30"/>
          <w:szCs w:val="30"/>
        </w:rPr>
        <w:t>如样品过小，或花型复杂，可适当增加抽样数量，但不得超过检验、复检的合理需要。</w:t>
      </w:r>
    </w:p>
    <w:p>
      <w:pPr>
        <w:spacing w:line="400" w:lineRule="exact"/>
        <w:ind w:left="640"/>
        <w:rPr>
          <w:rFonts w:hint="eastAsia" w:ascii="仿宋" w:hAnsi="仿宋" w:eastAsia="仿宋" w:cs="仿宋"/>
          <w:sz w:val="36"/>
          <w:szCs w:val="28"/>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 2 \* GB3 </w:instrText>
      </w:r>
      <w:r>
        <w:rPr>
          <w:rFonts w:hint="eastAsia" w:ascii="仿宋" w:hAnsi="仿宋" w:eastAsia="仿宋" w:cs="仿宋"/>
          <w:sz w:val="30"/>
          <w:szCs w:val="30"/>
        </w:rPr>
        <w:fldChar w:fldCharType="separate"/>
      </w:r>
      <w:r>
        <w:rPr>
          <w:rFonts w:hint="eastAsia" w:ascii="仿宋" w:hAnsi="仿宋" w:eastAsia="仿宋" w:cs="仿宋"/>
          <w:sz w:val="30"/>
          <w:szCs w:val="30"/>
        </w:rPr>
        <w:t>②</w:t>
      </w:r>
      <w:r>
        <w:rPr>
          <w:rFonts w:hint="eastAsia" w:ascii="仿宋" w:hAnsi="仿宋" w:eastAsia="仿宋" w:cs="仿宋"/>
          <w:sz w:val="30"/>
          <w:szCs w:val="30"/>
        </w:rPr>
        <w:fldChar w:fldCharType="end"/>
      </w:r>
      <w:r>
        <w:rPr>
          <w:rFonts w:hint="eastAsia" w:ascii="仿宋" w:hAnsi="仿宋" w:eastAsia="仿宋" w:cs="仿宋"/>
          <w:kern w:val="0"/>
          <w:sz w:val="30"/>
          <w:szCs w:val="30"/>
        </w:rPr>
        <w:t>抽取</w:t>
      </w:r>
      <w:r>
        <w:rPr>
          <w:rFonts w:hint="eastAsia" w:ascii="仿宋" w:hAnsi="仿宋" w:eastAsia="仿宋" w:cs="仿宋"/>
          <w:sz w:val="30"/>
          <w:szCs w:val="30"/>
        </w:rPr>
        <w:t>同一款式（货/款号）、同一花型和同一颜色的产品。</w:t>
      </w:r>
    </w:p>
    <w:p>
      <w:pPr>
        <w:widowControl/>
        <w:spacing w:line="600" w:lineRule="exact"/>
        <w:ind w:firstLine="640" w:firstLineChars="200"/>
        <w:rPr>
          <w:kern w:val="0"/>
          <w:szCs w:val="32"/>
        </w:rPr>
      </w:pPr>
      <w:r>
        <w:rPr>
          <w:rFonts w:hint="eastAsia" w:eastAsia="黑体" w:cs="黑体"/>
          <w:szCs w:val="32"/>
        </w:rPr>
        <w:t>二、主要检验项目及检验项目属性划分</w:t>
      </w:r>
    </w:p>
    <w:p>
      <w:pPr>
        <w:rPr>
          <w:rFonts w:hint="eastAsia" w:ascii="仿宋_GB2312" w:hAnsi="仿宋_GB2312" w:cs="仿宋_GB2312"/>
          <w:kern w:val="0"/>
          <w:szCs w:val="32"/>
        </w:rPr>
      </w:pPr>
      <w:r>
        <w:rPr>
          <w:rFonts w:hint="eastAsia" w:ascii="仿宋_GB2312" w:hAnsi="仿宋_GB2312" w:cs="仿宋_GB2312"/>
          <w:kern w:val="0"/>
          <w:szCs w:val="32"/>
        </w:rPr>
        <w:br w:type="page"/>
      </w:r>
    </w:p>
    <w:p>
      <w:pPr>
        <w:spacing w:line="620" w:lineRule="exact"/>
        <w:ind w:firstLine="640" w:firstLine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（一）无填充物床上用品</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676"/>
        <w:gridCol w:w="2381"/>
        <w:gridCol w:w="863"/>
        <w:gridCol w:w="846"/>
        <w:gridCol w:w="841"/>
        <w:gridCol w:w="884"/>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jc w:val="center"/>
        </w:trPr>
        <w:tc>
          <w:tcPr>
            <w:tcW w:w="379"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序号</w:t>
            </w:r>
          </w:p>
        </w:tc>
        <w:tc>
          <w:tcPr>
            <w:tcW w:w="925"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检验项目</w:t>
            </w:r>
          </w:p>
        </w:tc>
        <w:tc>
          <w:tcPr>
            <w:tcW w:w="1314"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检验方法</w:t>
            </w:r>
          </w:p>
        </w:tc>
        <w:tc>
          <w:tcPr>
            <w:tcW w:w="476"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强制性</w:t>
            </w:r>
          </w:p>
        </w:tc>
        <w:tc>
          <w:tcPr>
            <w:tcW w:w="467"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非强制性</w:t>
            </w:r>
          </w:p>
        </w:tc>
        <w:tc>
          <w:tcPr>
            <w:tcW w:w="464"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重要项</w:t>
            </w:r>
          </w:p>
        </w:tc>
        <w:tc>
          <w:tcPr>
            <w:tcW w:w="488"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较重要项</w:t>
            </w:r>
          </w:p>
        </w:tc>
        <w:tc>
          <w:tcPr>
            <w:tcW w:w="484"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1"/>
                <w:szCs w:val="21"/>
              </w:rPr>
            </w:pPr>
            <w:r>
              <w:rPr>
                <w:rFonts w:hint="eastAsia" w:ascii="黑体" w:hAnsi="黑体" w:eastAsia="黑体" w:cs="黑体"/>
                <w:b w:val="0"/>
                <w:bCs/>
                <w:kern w:val="0"/>
                <w:sz w:val="21"/>
                <w:szCs w:val="21"/>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1</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甲醛含量</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2912.1-2009</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pH值</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7573-2009</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925" w:type="pct"/>
            <w:vAlign w:val="center"/>
          </w:tcPr>
          <w:p>
            <w:pPr>
              <w:topLinePunct/>
              <w:adjustRightInd w:val="0"/>
              <w:snapToGrid w:val="0"/>
              <w:spacing w:line="400" w:lineRule="exact"/>
              <w:ind w:left="118" w:hanging="120" w:hangingChars="50"/>
              <w:jc w:val="center"/>
              <w:rPr>
                <w:rFonts w:hint="eastAsia" w:ascii="仿宋" w:hAnsi="仿宋" w:eastAsia="仿宋" w:cs="仿宋"/>
                <w:kern w:val="0"/>
                <w:sz w:val="24"/>
                <w:szCs w:val="24"/>
              </w:rPr>
            </w:pPr>
            <w:r>
              <w:rPr>
                <w:rFonts w:hint="eastAsia" w:ascii="仿宋" w:hAnsi="仿宋" w:eastAsia="仿宋" w:cs="仿宋"/>
                <w:kern w:val="0"/>
                <w:sz w:val="24"/>
                <w:szCs w:val="24"/>
              </w:rPr>
              <w:t>可分解致癌芳香胺染料</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17592-2011</w:t>
            </w:r>
          </w:p>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23344-2009</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耐水色牢度</w:t>
            </w:r>
          </w:p>
        </w:tc>
        <w:tc>
          <w:tcPr>
            <w:tcW w:w="1314"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5713-2013</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79" w:type="pct"/>
            <w:vAlign w:val="center"/>
          </w:tcPr>
          <w:p>
            <w:pPr>
              <w:widowControl/>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5</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耐酸汗渍色牢度</w:t>
            </w:r>
          </w:p>
        </w:tc>
        <w:tc>
          <w:tcPr>
            <w:tcW w:w="131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r>
              <w:rPr>
                <w:rFonts w:hint="eastAsia" w:ascii="仿宋" w:hAnsi="仿宋" w:eastAsia="仿宋" w:cs="仿宋"/>
                <w:kern w:val="0"/>
                <w:sz w:val="24"/>
                <w:szCs w:val="24"/>
              </w:rPr>
              <w:t>GB/T 3922-2013</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379" w:type="pct"/>
            <w:vAlign w:val="center"/>
          </w:tcPr>
          <w:p>
            <w:pPr>
              <w:widowControl/>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6</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耐碱汗渍色牢度</w:t>
            </w:r>
          </w:p>
        </w:tc>
        <w:tc>
          <w:tcPr>
            <w:tcW w:w="131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r>
              <w:rPr>
                <w:rFonts w:hint="eastAsia" w:ascii="仿宋" w:hAnsi="仿宋" w:eastAsia="仿宋" w:cs="仿宋"/>
                <w:kern w:val="0"/>
                <w:sz w:val="24"/>
                <w:szCs w:val="24"/>
              </w:rPr>
              <w:t>GB/T 3922-2013</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c>
          <w:tcPr>
            <w:tcW w:w="46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ind w:right="-229"/>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79" w:type="pct"/>
            <w:vAlign w:val="center"/>
          </w:tcPr>
          <w:p>
            <w:pPr>
              <w:widowControl/>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7</w:t>
            </w:r>
          </w:p>
        </w:tc>
        <w:tc>
          <w:tcPr>
            <w:tcW w:w="925"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耐干摩擦色牢度</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3920-2008</w:t>
            </w:r>
          </w:p>
        </w:tc>
        <w:tc>
          <w:tcPr>
            <w:tcW w:w="476"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adjustRightInd w:val="0"/>
              <w:snapToGrid w:val="0"/>
              <w:spacing w:line="400" w:lineRule="exact"/>
              <w:jc w:val="center"/>
              <w:rPr>
                <w:rFonts w:hint="eastAsia" w:ascii="仿宋" w:hAnsi="仿宋" w:eastAsia="仿宋" w:cs="仿宋"/>
                <w:kern w:val="0"/>
                <w:sz w:val="24"/>
                <w:szCs w:val="24"/>
              </w:rPr>
            </w:pPr>
          </w:p>
        </w:tc>
        <w:tc>
          <w:tcPr>
            <w:tcW w:w="464" w:type="pct"/>
            <w:vAlign w:val="center"/>
          </w:tcPr>
          <w:p>
            <w:pPr>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379" w:type="pct"/>
            <w:vAlign w:val="center"/>
          </w:tcPr>
          <w:p>
            <w:pPr>
              <w:widowControl/>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8</w:t>
            </w:r>
          </w:p>
        </w:tc>
        <w:tc>
          <w:tcPr>
            <w:tcW w:w="925"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耐湿摩擦色牢度</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3920-2008</w:t>
            </w:r>
          </w:p>
        </w:tc>
        <w:tc>
          <w:tcPr>
            <w:tcW w:w="476"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7"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4" w:type="pct"/>
            <w:vAlign w:val="center"/>
          </w:tcPr>
          <w:p>
            <w:pPr>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9</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断裂强力</w:t>
            </w:r>
          </w:p>
        </w:tc>
        <w:tc>
          <w:tcPr>
            <w:tcW w:w="1314"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3923.1-2013</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顶破强力</w:t>
            </w:r>
          </w:p>
        </w:tc>
        <w:tc>
          <w:tcPr>
            <w:tcW w:w="1314"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19976-2005</w:t>
            </w:r>
          </w:p>
        </w:tc>
        <w:tc>
          <w:tcPr>
            <w:tcW w:w="476"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67"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topLinePunct/>
              <w:adjustRightInd w:val="0"/>
              <w:snapToGrid w:val="0"/>
              <w:spacing w:line="4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9" w:type="pct"/>
            <w:vAlign w:val="center"/>
          </w:tcPr>
          <w:p>
            <w:pPr>
              <w:adjustRightInd w:val="0"/>
              <w:snapToGrid w:val="0"/>
              <w:spacing w:line="40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11</w:t>
            </w:r>
          </w:p>
        </w:tc>
        <w:tc>
          <w:tcPr>
            <w:tcW w:w="925" w:type="pct"/>
            <w:vAlign w:val="center"/>
          </w:tcPr>
          <w:p>
            <w:pPr>
              <w:topLinePunct/>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纤维含量</w:t>
            </w:r>
          </w:p>
        </w:tc>
        <w:tc>
          <w:tcPr>
            <w:tcW w:w="1314"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01057.1-2007</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01057.2-2007</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01057.3-2007</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01057.4-2007</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2910.2-2009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2910.3-2009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2910.4-2009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2910.4-2022</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2910.5-2009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2910.6-2009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2910.7-2009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2910.8-2009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2910.9-2009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2910.10-2009</w:t>
            </w:r>
          </w:p>
          <w:p>
            <w:pPr>
              <w:adjustRightInd w:val="0"/>
              <w:snapToGrid w:val="0"/>
              <w:spacing w:line="400" w:lineRule="exact"/>
              <w:rPr>
                <w:rFonts w:hint="eastAsia" w:ascii="仿宋" w:hAnsi="仿宋" w:eastAsia="仿宋" w:cs="仿宋"/>
                <w:kern w:val="0"/>
                <w:sz w:val="24"/>
                <w:szCs w:val="24"/>
              </w:rPr>
            </w:pPr>
            <w:r>
              <w:rPr>
                <w:rFonts w:hint="eastAsia" w:ascii="仿宋" w:hAnsi="仿宋" w:eastAsia="仿宋" w:cs="仿宋"/>
                <w:kern w:val="0"/>
                <w:sz w:val="24"/>
                <w:szCs w:val="24"/>
              </w:rPr>
              <w:t>GB/T2910.11-2009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GB/T2910.12-2009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2910.13-2009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2910.14-2009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2910.15-2009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2910.16-2009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2910.17-2009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GB/T2910.18-2009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2910.19-2009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GB/T2910.20-2009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2910.21-2009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GB/T2910.22-2009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2910.23-2009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2910.24-2009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2910.101-2009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01101-2008</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01112-2012</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01026-2017</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01095-2002</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GB/T 38015-2019</w:t>
            </w:r>
          </w:p>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FZ/T 30003-2009</w:t>
            </w:r>
          </w:p>
          <w:p>
            <w:pPr>
              <w:snapToGrid w:val="0"/>
              <w:spacing w:line="400" w:lineRule="exact"/>
              <w:jc w:val="center"/>
              <w:rPr>
                <w:rFonts w:hint="eastAsia" w:ascii="仿宋" w:hAnsi="仿宋" w:eastAsia="仿宋" w:cs="仿宋"/>
                <w:sz w:val="24"/>
                <w:szCs w:val="24"/>
              </w:rPr>
            </w:pPr>
            <w:r>
              <w:rPr>
                <w:rFonts w:hint="eastAsia" w:ascii="仿宋" w:hAnsi="仿宋" w:eastAsia="仿宋" w:cs="仿宋"/>
                <w:kern w:val="0"/>
                <w:sz w:val="24"/>
                <w:szCs w:val="24"/>
              </w:rPr>
              <w:t>GB/T 16988-2013</w:t>
            </w:r>
          </w:p>
        </w:tc>
        <w:tc>
          <w:tcPr>
            <w:tcW w:w="476" w:type="pct"/>
            <w:vAlign w:val="center"/>
          </w:tcPr>
          <w:p>
            <w:pPr>
              <w:adjustRightInd w:val="0"/>
              <w:snapToGrid w:val="0"/>
              <w:spacing w:line="400" w:lineRule="exact"/>
              <w:jc w:val="center"/>
              <w:rPr>
                <w:rFonts w:hint="eastAsia" w:ascii="仿宋" w:hAnsi="仿宋" w:eastAsia="仿宋" w:cs="仿宋"/>
                <w:kern w:val="0"/>
                <w:sz w:val="24"/>
                <w:szCs w:val="24"/>
              </w:rPr>
            </w:pPr>
          </w:p>
        </w:tc>
        <w:tc>
          <w:tcPr>
            <w:tcW w:w="467"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64" w:type="pct"/>
            <w:vAlign w:val="center"/>
          </w:tcPr>
          <w:p>
            <w:pPr>
              <w:adjustRightInd w:val="0"/>
              <w:snapToGrid w:val="0"/>
              <w:spacing w:line="400" w:lineRule="exact"/>
              <w:jc w:val="center"/>
              <w:rPr>
                <w:rFonts w:hint="eastAsia" w:ascii="仿宋" w:hAnsi="仿宋" w:eastAsia="仿宋" w:cs="仿宋"/>
                <w:kern w:val="0"/>
                <w:sz w:val="24"/>
                <w:szCs w:val="24"/>
              </w:rPr>
            </w:pPr>
          </w:p>
        </w:tc>
        <w:tc>
          <w:tcPr>
            <w:tcW w:w="488" w:type="pct"/>
            <w:vAlign w:val="center"/>
          </w:tcPr>
          <w:p>
            <w:pPr>
              <w:adjustRightInd w:val="0"/>
              <w:snapToGrid w:val="0"/>
              <w:spacing w:line="40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84" w:type="pct"/>
            <w:vAlign w:val="center"/>
          </w:tcPr>
          <w:p>
            <w:pPr>
              <w:adjustRightInd w:val="0"/>
              <w:snapToGrid w:val="0"/>
              <w:spacing w:line="400" w:lineRule="exact"/>
              <w:jc w:val="center"/>
              <w:rPr>
                <w:rFonts w:hint="eastAsia" w:ascii="仿宋" w:hAnsi="仿宋" w:eastAsia="仿宋" w:cs="仿宋"/>
                <w:kern w:val="0"/>
                <w:sz w:val="24"/>
                <w:szCs w:val="24"/>
              </w:rPr>
            </w:pPr>
          </w:p>
        </w:tc>
      </w:tr>
    </w:tbl>
    <w:p>
      <w:pPr>
        <w:spacing w:line="620" w:lineRule="exact"/>
        <w:ind w:firstLine="320" w:firstLineChars="1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（二）有填充物床上用品</w:t>
      </w:r>
    </w:p>
    <w:tbl>
      <w:tblPr>
        <w:tblStyle w:val="7"/>
        <w:tblW w:w="5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26"/>
        <w:gridCol w:w="2774"/>
        <w:gridCol w:w="788"/>
        <w:gridCol w:w="806"/>
        <w:gridCol w:w="750"/>
        <w:gridCol w:w="713"/>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jc w:val="center"/>
        </w:trPr>
        <w:tc>
          <w:tcPr>
            <w:tcW w:w="436"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序号</w:t>
            </w:r>
          </w:p>
        </w:tc>
        <w:tc>
          <w:tcPr>
            <w:tcW w:w="995"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检验项目</w:t>
            </w:r>
          </w:p>
        </w:tc>
        <w:tc>
          <w:tcPr>
            <w:tcW w:w="1512" w:type="pct"/>
            <w:shd w:val="clear" w:color="auto" w:fill="D7D7D7" w:themeFill="background1" w:themeFillShade="D8"/>
            <w:vAlign w:val="center"/>
          </w:tcPr>
          <w:p>
            <w:pPr>
              <w:adjustRightInd w:val="0"/>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检验方法</w:t>
            </w:r>
          </w:p>
        </w:tc>
        <w:tc>
          <w:tcPr>
            <w:tcW w:w="429"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强制性</w:t>
            </w:r>
          </w:p>
        </w:tc>
        <w:tc>
          <w:tcPr>
            <w:tcW w:w="439"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非强制性</w:t>
            </w:r>
          </w:p>
        </w:tc>
        <w:tc>
          <w:tcPr>
            <w:tcW w:w="409"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重要项</w:t>
            </w:r>
          </w:p>
        </w:tc>
        <w:tc>
          <w:tcPr>
            <w:tcW w:w="388"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较重要项</w:t>
            </w:r>
          </w:p>
        </w:tc>
        <w:tc>
          <w:tcPr>
            <w:tcW w:w="387" w:type="pct"/>
            <w:shd w:val="clear" w:color="auto" w:fill="D7D7D7" w:themeFill="background1" w:themeFillShade="D8"/>
            <w:vAlign w:val="center"/>
          </w:tcPr>
          <w:p>
            <w:pPr>
              <w:snapToGrid w:val="0"/>
              <w:spacing w:line="400" w:lineRule="exact"/>
              <w:jc w:val="center"/>
              <w:rPr>
                <w:rFonts w:hint="eastAsia" w:ascii="黑体" w:hAnsi="黑体" w:eastAsia="黑体" w:cs="黑体"/>
                <w:b w:val="0"/>
                <w:bCs/>
                <w:kern w:val="0"/>
                <w:sz w:val="24"/>
              </w:rPr>
            </w:pPr>
            <w:r>
              <w:rPr>
                <w:rFonts w:hint="eastAsia" w:ascii="黑体" w:hAnsi="黑体" w:eastAsia="黑体" w:cs="黑体"/>
                <w:b w:val="0"/>
                <w:bCs/>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1</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甲醛含量</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2912.1-2009</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2</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pH值</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7573-2009</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3</w:t>
            </w:r>
          </w:p>
        </w:tc>
        <w:tc>
          <w:tcPr>
            <w:tcW w:w="995" w:type="pct"/>
            <w:vAlign w:val="center"/>
          </w:tcPr>
          <w:p>
            <w:pPr>
              <w:topLinePunct/>
              <w:adjustRightInd w:val="0"/>
              <w:snapToGrid w:val="0"/>
              <w:spacing w:line="400" w:lineRule="exact"/>
              <w:ind w:left="118" w:hanging="120" w:hangingChars="50"/>
              <w:jc w:val="center"/>
              <w:rPr>
                <w:rFonts w:hint="eastAsia" w:ascii="仿宋" w:hAnsi="仿宋" w:eastAsia="仿宋" w:cs="仿宋"/>
                <w:kern w:val="0"/>
                <w:sz w:val="24"/>
              </w:rPr>
            </w:pPr>
            <w:r>
              <w:rPr>
                <w:rFonts w:hint="eastAsia" w:ascii="仿宋" w:hAnsi="仿宋" w:eastAsia="仿宋" w:cs="仿宋"/>
                <w:kern w:val="0"/>
                <w:sz w:val="24"/>
              </w:rPr>
              <w:t>可分解致癌芳香胺染料</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17592-2011</w:t>
            </w:r>
          </w:p>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23344-2009</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4</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耐水色牢度</w:t>
            </w:r>
          </w:p>
        </w:tc>
        <w:tc>
          <w:tcPr>
            <w:tcW w:w="1512"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5713-2013</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widowControl/>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5</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耐酸汗渍色牢度</w:t>
            </w:r>
          </w:p>
        </w:tc>
        <w:tc>
          <w:tcPr>
            <w:tcW w:w="1512" w:type="pct"/>
            <w:vAlign w:val="center"/>
          </w:tcPr>
          <w:p>
            <w:pPr>
              <w:topLinePunct/>
              <w:adjustRightInd w:val="0"/>
              <w:snapToGrid w:val="0"/>
              <w:spacing w:line="400" w:lineRule="exact"/>
              <w:ind w:right="-229"/>
              <w:jc w:val="center"/>
              <w:rPr>
                <w:rFonts w:hint="eastAsia" w:ascii="仿宋" w:hAnsi="仿宋" w:eastAsia="仿宋" w:cs="仿宋"/>
                <w:kern w:val="0"/>
                <w:sz w:val="24"/>
              </w:rPr>
            </w:pPr>
            <w:r>
              <w:rPr>
                <w:rFonts w:hint="eastAsia" w:ascii="仿宋" w:hAnsi="仿宋" w:eastAsia="仿宋" w:cs="仿宋"/>
                <w:kern w:val="0"/>
                <w:sz w:val="24"/>
              </w:rPr>
              <w:t>GB/T 3922-2013</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ind w:right="-229"/>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widowControl/>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6</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耐碱汗渍色牢度</w:t>
            </w:r>
          </w:p>
        </w:tc>
        <w:tc>
          <w:tcPr>
            <w:tcW w:w="1512" w:type="pct"/>
            <w:vAlign w:val="center"/>
          </w:tcPr>
          <w:p>
            <w:pPr>
              <w:topLinePunct/>
              <w:adjustRightInd w:val="0"/>
              <w:snapToGrid w:val="0"/>
              <w:spacing w:line="400" w:lineRule="exact"/>
              <w:ind w:right="-229"/>
              <w:jc w:val="center"/>
              <w:rPr>
                <w:rFonts w:hint="eastAsia" w:ascii="仿宋" w:hAnsi="仿宋" w:eastAsia="仿宋" w:cs="仿宋"/>
                <w:kern w:val="0"/>
                <w:sz w:val="24"/>
              </w:rPr>
            </w:pPr>
            <w:r>
              <w:rPr>
                <w:rFonts w:hint="eastAsia" w:ascii="仿宋" w:hAnsi="仿宋" w:eastAsia="仿宋" w:cs="仿宋"/>
                <w:kern w:val="0"/>
                <w:sz w:val="24"/>
              </w:rPr>
              <w:t>GB/T 3922-2013</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c>
          <w:tcPr>
            <w:tcW w:w="409"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ind w:right="-229"/>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ind w:right="-229"/>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widowControl/>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7</w:t>
            </w:r>
          </w:p>
        </w:tc>
        <w:tc>
          <w:tcPr>
            <w:tcW w:w="995"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耐干摩擦色牢度</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3920-2008</w:t>
            </w:r>
          </w:p>
        </w:tc>
        <w:tc>
          <w:tcPr>
            <w:tcW w:w="42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adjustRightInd w:val="0"/>
              <w:snapToGrid w:val="0"/>
              <w:spacing w:line="400" w:lineRule="exact"/>
              <w:jc w:val="center"/>
              <w:rPr>
                <w:rFonts w:hint="eastAsia" w:ascii="仿宋" w:hAnsi="仿宋" w:eastAsia="仿宋" w:cs="仿宋"/>
                <w:kern w:val="0"/>
                <w:sz w:val="24"/>
              </w:rPr>
            </w:pPr>
          </w:p>
        </w:tc>
        <w:tc>
          <w:tcPr>
            <w:tcW w:w="409" w:type="pct"/>
            <w:vAlign w:val="center"/>
          </w:tcPr>
          <w:p>
            <w:pPr>
              <w:adjustRightInd w:val="0"/>
              <w:snapToGrid w:val="0"/>
              <w:spacing w:line="400" w:lineRule="exact"/>
              <w:jc w:val="center"/>
              <w:rPr>
                <w:rFonts w:hint="eastAsia" w:ascii="仿宋" w:hAnsi="仿宋" w:eastAsia="仿宋" w:cs="仿宋"/>
                <w:kern w:val="0"/>
                <w:sz w:val="24"/>
              </w:rPr>
            </w:pPr>
          </w:p>
        </w:tc>
        <w:tc>
          <w:tcPr>
            <w:tcW w:w="388"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widowControl/>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8</w:t>
            </w:r>
          </w:p>
        </w:tc>
        <w:tc>
          <w:tcPr>
            <w:tcW w:w="995"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耐湿摩擦色牢度</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3920-2008</w:t>
            </w:r>
          </w:p>
        </w:tc>
        <w:tc>
          <w:tcPr>
            <w:tcW w:w="42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3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adjustRightInd w:val="0"/>
              <w:snapToGrid w:val="0"/>
              <w:spacing w:line="400" w:lineRule="exact"/>
              <w:jc w:val="center"/>
              <w:rPr>
                <w:rFonts w:hint="eastAsia" w:ascii="仿宋" w:hAnsi="仿宋" w:eastAsia="仿宋" w:cs="仿宋"/>
                <w:kern w:val="0"/>
                <w:sz w:val="24"/>
              </w:rPr>
            </w:pPr>
          </w:p>
        </w:tc>
        <w:tc>
          <w:tcPr>
            <w:tcW w:w="388"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9</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断裂强力</w:t>
            </w:r>
          </w:p>
        </w:tc>
        <w:tc>
          <w:tcPr>
            <w:tcW w:w="1512"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3923.1-2013</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10</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顶破强力</w:t>
            </w:r>
          </w:p>
        </w:tc>
        <w:tc>
          <w:tcPr>
            <w:tcW w:w="1512"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19976-2005</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11</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填充物品质要求</w:t>
            </w:r>
          </w:p>
        </w:tc>
        <w:tc>
          <w:tcPr>
            <w:tcW w:w="1512"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sz w:val="24"/>
              </w:rPr>
              <w:t>GB/T 24252-2019</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12</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绒子含量</w:t>
            </w:r>
          </w:p>
        </w:tc>
        <w:tc>
          <w:tcPr>
            <w:tcW w:w="1512"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10288-2003</w:t>
            </w:r>
          </w:p>
        </w:tc>
        <w:tc>
          <w:tcPr>
            <w:tcW w:w="42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439"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topLinePunct/>
              <w:adjustRightInd w:val="0"/>
              <w:snapToGrid w:val="0"/>
              <w:spacing w:line="400" w:lineRule="exact"/>
              <w:jc w:val="center"/>
              <w:rPr>
                <w:rFonts w:hint="eastAsia" w:ascii="仿宋" w:hAnsi="仿宋" w:eastAsia="仿宋" w:cs="仿宋"/>
                <w:kern w:val="0"/>
                <w:sz w:val="24"/>
              </w:rPr>
            </w:pPr>
          </w:p>
        </w:tc>
        <w:tc>
          <w:tcPr>
            <w:tcW w:w="388"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topLinePunct/>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13</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鸭毛（绒）含量</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10288-2003</w:t>
            </w:r>
          </w:p>
        </w:tc>
        <w:tc>
          <w:tcPr>
            <w:tcW w:w="429" w:type="pct"/>
            <w:vAlign w:val="center"/>
          </w:tcPr>
          <w:p>
            <w:pPr>
              <w:adjustRightInd w:val="0"/>
              <w:snapToGrid w:val="0"/>
              <w:spacing w:line="400" w:lineRule="exact"/>
              <w:jc w:val="center"/>
              <w:rPr>
                <w:rFonts w:hint="eastAsia" w:ascii="仿宋" w:hAnsi="仿宋" w:eastAsia="仿宋" w:cs="仿宋"/>
                <w:kern w:val="0"/>
                <w:sz w:val="24"/>
              </w:rPr>
            </w:pPr>
          </w:p>
        </w:tc>
        <w:tc>
          <w:tcPr>
            <w:tcW w:w="43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adjustRightInd w:val="0"/>
              <w:snapToGrid w:val="0"/>
              <w:spacing w:line="400" w:lineRule="exact"/>
              <w:jc w:val="center"/>
              <w:rPr>
                <w:rFonts w:hint="eastAsia" w:ascii="仿宋" w:hAnsi="仿宋" w:eastAsia="仿宋" w:cs="仿宋"/>
                <w:kern w:val="0"/>
                <w:sz w:val="24"/>
              </w:rPr>
            </w:pPr>
          </w:p>
        </w:tc>
        <w:tc>
          <w:tcPr>
            <w:tcW w:w="388"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14</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耗氧量</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10288-2003</w:t>
            </w:r>
          </w:p>
        </w:tc>
        <w:tc>
          <w:tcPr>
            <w:tcW w:w="429" w:type="pct"/>
            <w:vAlign w:val="center"/>
          </w:tcPr>
          <w:p>
            <w:pPr>
              <w:adjustRightInd w:val="0"/>
              <w:snapToGrid w:val="0"/>
              <w:spacing w:line="400" w:lineRule="exact"/>
              <w:jc w:val="center"/>
              <w:rPr>
                <w:rFonts w:hint="eastAsia" w:ascii="仿宋" w:hAnsi="仿宋" w:eastAsia="仿宋" w:cs="仿宋"/>
                <w:kern w:val="0"/>
                <w:sz w:val="24"/>
              </w:rPr>
            </w:pPr>
          </w:p>
        </w:tc>
        <w:tc>
          <w:tcPr>
            <w:tcW w:w="43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adjustRightInd w:val="0"/>
              <w:snapToGrid w:val="0"/>
              <w:spacing w:line="400" w:lineRule="exact"/>
              <w:jc w:val="center"/>
              <w:rPr>
                <w:rFonts w:hint="eastAsia" w:ascii="仿宋" w:hAnsi="仿宋" w:eastAsia="仿宋" w:cs="仿宋"/>
                <w:kern w:val="0"/>
                <w:sz w:val="24"/>
              </w:rPr>
            </w:pPr>
          </w:p>
        </w:tc>
        <w:tc>
          <w:tcPr>
            <w:tcW w:w="388"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adjustRightInd w:val="0"/>
              <w:snapToGrid w:val="0"/>
              <w:spacing w:line="400" w:lineRule="exact"/>
              <w:jc w:val="center"/>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6" w:type="pct"/>
            <w:vAlign w:val="center"/>
          </w:tcPr>
          <w:p>
            <w:pPr>
              <w:adjustRightInd w:val="0"/>
              <w:snapToGrid w:val="0"/>
              <w:spacing w:line="40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15</w:t>
            </w:r>
          </w:p>
        </w:tc>
        <w:tc>
          <w:tcPr>
            <w:tcW w:w="995" w:type="pct"/>
            <w:vAlign w:val="center"/>
          </w:tcPr>
          <w:p>
            <w:pPr>
              <w:topLinePunct/>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纤维含量</w:t>
            </w:r>
          </w:p>
        </w:tc>
        <w:tc>
          <w:tcPr>
            <w:tcW w:w="1512"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01057.1-2007</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01057.2-2007</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01057.3-2007</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01057.4-2007</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2910.2-2009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2910.3-2009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2910.4-2009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2910.4-2022</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2910.5-2009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2910.6-2009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2910.7-2009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2910.8-2009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2910.9-2009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2910.10-2009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GB/T2910.11-2009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GB/T2910.12-2009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2910.13-2009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2910.14-2009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2910.15-2009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2910.16-2009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2910.17-2009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GB/T2910.18-2009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2910.19-2009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GB/T2910.20-2009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2910.21-2009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GB/T2910.22-2009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2910.23-2009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2910.24-2009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2910.101-2009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01101-2008</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01112-2012</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01026-2017</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01095-2002</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GB/T 38015-2019</w:t>
            </w:r>
          </w:p>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FZ/T 30003-2009</w:t>
            </w:r>
          </w:p>
          <w:p>
            <w:pPr>
              <w:snapToGrid w:val="0"/>
              <w:spacing w:line="400" w:lineRule="exact"/>
              <w:jc w:val="center"/>
              <w:rPr>
                <w:rFonts w:hint="eastAsia" w:ascii="仿宋" w:hAnsi="仿宋" w:eastAsia="仿宋" w:cs="仿宋"/>
                <w:sz w:val="24"/>
              </w:rPr>
            </w:pPr>
            <w:r>
              <w:rPr>
                <w:rFonts w:hint="eastAsia" w:ascii="仿宋" w:hAnsi="仿宋" w:eastAsia="仿宋" w:cs="仿宋"/>
                <w:kern w:val="0"/>
                <w:sz w:val="24"/>
              </w:rPr>
              <w:t>GB/T 16988-2013</w:t>
            </w:r>
          </w:p>
        </w:tc>
        <w:tc>
          <w:tcPr>
            <w:tcW w:w="429" w:type="pct"/>
            <w:vAlign w:val="center"/>
          </w:tcPr>
          <w:p>
            <w:pPr>
              <w:adjustRightInd w:val="0"/>
              <w:snapToGrid w:val="0"/>
              <w:spacing w:line="400" w:lineRule="exact"/>
              <w:jc w:val="center"/>
              <w:rPr>
                <w:rFonts w:hint="eastAsia" w:ascii="仿宋" w:hAnsi="仿宋" w:eastAsia="仿宋" w:cs="仿宋"/>
                <w:kern w:val="0"/>
                <w:sz w:val="24"/>
              </w:rPr>
            </w:pPr>
          </w:p>
        </w:tc>
        <w:tc>
          <w:tcPr>
            <w:tcW w:w="439"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409" w:type="pct"/>
            <w:vAlign w:val="center"/>
          </w:tcPr>
          <w:p>
            <w:pPr>
              <w:adjustRightInd w:val="0"/>
              <w:snapToGrid w:val="0"/>
              <w:spacing w:line="400" w:lineRule="exact"/>
              <w:jc w:val="center"/>
              <w:rPr>
                <w:rFonts w:hint="eastAsia" w:ascii="仿宋" w:hAnsi="仿宋" w:eastAsia="仿宋" w:cs="仿宋"/>
                <w:kern w:val="0"/>
                <w:sz w:val="24"/>
              </w:rPr>
            </w:pPr>
          </w:p>
        </w:tc>
        <w:tc>
          <w:tcPr>
            <w:tcW w:w="388" w:type="pct"/>
            <w:vAlign w:val="center"/>
          </w:tcPr>
          <w:p>
            <w:pPr>
              <w:adjustRightInd w:val="0"/>
              <w:snapToGrid w:val="0"/>
              <w:spacing w:line="400" w:lineRule="exact"/>
              <w:jc w:val="center"/>
              <w:rPr>
                <w:rFonts w:hint="eastAsia" w:ascii="仿宋" w:hAnsi="仿宋" w:eastAsia="仿宋" w:cs="仿宋"/>
                <w:kern w:val="0"/>
                <w:sz w:val="24"/>
              </w:rPr>
            </w:pPr>
            <w:r>
              <w:rPr>
                <w:rFonts w:hint="eastAsia" w:ascii="仿宋" w:hAnsi="仿宋" w:eastAsia="仿宋" w:cs="仿宋"/>
                <w:kern w:val="0"/>
                <w:sz w:val="24"/>
              </w:rPr>
              <w:t>●</w:t>
            </w:r>
          </w:p>
        </w:tc>
        <w:tc>
          <w:tcPr>
            <w:tcW w:w="387" w:type="pct"/>
            <w:vAlign w:val="center"/>
          </w:tcPr>
          <w:p>
            <w:pPr>
              <w:adjustRightInd w:val="0"/>
              <w:snapToGrid w:val="0"/>
              <w:spacing w:line="400" w:lineRule="exact"/>
              <w:jc w:val="center"/>
              <w:rPr>
                <w:rFonts w:hint="eastAsia" w:ascii="仿宋" w:hAnsi="仿宋" w:eastAsia="仿宋" w:cs="仿宋"/>
                <w:kern w:val="0"/>
                <w:sz w:val="24"/>
              </w:rPr>
            </w:pPr>
          </w:p>
        </w:tc>
      </w:tr>
    </w:tbl>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t>备注：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1 \* GB3 </w:instrText>
      </w:r>
      <w:r>
        <w:rPr>
          <w:rFonts w:hint="eastAsia" w:ascii="仿宋" w:hAnsi="仿宋" w:eastAsia="仿宋" w:cs="仿宋"/>
          <w:sz w:val="28"/>
          <w:szCs w:val="28"/>
        </w:rPr>
        <w:fldChar w:fldCharType="separate"/>
      </w:r>
      <w:r>
        <w:rPr>
          <w:rFonts w:hint="eastAsia" w:ascii="仿宋" w:hAnsi="仿宋" w:eastAsia="仿宋" w:cs="仿宋"/>
          <w:sz w:val="28"/>
          <w:szCs w:val="28"/>
        </w:rPr>
        <w:t>①</w:t>
      </w:r>
      <w:r>
        <w:rPr>
          <w:rFonts w:hint="eastAsia" w:ascii="仿宋" w:hAnsi="仿宋" w:eastAsia="仿宋" w:cs="仿宋"/>
          <w:sz w:val="28"/>
          <w:szCs w:val="28"/>
        </w:rPr>
        <w:fldChar w:fldCharType="end"/>
      </w:r>
      <w:r>
        <w:rPr>
          <w:rFonts w:hint="eastAsia" w:ascii="仿宋" w:hAnsi="仿宋" w:eastAsia="仿宋" w:cs="仿宋"/>
          <w:sz w:val="28"/>
          <w:szCs w:val="28"/>
        </w:rPr>
        <w:t>考虑到样品存在的不均匀性和检验的可靠性，样品中检测出微量其他纤维（未明示）时，如果其他纤维（未明示）的含量≤1%，或样品明示含微量其他纤维而未检出时，该微量其他纤维不计入总量进行判定。</w:t>
      </w:r>
    </w:p>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2 \* GB3 </w:instrText>
      </w:r>
      <w:r>
        <w:rPr>
          <w:rFonts w:hint="eastAsia" w:ascii="仿宋" w:hAnsi="仿宋" w:eastAsia="仿宋" w:cs="仿宋"/>
          <w:sz w:val="28"/>
          <w:szCs w:val="28"/>
        </w:rPr>
        <w:fldChar w:fldCharType="separate"/>
      </w:r>
      <w:r>
        <w:rPr>
          <w:rFonts w:hint="eastAsia" w:ascii="仿宋" w:hAnsi="仿宋" w:eastAsia="仿宋" w:cs="仿宋"/>
          <w:sz w:val="28"/>
          <w:szCs w:val="28"/>
        </w:rPr>
        <w:t>②</w:t>
      </w:r>
      <w:r>
        <w:rPr>
          <w:rFonts w:hint="eastAsia" w:ascii="仿宋" w:hAnsi="仿宋" w:eastAsia="仿宋" w:cs="仿宋"/>
          <w:sz w:val="28"/>
          <w:szCs w:val="28"/>
        </w:rPr>
        <w:fldChar w:fldCharType="end"/>
      </w:r>
      <w:r>
        <w:rPr>
          <w:rFonts w:hint="eastAsia" w:ascii="仿宋" w:hAnsi="仿宋" w:eastAsia="仿宋" w:cs="仿宋"/>
          <w:sz w:val="28"/>
          <w:szCs w:val="28"/>
        </w:rPr>
        <w:t>色牢度试验采用单纤维贴衬，产品标准另有规定的，按产品标准执行。针织产品耐摩擦色牢度只考核直向。</w:t>
      </w:r>
    </w:p>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3 \* GB3 </w:instrText>
      </w:r>
      <w:r>
        <w:rPr>
          <w:rFonts w:hint="eastAsia" w:ascii="仿宋" w:hAnsi="仿宋" w:eastAsia="仿宋" w:cs="仿宋"/>
          <w:sz w:val="28"/>
          <w:szCs w:val="28"/>
        </w:rPr>
        <w:fldChar w:fldCharType="separate"/>
      </w:r>
      <w:r>
        <w:rPr>
          <w:rFonts w:hint="eastAsia" w:ascii="仿宋" w:hAnsi="仿宋" w:eastAsia="仿宋" w:cs="仿宋"/>
          <w:sz w:val="28"/>
          <w:szCs w:val="28"/>
        </w:rPr>
        <w:t>③</w:t>
      </w:r>
      <w:r>
        <w:rPr>
          <w:rFonts w:hint="eastAsia" w:ascii="仿宋" w:hAnsi="仿宋" w:eastAsia="仿宋" w:cs="仿宋"/>
          <w:sz w:val="28"/>
          <w:szCs w:val="28"/>
        </w:rPr>
        <w:fldChar w:fldCharType="end"/>
      </w:r>
      <w:r>
        <w:rPr>
          <w:rFonts w:hint="eastAsia" w:ascii="仿宋" w:hAnsi="仿宋" w:eastAsia="仿宋" w:cs="仿宋"/>
          <w:sz w:val="28"/>
          <w:szCs w:val="28"/>
        </w:rPr>
        <w:t>本色及漂白产品不考核色牢度、可分解致癌芳香胺染料。</w:t>
      </w:r>
    </w:p>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pH 值的测定用0.1 mol/L 氯化钾溶液作为萃取介质。</w:t>
      </w:r>
    </w:p>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5 \* GB3 </w:instrText>
      </w:r>
      <w:r>
        <w:rPr>
          <w:rFonts w:hint="eastAsia" w:ascii="仿宋" w:hAnsi="仿宋" w:eastAsia="仿宋" w:cs="仿宋"/>
          <w:sz w:val="28"/>
          <w:szCs w:val="28"/>
        </w:rPr>
        <w:fldChar w:fldCharType="separate"/>
      </w:r>
      <w:r>
        <w:rPr>
          <w:rFonts w:hint="eastAsia" w:ascii="仿宋" w:hAnsi="仿宋" w:eastAsia="仿宋" w:cs="仿宋"/>
          <w:sz w:val="28"/>
          <w:szCs w:val="28"/>
        </w:rPr>
        <w:t>⑤</w:t>
      </w:r>
      <w:r>
        <w:rPr>
          <w:rFonts w:hint="eastAsia" w:ascii="仿宋" w:hAnsi="仿宋" w:eastAsia="仿宋" w:cs="仿宋"/>
          <w:sz w:val="28"/>
          <w:szCs w:val="28"/>
        </w:rPr>
        <w:fldChar w:fldCharType="end"/>
      </w:r>
      <w:r>
        <w:rPr>
          <w:rFonts w:hint="eastAsia" w:ascii="仿宋" w:hAnsi="仿宋" w:eastAsia="仿宋" w:cs="仿宋"/>
          <w:sz w:val="28"/>
          <w:szCs w:val="28"/>
        </w:rPr>
        <w:t>鸭毛（绒）含量项目只考核明示填充物为鹅毛（绒）的产品。</w:t>
      </w:r>
    </w:p>
    <w:p>
      <w:pPr>
        <w:adjustRightInd w:val="0"/>
        <w:snapToGrid w:val="0"/>
        <w:spacing w:line="420" w:lineRule="exact"/>
        <w:ind w:left="12" w:firstLine="554" w:firstLineChars="19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6 \* GB3 </w:instrText>
      </w:r>
      <w:r>
        <w:rPr>
          <w:rFonts w:hint="eastAsia" w:ascii="仿宋" w:hAnsi="仿宋" w:eastAsia="仿宋" w:cs="仿宋"/>
          <w:sz w:val="28"/>
          <w:szCs w:val="28"/>
        </w:rPr>
        <w:fldChar w:fldCharType="separate"/>
      </w:r>
      <w:r>
        <w:rPr>
          <w:rFonts w:hint="eastAsia" w:ascii="仿宋" w:hAnsi="仿宋" w:eastAsia="仿宋" w:cs="仿宋"/>
          <w:sz w:val="28"/>
          <w:szCs w:val="28"/>
        </w:rPr>
        <w:t>⑥</w:t>
      </w:r>
      <w:r>
        <w:rPr>
          <w:rFonts w:hint="eastAsia" w:ascii="仿宋" w:hAnsi="仿宋" w:eastAsia="仿宋" w:cs="仿宋"/>
          <w:sz w:val="28"/>
          <w:szCs w:val="28"/>
        </w:rPr>
        <w:fldChar w:fldCharType="end"/>
      </w:r>
      <w:r>
        <w:rPr>
          <w:rFonts w:hint="eastAsia" w:ascii="仿宋" w:hAnsi="仿宋" w:eastAsia="仿宋" w:cs="仿宋"/>
          <w:sz w:val="28"/>
          <w:szCs w:val="28"/>
        </w:rPr>
        <w:t>有填充物床上用品项目</w:t>
      </w:r>
      <w:r>
        <w:rPr>
          <w:rFonts w:hint="eastAsia" w:ascii="仿宋" w:hAnsi="仿宋" w:eastAsia="仿宋" w:cs="仿宋"/>
          <w:sz w:val="28"/>
          <w:szCs w:val="28"/>
          <w:lang w:val="en-US" w:eastAsia="zh-CN"/>
        </w:rPr>
        <w:t>11</w:t>
      </w:r>
      <w:r>
        <w:rPr>
          <w:rFonts w:hint="eastAsia" w:ascii="仿宋" w:hAnsi="仿宋" w:eastAsia="仿宋" w:cs="仿宋"/>
          <w:sz w:val="28"/>
          <w:szCs w:val="28"/>
        </w:rPr>
        <w:t>仅考核蚕丝被产品，项目1</w:t>
      </w:r>
      <w:r>
        <w:rPr>
          <w:rFonts w:hint="eastAsia" w:ascii="仿宋" w:hAnsi="仿宋" w:eastAsia="仿宋" w:cs="仿宋"/>
          <w:sz w:val="28"/>
          <w:szCs w:val="28"/>
          <w:lang w:val="en-US" w:eastAsia="zh-CN"/>
        </w:rPr>
        <w:t>2</w:t>
      </w: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仅考核羽毛羽绒填充物。</w:t>
      </w:r>
    </w:p>
    <w:p>
      <w:pPr>
        <w:adjustRightInd w:val="0"/>
        <w:snapToGrid w:val="0"/>
        <w:spacing w:line="420" w:lineRule="exact"/>
        <w:ind w:left="12" w:firstLine="554" w:firstLineChars="198"/>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7 \* GB3 </w:instrText>
      </w:r>
      <w:r>
        <w:rPr>
          <w:rFonts w:hint="eastAsia" w:ascii="仿宋" w:hAnsi="仿宋" w:eastAsia="仿宋" w:cs="仿宋"/>
          <w:sz w:val="28"/>
          <w:szCs w:val="28"/>
        </w:rPr>
        <w:fldChar w:fldCharType="separate"/>
      </w:r>
      <w:r>
        <w:rPr>
          <w:rFonts w:hint="eastAsia" w:ascii="仿宋" w:hAnsi="仿宋" w:eastAsia="仿宋" w:cs="仿宋"/>
          <w:sz w:val="28"/>
          <w:szCs w:val="28"/>
        </w:rPr>
        <w:t>⑦</w:t>
      </w:r>
      <w:r>
        <w:rPr>
          <w:rFonts w:hint="eastAsia" w:ascii="仿宋" w:hAnsi="仿宋" w:eastAsia="仿宋" w:cs="仿宋"/>
          <w:sz w:val="28"/>
          <w:szCs w:val="28"/>
        </w:rPr>
        <w:fldChar w:fldCharType="end"/>
      </w:r>
      <w:r>
        <w:rPr>
          <w:rFonts w:hint="eastAsia" w:ascii="仿宋" w:hAnsi="仿宋" w:eastAsia="仿宋" w:cs="仿宋"/>
          <w:sz w:val="28"/>
          <w:szCs w:val="28"/>
        </w:rPr>
        <w:t>产品未标注产品标准，标注产品标准不正确，或者无法获得明示的有效企业标准时，检测纤维含量以及强制性标准相关项目。</w:t>
      </w:r>
    </w:p>
    <w:p>
      <w:pPr>
        <w:widowControl/>
        <w:snapToGrid w:val="0"/>
        <w:spacing w:line="4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8 \* GB3 </w:instrText>
      </w:r>
      <w:r>
        <w:rPr>
          <w:rFonts w:hint="eastAsia" w:ascii="仿宋" w:hAnsi="仿宋" w:eastAsia="仿宋" w:cs="仿宋"/>
          <w:sz w:val="28"/>
          <w:szCs w:val="28"/>
        </w:rPr>
        <w:fldChar w:fldCharType="separate"/>
      </w:r>
      <w:r>
        <w:rPr>
          <w:rFonts w:hint="eastAsia" w:ascii="仿宋" w:hAnsi="仿宋" w:eastAsia="仿宋" w:cs="仿宋"/>
          <w:sz w:val="28"/>
          <w:szCs w:val="28"/>
        </w:rPr>
        <w:t>⑧</w:t>
      </w:r>
      <w:r>
        <w:rPr>
          <w:rFonts w:hint="eastAsia" w:ascii="仿宋" w:hAnsi="仿宋" w:eastAsia="仿宋" w:cs="仿宋"/>
          <w:sz w:val="28"/>
          <w:szCs w:val="28"/>
        </w:rPr>
        <w:fldChar w:fldCharType="end"/>
      </w:r>
      <w:r>
        <w:rPr>
          <w:rFonts w:hint="eastAsia" w:ascii="仿宋" w:hAnsi="仿宋" w:eastAsia="仿宋" w:cs="仿宋"/>
          <w:sz w:val="28"/>
          <w:szCs w:val="28"/>
        </w:rPr>
        <w:t>只检测产品相应标准中有考核要求的项目。</w:t>
      </w:r>
    </w:p>
    <w:p>
      <w:pPr>
        <w:adjustRightInd w:val="0"/>
        <w:snapToGrid w:val="0"/>
        <w:spacing w:line="420" w:lineRule="exact"/>
        <w:ind w:left="12" w:firstLine="554" w:firstLineChars="198"/>
        <w:rPr>
          <w:rFonts w:hint="eastAsia" w:ascii="仿宋" w:hAnsi="仿宋" w:eastAsia="仿宋" w:cs="仿宋"/>
          <w:sz w:val="28"/>
          <w:szCs w:val="28"/>
        </w:rPr>
      </w:pPr>
      <w:r>
        <w:rPr>
          <w:rFonts w:hint="eastAsia" w:ascii="仿宋" w:hAnsi="仿宋" w:eastAsia="仿宋" w:cs="仿宋"/>
          <w:sz w:val="28"/>
          <w:szCs w:val="28"/>
        </w:rPr>
        <w:t>⑨儿童及婴幼儿纺织品耐湿摩擦色牢度为强制性项目，其余产品耐湿摩擦色牢度为非强制性项目。</w:t>
      </w:r>
    </w:p>
    <w:p>
      <w:pPr>
        <w:widowControl/>
        <w:snapToGrid w:val="0"/>
        <w:spacing w:line="4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注：执行企业标准、团体标准、地方标准的产品，检验项目参照上述内容执行。</w:t>
      </w:r>
    </w:p>
    <w:p>
      <w:pPr>
        <w:adjustRightInd w:val="0"/>
        <w:snapToGrid w:val="0"/>
        <w:spacing w:line="420" w:lineRule="exact"/>
        <w:ind w:firstLine="560" w:firstLineChars="200"/>
        <w:rPr>
          <w:rFonts w:ascii="仿宋_GB2312"/>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pPr>
        <w:spacing w:line="600" w:lineRule="exact"/>
        <w:ind w:firstLine="640" w:firstLineChars="200"/>
        <w:rPr>
          <w:rFonts w:eastAsia="黑体" w:cs="黑体"/>
          <w:szCs w:val="32"/>
        </w:rPr>
      </w:pPr>
      <w:r>
        <w:rPr>
          <w:rFonts w:hint="eastAsia" w:eastAsia="黑体" w:cs="黑体"/>
          <w:szCs w:val="32"/>
        </w:rPr>
        <w:t>三、判定规则</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left"/>
        <w:textAlignment w:val="auto"/>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1.强制性标准：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 18401-2010《国家纺织产品基本安全技术规范》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 31701-2015《婴幼儿及儿童纺织产品安全技术规范》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2.推荐性标准：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22796-2021《床上用品》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22796-2009《被、被套》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22797-2009《床单》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22843-2009《枕、垫类产品》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22844-2009《配套床上用品》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22864-2020《毛巾》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24252-2019《蚕丝被》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32605-2016《羊毛、羊绒被》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34003-2011《亚麻床上用品》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61001-2019《纯毛、毛混纺毛毯》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61002-2019《化纤仿毛毛毯》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61004-2017《拉舍尔毛毯》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61005-2015《线毯》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62016-2009《无捻毛巾》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62027-2015《磨毛面料床单》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62028-2015《针织床单》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62030-2015《磨毛面料被套》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62031-2015《针织被套》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62033-2016《超细纤维毛巾》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62037-2017《灯芯绒被套》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62038-2017《灯芯绒床单》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FZ/T 81005-2017《绗缝制品》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QB/T 1193-2012《羽绒羽毛被》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 xml:space="preserve">QB/T 1194-2012《羽绒羽毛床垫》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QB/T 1195-2012《羽绒羽毛睡袋》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QB/T 1196-2012《羽绒羽毛枕、垫》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GB/T 29862-2013《纺织品 纤维含量的标识》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left"/>
        <w:textAlignment w:val="auto"/>
        <w:rPr>
          <w:rFonts w:hint="eastAsia" w:ascii="仿宋" w:hAnsi="仿宋" w:eastAsia="仿宋" w:cs="仿宋"/>
          <w:kern w:val="0"/>
          <w:szCs w:val="32"/>
        </w:rPr>
      </w:pPr>
      <w:bookmarkStart w:id="0" w:name="_GoBack"/>
      <w:r>
        <w:rPr>
          <w:rFonts w:hint="eastAsia" w:ascii="楷体_GB2312" w:hAnsi="楷体_GB2312" w:eastAsia="楷体_GB2312" w:cs="楷体_GB2312"/>
          <w:kern w:val="0"/>
          <w:szCs w:val="32"/>
        </w:rPr>
        <w:t>（二）判定原则</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经检验，检验项目全部合</w:t>
      </w:r>
      <w:r>
        <w:rPr>
          <w:rFonts w:hint="eastAsia" w:ascii="仿宋" w:hAnsi="仿宋" w:eastAsia="仿宋" w:cs="仿宋"/>
          <w:color w:val="auto"/>
          <w:szCs w:val="32"/>
        </w:rPr>
        <w:t>格，</w:t>
      </w:r>
      <w:r>
        <w:rPr>
          <w:rFonts w:hint="eastAsia" w:ascii="仿宋" w:hAnsi="仿宋" w:eastAsia="仿宋" w:cs="仿宋"/>
          <w:color w:val="auto"/>
          <w:kern w:val="0"/>
        </w:rPr>
        <w:t>判定为被抽查产品所检项目未发现不合格</w:t>
      </w:r>
      <w:r>
        <w:rPr>
          <w:rFonts w:hint="eastAsia" w:ascii="仿宋" w:hAnsi="仿宋" w:eastAsia="仿宋" w:cs="仿宋"/>
          <w:color w:val="auto"/>
          <w:szCs w:val="32"/>
        </w:rPr>
        <w:t>；检验项目中任一项</w:t>
      </w:r>
      <w:r>
        <w:rPr>
          <w:rFonts w:hint="eastAsia" w:ascii="仿宋" w:hAnsi="仿宋" w:eastAsia="仿宋" w:cs="仿宋"/>
          <w:szCs w:val="32"/>
        </w:rPr>
        <w:t>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当被检样品明示的质量要求优于监督抽查实施细则中依据的标准要求时，应按被检样品明示的质量要求判定；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当被检样品明示的质量要求劣于或不包含监督抽查实施细则中依据的强制性标准要求时，应按照强制性标准要求判定；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当被检样品明示的质量要求不包含监督抽查实施细则中依据的推荐性标准要求时，该指标不参与判定，但应在检验报告中作出说明；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当被检样品未能提供有效的企业标准时，按相关国家或行业标准进行判定；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按照产品质量相关法律法规的规定判定。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检验中发现因样品失效或者其他原因致使检验无法进行的，检验人员应如实记录，并提供相关证明材料，报送组织监督抽查的市场监管部门。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pPr>
    </w:p>
    <w:sectPr>
      <w:headerReference r:id="rId3" w:type="default"/>
      <w:footerReference r:id="rId4" w:type="default"/>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120"/>
      <w:jc w:val="right"/>
    </w:pPr>
    <w:r>
      <mc:AlternateContent>
        <mc:Choice Requires="wps">
          <w:drawing>
            <wp:anchor distT="0" distB="0" distL="114300" distR="114300" simplePos="0" relativeHeight="251659264" behindDoc="0" locked="0" layoutInCell="1" allowOverlap="1">
              <wp:simplePos x="0" y="0"/>
              <wp:positionH relativeFrom="margin">
                <wp:posOffset>4573905</wp:posOffset>
              </wp:positionH>
              <wp:positionV relativeFrom="paragraph">
                <wp:posOffset>-53340</wp:posOffset>
              </wp:positionV>
              <wp:extent cx="1075690"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75690" cy="190500"/>
                      </a:xfrm>
                      <a:prstGeom prst="rect">
                        <a:avLst/>
                      </a:prstGeom>
                      <a:noFill/>
                      <a:ln>
                        <a:noFill/>
                      </a:ln>
                      <a:effectLst/>
                    </wps:spPr>
                    <wps:txbx>
                      <w:txbxContent>
                        <w:p>
                          <w:pPr>
                            <w:pStyle w:val="4"/>
                            <w:spacing w:line="300" w:lineRule="exact"/>
                            <w:ind w:right="374" w:rightChars="117" w:firstLine="338" w:firstLineChars="121"/>
                            <w:jc w:val="center"/>
                            <w:rPr>
                              <w:rFonts w:eastAsia="仿宋_GB2312"/>
                            </w:rPr>
                          </w:pPr>
                          <w:r>
                            <w:rPr>
                              <w:rFonts w:hint="eastAsia" w:ascii="宋体" w:hAnsi="宋体" w:cs="宋体"/>
                              <w:sz w:val="28"/>
                              <w:szCs w:val="28"/>
                            </w:rPr>
                            <w:t xml:space="preserve">— </w:t>
                          </w:r>
                          <w:r>
                            <w:rPr>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9"/>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left:360.15pt;margin-top:-4.2pt;height:15pt;width:84.7pt;mso-position-horizontal-relative:margin;mso-wrap-style:none;z-index:251659264;mso-width-relative:page;mso-height-relative:page;" filled="f" stroked="f" coordsize="21600,21600" o:gfxdata="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PrAg1QAAAAkBAAAPAAAAAAAAAAEAIAAAACIA&#10;AABkcnMvZG93bnJldi54bWxQSwECFAAUAAAACACHTuJABIUK/9MBAACmAwAADgAAAAAAAAABACAA&#10;AAAkAQAAZHJzL2Uyb0RvYy54bWxQSwUGAAAAAAYABgBZAQAAaQUAAAAA&#10;">
              <v:fill on="f" focussize="0,0"/>
              <v:stroke on="f"/>
              <v:imagedata o:title=""/>
              <o:lock v:ext="edit" aspectratio="f"/>
              <v:textbox inset="0mm,0mm,0mm,0mm" style="mso-fit-shape-to-text:t;">
                <w:txbxContent>
                  <w:p>
                    <w:pPr>
                      <w:pStyle w:val="4"/>
                      <w:spacing w:line="300" w:lineRule="exact"/>
                      <w:ind w:right="374" w:rightChars="117" w:firstLine="338" w:firstLineChars="121"/>
                      <w:jc w:val="center"/>
                      <w:rPr>
                        <w:rFonts w:eastAsia="仿宋_GB2312"/>
                      </w:rPr>
                    </w:pPr>
                    <w:r>
                      <w:rPr>
                        <w:rFonts w:hint="eastAsia" w:ascii="宋体" w:hAnsi="宋体" w:cs="宋体"/>
                        <w:sz w:val="28"/>
                        <w:szCs w:val="28"/>
                      </w:rPr>
                      <w:t xml:space="preserve">— </w:t>
                    </w:r>
                    <w:r>
                      <w:rPr>
                        <w:rFonts w:hint="eastAsia" w:ascii="宋体" w:hAnsi="宋体" w:cs="宋体"/>
                        <w:sz w:val="28"/>
                        <w:szCs w:val="28"/>
                      </w:rPr>
                      <w:fldChar w:fldCharType="begin"/>
                    </w:r>
                    <w:r>
                      <w:rPr>
                        <w:rStyle w:val="9"/>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9"/>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000000"/>
    <w:rsid w:val="01115D4A"/>
    <w:rsid w:val="055E6E53"/>
    <w:rsid w:val="109A294A"/>
    <w:rsid w:val="10CE0A00"/>
    <w:rsid w:val="114C04A7"/>
    <w:rsid w:val="20CA2B04"/>
    <w:rsid w:val="20D34603"/>
    <w:rsid w:val="2EF44200"/>
    <w:rsid w:val="406B5446"/>
    <w:rsid w:val="45DB525C"/>
    <w:rsid w:val="4B3F45FD"/>
    <w:rsid w:val="4D725F92"/>
    <w:rsid w:val="4FE540C0"/>
    <w:rsid w:val="53E34983"/>
    <w:rsid w:val="5A1C4A79"/>
    <w:rsid w:val="627A05BE"/>
    <w:rsid w:val="660A528E"/>
    <w:rsid w:val="6F835619"/>
    <w:rsid w:val="7A205C73"/>
    <w:rsid w:val="EFDF5D2C"/>
    <w:rsid w:val="F6BB34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qFormat/>
    <w:uiPriority w:val="0"/>
    <w:pPr>
      <w:widowControl w:val="0"/>
      <w:jc w:val="both"/>
    </w:pPr>
    <w:rPr>
      <w:rFonts w:ascii="宋体" w:hAnsi="Courier New" w:eastAsia="仿宋_GB2312" w:cs="宋体"/>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6">
    <w:name w:val="Normal (Web)"/>
    <w:qFormat/>
    <w:uiPriority w:val="0"/>
    <w:pPr>
      <w:widowControl w:val="0"/>
      <w:spacing w:before="100" w:beforeAutospacing="1" w:after="100" w:afterAutospacing="1"/>
      <w:jc w:val="left"/>
    </w:pPr>
    <w:rPr>
      <w:rFonts w:ascii="Calibri" w:hAnsi="Calibri" w:eastAsia="宋体" w:cs="Times New Roman"/>
      <w:kern w:val="0"/>
      <w:sz w:val="24"/>
      <w:szCs w:val="24"/>
      <w:lang w:val="en-US" w:eastAsia="zh-CN" w:bidi="ar-SA"/>
    </w:rPr>
  </w:style>
  <w:style w:type="character" w:styleId="9">
    <w:name w:val="page number"/>
    <w:basedOn w:val="8"/>
    <w:qFormat/>
    <w:uiPriority w:val="0"/>
  </w:style>
  <w:style w:type="paragraph" w:customStyle="1" w:styleId="10">
    <w:name w:val="列出段落2"/>
    <w:unhideWhenUsed/>
    <w:qFormat/>
    <w:uiPriority w:val="99"/>
    <w:pPr>
      <w:widowControl w:val="0"/>
      <w:ind w:firstLine="420" w:firstLineChars="200"/>
      <w:jc w:val="both"/>
    </w:pPr>
    <w:rPr>
      <w:rFonts w:ascii="Times New Roman" w:hAnsi="Times New Roman" w:eastAsia="仿宋_GB2312" w:cs="Times New Roman"/>
      <w:kern w:val="2"/>
      <w:sz w:val="30"/>
      <w:szCs w:val="24"/>
      <w:lang w:val="en-US" w:eastAsia="zh-CN" w:bidi="ar-SA"/>
    </w:rPr>
  </w:style>
  <w:style w:type="paragraph" w:styleId="11">
    <w:name w:val="List Paragraph"/>
    <w:qFormat/>
    <w:uiPriority w:val="34"/>
    <w:pPr>
      <w:widowControl w:val="0"/>
      <w:ind w:firstLine="420" w:firstLineChars="200"/>
      <w:jc w:val="both"/>
    </w:pPr>
    <w:rPr>
      <w:rFonts w:ascii="Times New Roman" w:hAnsi="Times New Roman" w:eastAsia="仿宋_GB2312" w:cs="Times New Roman"/>
      <w:kern w:val="2"/>
      <w:sz w:val="30"/>
      <w:szCs w:val="24"/>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3">
    <w:name w:val="Table Paragraph"/>
    <w:qFormat/>
    <w:uiPriority w:val="99"/>
    <w:pPr>
      <w:widowControl w:val="0"/>
      <w:jc w:val="both"/>
    </w:pPr>
    <w:rPr>
      <w:rFonts w:ascii="Times New Roman" w:hAnsi="Times New Roman" w:eastAsia="仿宋_GB2312"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2130</Words>
  <Characters>3809</Characters>
  <Lines>0</Lines>
  <Paragraphs>0</Paragraphs>
  <TotalTime>15</TotalTime>
  <ScaleCrop>false</ScaleCrop>
  <LinksUpToDate>false</LinksUpToDate>
  <CharactersWithSpaces>3936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gdqts</dc:creator>
  <cp:lastModifiedBy>刘赞</cp:lastModifiedBy>
  <dcterms:modified xsi:type="dcterms:W3CDTF">2023-05-10T07:06:47Z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3AF89CE830F5421BAE298988FC7DAF51_12</vt:lpwstr>
  </property>
</Properties>
</file>