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8" w:lineRule="exact"/>
        <w:jc w:val="center"/>
        <w:rPr>
          <w:rFonts w:eastAsia="方正小标宋简体" w:cs="方正小标宋简体"/>
          <w:bCs/>
          <w:sz w:val="44"/>
          <w:szCs w:val="44"/>
        </w:rPr>
      </w:pPr>
      <w:r>
        <w:rPr>
          <w:rFonts w:hint="eastAsia" w:eastAsia="方正小标宋简体" w:cs="方正小标宋简体"/>
          <w:bCs/>
          <w:sz w:val="44"/>
          <w:szCs w:val="44"/>
        </w:rPr>
        <w:t>珠海市老人健步鞋产品质量监督抽查实施细则</w:t>
      </w:r>
    </w:p>
    <w:p>
      <w:pPr>
        <w:widowControl/>
        <w:spacing w:line="578" w:lineRule="exact"/>
        <w:jc w:val="left"/>
        <w:rPr>
          <w:rFonts w:eastAsia="方正小标宋简体" w:cs="方正小标宋简体"/>
          <w:bCs/>
          <w:sz w:val="44"/>
          <w:szCs w:val="44"/>
        </w:rPr>
      </w:pPr>
    </w:p>
    <w:p>
      <w:pPr>
        <w:spacing w:line="578" w:lineRule="exact"/>
        <w:ind w:firstLine="640" w:firstLineChars="200"/>
        <w:jc w:val="left"/>
        <w:rPr>
          <w:rFonts w:ascii="黑体" w:hAnsi="黑体" w:eastAsia="黑体" w:cs="黑体"/>
          <w:szCs w:val="32"/>
        </w:rPr>
      </w:pPr>
      <w:r>
        <w:rPr>
          <w:rFonts w:hint="eastAsia" w:ascii="黑体" w:hAnsi="黑体" w:eastAsia="黑体" w:cs="黑体"/>
          <w:szCs w:val="32"/>
        </w:rPr>
        <w:t>一、抽样方法</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kern w:val="0"/>
          <w:sz w:val="32"/>
          <w:szCs w:val="32"/>
        </w:rPr>
        <w:t>随机数一般可使用随机数表等方法产生。</w:t>
      </w:r>
    </w:p>
    <w:p>
      <w:pPr>
        <w:keepNext w:val="0"/>
        <w:keepLines w:val="0"/>
        <w:pageBreakBefore w:val="0"/>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kern w:val="0"/>
          <w:sz w:val="32"/>
          <w:szCs w:val="32"/>
        </w:rPr>
        <w:t>抽查数量：每</w:t>
      </w:r>
      <w:r>
        <w:rPr>
          <w:rFonts w:hint="eastAsia" w:ascii="仿宋" w:hAnsi="仿宋" w:eastAsia="仿宋" w:cs="仿宋"/>
          <w:sz w:val="32"/>
          <w:szCs w:val="32"/>
        </w:rPr>
        <w:t>款产品抽取2组样本，第1组用于检验，第2组用于备样。具体抽样数量和方法如下：</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9"/>
        <w:gridCol w:w="3208"/>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pct"/>
            <w:shd w:val="clear" w:color="auto" w:fill="D7D7D7" w:themeFill="background1" w:themeFillShade="D8"/>
            <w:vAlign w:val="center"/>
          </w:tcPr>
          <w:p>
            <w:pPr>
              <w:spacing w:line="578" w:lineRule="exact"/>
              <w:jc w:val="center"/>
              <w:rPr>
                <w:rFonts w:hint="eastAsia" w:ascii="黑体" w:hAnsi="黑体" w:eastAsia="黑体" w:cs="黑体"/>
                <w:b w:val="0"/>
                <w:bCs w:val="0"/>
                <w:kern w:val="0"/>
                <w:sz w:val="24"/>
                <w:szCs w:val="24"/>
              </w:rPr>
            </w:pPr>
            <w:r>
              <w:rPr>
                <w:rFonts w:hint="eastAsia" w:ascii="黑体" w:hAnsi="黑体" w:eastAsia="黑体" w:cs="黑体"/>
                <w:b w:val="0"/>
                <w:bCs w:val="0"/>
                <w:kern w:val="0"/>
                <w:sz w:val="24"/>
                <w:szCs w:val="24"/>
              </w:rPr>
              <w:t>序号</w:t>
            </w:r>
          </w:p>
        </w:tc>
        <w:tc>
          <w:tcPr>
            <w:tcW w:w="1770" w:type="pct"/>
            <w:shd w:val="clear" w:color="auto" w:fill="D7D7D7" w:themeFill="background1" w:themeFillShade="D8"/>
            <w:vAlign w:val="center"/>
          </w:tcPr>
          <w:p>
            <w:pPr>
              <w:spacing w:line="578" w:lineRule="exact"/>
              <w:jc w:val="center"/>
              <w:rPr>
                <w:rFonts w:hint="eastAsia" w:ascii="黑体" w:hAnsi="黑体" w:eastAsia="黑体" w:cs="黑体"/>
                <w:b w:val="0"/>
                <w:bCs w:val="0"/>
                <w:kern w:val="0"/>
                <w:sz w:val="24"/>
                <w:szCs w:val="24"/>
              </w:rPr>
            </w:pPr>
            <w:r>
              <w:rPr>
                <w:rFonts w:hint="eastAsia" w:ascii="黑体" w:hAnsi="黑体" w:eastAsia="黑体" w:cs="黑体"/>
                <w:b w:val="0"/>
                <w:bCs w:val="0"/>
                <w:kern w:val="0"/>
                <w:sz w:val="24"/>
                <w:szCs w:val="24"/>
              </w:rPr>
              <w:t>产品名称</w:t>
            </w:r>
          </w:p>
        </w:tc>
        <w:tc>
          <w:tcPr>
            <w:tcW w:w="1250" w:type="pct"/>
            <w:shd w:val="clear" w:color="auto" w:fill="D7D7D7" w:themeFill="background1" w:themeFillShade="D8"/>
            <w:vAlign w:val="center"/>
          </w:tcPr>
          <w:p>
            <w:pPr>
              <w:spacing w:line="578" w:lineRule="exact"/>
              <w:jc w:val="center"/>
              <w:rPr>
                <w:rFonts w:hint="eastAsia" w:ascii="黑体" w:hAnsi="黑体" w:eastAsia="黑体" w:cs="黑体"/>
                <w:b w:val="0"/>
                <w:bCs w:val="0"/>
                <w:kern w:val="0"/>
                <w:sz w:val="24"/>
                <w:szCs w:val="24"/>
              </w:rPr>
            </w:pPr>
            <w:r>
              <w:rPr>
                <w:rFonts w:hint="eastAsia" w:ascii="黑体" w:hAnsi="黑体" w:eastAsia="黑体" w:cs="黑体"/>
                <w:b w:val="0"/>
                <w:bCs w:val="0"/>
                <w:kern w:val="0"/>
                <w:sz w:val="24"/>
                <w:szCs w:val="24"/>
              </w:rPr>
              <w:t>第1组数量</w:t>
            </w:r>
          </w:p>
        </w:tc>
        <w:tc>
          <w:tcPr>
            <w:tcW w:w="1250" w:type="pct"/>
            <w:shd w:val="clear" w:color="auto" w:fill="D7D7D7" w:themeFill="background1" w:themeFillShade="D8"/>
            <w:vAlign w:val="center"/>
          </w:tcPr>
          <w:p>
            <w:pPr>
              <w:spacing w:line="578" w:lineRule="exact"/>
              <w:jc w:val="center"/>
              <w:rPr>
                <w:rFonts w:hint="eastAsia" w:ascii="黑体" w:hAnsi="黑体" w:eastAsia="黑体" w:cs="黑体"/>
                <w:b w:val="0"/>
                <w:bCs w:val="0"/>
                <w:kern w:val="0"/>
                <w:sz w:val="24"/>
                <w:szCs w:val="24"/>
              </w:rPr>
            </w:pPr>
            <w:r>
              <w:rPr>
                <w:rFonts w:hint="eastAsia" w:ascii="黑体" w:hAnsi="黑体" w:eastAsia="黑体" w:cs="黑体"/>
                <w:b w:val="0"/>
                <w:bCs w:val="0"/>
                <w:kern w:val="0"/>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pct"/>
            <w:vAlign w:val="center"/>
          </w:tcPr>
          <w:p>
            <w:pPr>
              <w:spacing w:line="578"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1770" w:type="pct"/>
            <w:vAlign w:val="center"/>
          </w:tcPr>
          <w:p>
            <w:pPr>
              <w:widowControl/>
              <w:spacing w:line="578" w:lineRule="exact"/>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老人健步鞋</w:t>
            </w:r>
          </w:p>
        </w:tc>
        <w:tc>
          <w:tcPr>
            <w:tcW w:w="1250" w:type="pct"/>
            <w:vAlign w:val="center"/>
          </w:tcPr>
          <w:p>
            <w:pPr>
              <w:spacing w:line="578"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2双</w:t>
            </w:r>
          </w:p>
        </w:tc>
        <w:tc>
          <w:tcPr>
            <w:tcW w:w="1250" w:type="pct"/>
            <w:vAlign w:val="center"/>
          </w:tcPr>
          <w:p>
            <w:pPr>
              <w:spacing w:line="578"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1双</w:t>
            </w:r>
          </w:p>
        </w:tc>
      </w:tr>
    </w:tbl>
    <w:p>
      <w:pPr>
        <w:widowControl/>
        <w:spacing w:line="578" w:lineRule="exact"/>
        <w:ind w:firstLine="640" w:firstLineChars="200"/>
        <w:jc w:val="left"/>
        <w:rPr>
          <w:sz w:val="30"/>
          <w:szCs w:val="30"/>
        </w:rPr>
      </w:pPr>
      <w:r>
        <w:rPr>
          <w:rFonts w:hint="eastAsia" w:ascii="仿宋" w:hAnsi="仿宋" w:eastAsia="仿宋" w:cs="仿宋"/>
          <w:kern w:val="0"/>
          <w:sz w:val="32"/>
          <w:szCs w:val="32"/>
        </w:rPr>
        <w:t>抽取同一款式（货/款号）、同一规格范围、同一花型和同一颜色的产品。</w:t>
      </w:r>
    </w:p>
    <w:p>
      <w:pPr>
        <w:widowControl/>
        <w:ind w:firstLine="640" w:firstLineChars="200"/>
        <w:jc w:val="left"/>
        <w:rPr>
          <w:rFonts w:eastAsia="方正小标宋简体" w:cs="方正小标宋简体"/>
          <w:bCs/>
          <w:sz w:val="44"/>
          <w:szCs w:val="44"/>
        </w:rPr>
      </w:pPr>
      <w:r>
        <w:rPr>
          <w:rFonts w:hint="eastAsia" w:eastAsia="黑体" w:cs="黑体"/>
          <w:szCs w:val="32"/>
        </w:rPr>
        <w:t>二、主要检验项目及检验项目属性划分</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1652"/>
        <w:gridCol w:w="2384"/>
        <w:gridCol w:w="932"/>
        <w:gridCol w:w="932"/>
        <w:gridCol w:w="801"/>
        <w:gridCol w:w="863"/>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blHeader/>
          <w:jc w:val="center"/>
        </w:trPr>
        <w:tc>
          <w:tcPr>
            <w:tcW w:w="409"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snapToGrid w:val="0"/>
              <w:spacing w:line="360" w:lineRule="exact"/>
              <w:jc w:val="center"/>
              <w:rPr>
                <w:rFonts w:hint="eastAsia" w:ascii="黑体" w:hAnsi="黑体" w:eastAsia="黑体" w:cs="黑体"/>
                <w:b w:val="0"/>
                <w:bCs w:val="0"/>
                <w:sz w:val="24"/>
                <w:szCs w:val="24"/>
              </w:rPr>
            </w:pPr>
            <w:bookmarkStart w:id="0" w:name="_GoBack" w:colFirst="0" w:colLast="7"/>
            <w:r>
              <w:rPr>
                <w:rFonts w:hint="eastAsia" w:ascii="黑体" w:hAnsi="黑体" w:eastAsia="黑体" w:cs="黑体"/>
                <w:b w:val="0"/>
                <w:bCs w:val="0"/>
                <w:sz w:val="24"/>
                <w:szCs w:val="24"/>
              </w:rPr>
              <w:t>序号</w:t>
            </w:r>
          </w:p>
        </w:tc>
        <w:tc>
          <w:tcPr>
            <w:tcW w:w="911"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315"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51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51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4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76"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414" w:type="pct"/>
            <w:tcBorders>
              <w:top w:val="single" w:color="auto" w:sz="4" w:space="0"/>
              <w:left w:val="single" w:color="auto" w:sz="4" w:space="0"/>
              <w:right w:val="single" w:color="auto" w:sz="4" w:space="0"/>
            </w:tcBorders>
            <w:shd w:val="clear" w:color="auto" w:fill="D7D7D7" w:themeFill="background1" w:themeFillShade="D8"/>
            <w:vAlign w:val="center"/>
          </w:tcPr>
          <w:p>
            <w:pPr>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9"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911"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帮底剥离强度</w:t>
            </w:r>
          </w:p>
        </w:tc>
        <w:tc>
          <w:tcPr>
            <w:tcW w:w="1315" w:type="pct"/>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QB/T 4329-2012、QB/T 2955-2017、GB/T 15107-2013及相应产品标准</w:t>
            </w:r>
          </w:p>
        </w:tc>
        <w:tc>
          <w:tcPr>
            <w:tcW w:w="514" w:type="pct"/>
            <w:vAlign w:val="center"/>
          </w:tcPr>
          <w:p>
            <w:pPr>
              <w:snapToGrid w:val="0"/>
              <w:spacing w:line="360" w:lineRule="exact"/>
              <w:jc w:val="center"/>
              <w:rPr>
                <w:rFonts w:hint="eastAsia" w:ascii="仿宋" w:hAnsi="仿宋" w:eastAsia="仿宋" w:cs="仿宋"/>
                <w:sz w:val="24"/>
                <w:szCs w:val="24"/>
              </w:rPr>
            </w:pPr>
          </w:p>
        </w:tc>
        <w:tc>
          <w:tcPr>
            <w:tcW w:w="514"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napToGrid w:val="0"/>
              <w:spacing w:line="360" w:lineRule="exact"/>
              <w:jc w:val="center"/>
              <w:rPr>
                <w:rFonts w:hint="eastAsia" w:ascii="仿宋" w:hAnsi="仿宋" w:eastAsia="仿宋" w:cs="仿宋"/>
                <w:sz w:val="24"/>
                <w:szCs w:val="24"/>
              </w:rPr>
            </w:pPr>
          </w:p>
        </w:tc>
        <w:tc>
          <w:tcPr>
            <w:tcW w:w="476"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4" w:type="pct"/>
            <w:vAlign w:val="center"/>
          </w:tcPr>
          <w:p>
            <w:pPr>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9"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911"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成鞋耐折性能</w:t>
            </w:r>
          </w:p>
        </w:tc>
        <w:tc>
          <w:tcPr>
            <w:tcW w:w="1315" w:type="pct"/>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QB/T 4329-2012、QB/T 2955-2017、GB/T 15107-2013及相应产品标准</w:t>
            </w:r>
          </w:p>
        </w:tc>
        <w:tc>
          <w:tcPr>
            <w:tcW w:w="514" w:type="pct"/>
            <w:vAlign w:val="center"/>
          </w:tcPr>
          <w:p>
            <w:pPr>
              <w:snapToGrid w:val="0"/>
              <w:spacing w:line="360" w:lineRule="exact"/>
              <w:jc w:val="center"/>
              <w:rPr>
                <w:rFonts w:hint="eastAsia" w:ascii="仿宋" w:hAnsi="仿宋" w:eastAsia="仿宋" w:cs="仿宋"/>
                <w:sz w:val="24"/>
                <w:szCs w:val="24"/>
              </w:rPr>
            </w:pPr>
          </w:p>
        </w:tc>
        <w:tc>
          <w:tcPr>
            <w:tcW w:w="514"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napToGrid w:val="0"/>
              <w:spacing w:line="360" w:lineRule="exact"/>
              <w:jc w:val="center"/>
              <w:rPr>
                <w:rFonts w:hint="eastAsia" w:ascii="仿宋" w:hAnsi="仿宋" w:eastAsia="仿宋" w:cs="仿宋"/>
                <w:sz w:val="24"/>
                <w:szCs w:val="24"/>
              </w:rPr>
            </w:pPr>
          </w:p>
        </w:tc>
        <w:tc>
          <w:tcPr>
            <w:tcW w:w="476"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4" w:type="pct"/>
            <w:vAlign w:val="center"/>
          </w:tcPr>
          <w:p>
            <w:pPr>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9"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911"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外底耐磨性能</w:t>
            </w:r>
          </w:p>
        </w:tc>
        <w:tc>
          <w:tcPr>
            <w:tcW w:w="1315" w:type="pct"/>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QB/T 4329-2012、QB/T 2955-2017、GB/T 15107-2013及相应产品标准</w:t>
            </w:r>
          </w:p>
        </w:tc>
        <w:tc>
          <w:tcPr>
            <w:tcW w:w="514" w:type="pct"/>
            <w:vAlign w:val="center"/>
          </w:tcPr>
          <w:p>
            <w:pPr>
              <w:snapToGrid w:val="0"/>
              <w:spacing w:line="360" w:lineRule="exact"/>
              <w:jc w:val="center"/>
              <w:rPr>
                <w:rFonts w:hint="eastAsia" w:ascii="仿宋" w:hAnsi="仿宋" w:eastAsia="仿宋" w:cs="仿宋"/>
                <w:sz w:val="24"/>
                <w:szCs w:val="24"/>
              </w:rPr>
            </w:pPr>
          </w:p>
        </w:tc>
        <w:tc>
          <w:tcPr>
            <w:tcW w:w="514"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napToGrid w:val="0"/>
              <w:spacing w:line="360" w:lineRule="exact"/>
              <w:jc w:val="center"/>
              <w:rPr>
                <w:rFonts w:hint="eastAsia" w:ascii="仿宋" w:hAnsi="仿宋" w:eastAsia="仿宋" w:cs="仿宋"/>
                <w:sz w:val="24"/>
                <w:szCs w:val="24"/>
              </w:rPr>
            </w:pPr>
          </w:p>
        </w:tc>
        <w:tc>
          <w:tcPr>
            <w:tcW w:w="476"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4" w:type="pct"/>
            <w:vAlign w:val="center"/>
          </w:tcPr>
          <w:p>
            <w:pPr>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9"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911"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衬里和内垫耐摩擦色牢度</w:t>
            </w:r>
          </w:p>
        </w:tc>
        <w:tc>
          <w:tcPr>
            <w:tcW w:w="1315" w:type="pct"/>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QB/T 4329-2012、QB/T 2955-2017、GB/T 15107-2013及相应产品标准</w:t>
            </w:r>
          </w:p>
        </w:tc>
        <w:tc>
          <w:tcPr>
            <w:tcW w:w="514" w:type="pct"/>
            <w:vAlign w:val="center"/>
          </w:tcPr>
          <w:p>
            <w:pPr>
              <w:snapToGrid w:val="0"/>
              <w:spacing w:line="360" w:lineRule="exact"/>
              <w:jc w:val="center"/>
              <w:rPr>
                <w:rFonts w:hint="eastAsia" w:ascii="仿宋" w:hAnsi="仿宋" w:eastAsia="仿宋" w:cs="仿宋"/>
                <w:sz w:val="24"/>
                <w:szCs w:val="24"/>
              </w:rPr>
            </w:pPr>
          </w:p>
        </w:tc>
        <w:tc>
          <w:tcPr>
            <w:tcW w:w="514"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napToGrid w:val="0"/>
              <w:spacing w:line="360" w:lineRule="exact"/>
              <w:jc w:val="center"/>
              <w:rPr>
                <w:rFonts w:hint="eastAsia" w:ascii="仿宋" w:hAnsi="仿宋" w:eastAsia="仿宋" w:cs="仿宋"/>
                <w:sz w:val="24"/>
                <w:szCs w:val="24"/>
              </w:rPr>
            </w:pPr>
          </w:p>
        </w:tc>
        <w:tc>
          <w:tcPr>
            <w:tcW w:w="476"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4" w:type="pct"/>
            <w:vAlign w:val="center"/>
          </w:tcPr>
          <w:p>
            <w:pPr>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9"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911"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可分解致癌芳香胺染料含量</w:t>
            </w:r>
          </w:p>
        </w:tc>
        <w:tc>
          <w:tcPr>
            <w:tcW w:w="1315" w:type="pct"/>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QB/T 4329-2012、QB/T 2955-2017、GB/T 15107-2013及相应产品标准</w:t>
            </w:r>
          </w:p>
        </w:tc>
        <w:tc>
          <w:tcPr>
            <w:tcW w:w="514" w:type="pct"/>
            <w:vAlign w:val="center"/>
          </w:tcPr>
          <w:p>
            <w:pPr>
              <w:snapToGrid w:val="0"/>
              <w:spacing w:line="360" w:lineRule="exact"/>
              <w:jc w:val="center"/>
              <w:rPr>
                <w:rFonts w:hint="eastAsia" w:ascii="仿宋" w:hAnsi="仿宋" w:eastAsia="仿宋" w:cs="仿宋"/>
                <w:sz w:val="24"/>
                <w:szCs w:val="24"/>
              </w:rPr>
            </w:pPr>
          </w:p>
        </w:tc>
        <w:tc>
          <w:tcPr>
            <w:tcW w:w="514"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76" w:type="pct"/>
            <w:vAlign w:val="center"/>
          </w:tcPr>
          <w:p>
            <w:pPr>
              <w:snapToGrid w:val="0"/>
              <w:spacing w:line="360" w:lineRule="exact"/>
              <w:jc w:val="center"/>
              <w:rPr>
                <w:rFonts w:hint="eastAsia" w:ascii="仿宋" w:hAnsi="仿宋" w:eastAsia="仿宋" w:cs="仿宋"/>
                <w:sz w:val="24"/>
                <w:szCs w:val="24"/>
              </w:rPr>
            </w:pPr>
          </w:p>
        </w:tc>
        <w:tc>
          <w:tcPr>
            <w:tcW w:w="414" w:type="pct"/>
            <w:vAlign w:val="center"/>
          </w:tcPr>
          <w:p>
            <w:pPr>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09"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911"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甲醛含量</w:t>
            </w:r>
          </w:p>
        </w:tc>
        <w:tc>
          <w:tcPr>
            <w:tcW w:w="1315"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QB/T 4329-2012、QB/T 2955-2017、GB/T 15107-2013及相应产品标准</w:t>
            </w:r>
          </w:p>
        </w:tc>
        <w:tc>
          <w:tcPr>
            <w:tcW w:w="514" w:type="pct"/>
            <w:vAlign w:val="center"/>
          </w:tcPr>
          <w:p>
            <w:pPr>
              <w:snapToGrid w:val="0"/>
              <w:spacing w:line="360" w:lineRule="exact"/>
              <w:jc w:val="center"/>
              <w:rPr>
                <w:rFonts w:hint="eastAsia" w:ascii="仿宋" w:hAnsi="仿宋" w:eastAsia="仿宋" w:cs="仿宋"/>
                <w:sz w:val="24"/>
                <w:szCs w:val="24"/>
              </w:rPr>
            </w:pPr>
          </w:p>
        </w:tc>
        <w:tc>
          <w:tcPr>
            <w:tcW w:w="514"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76" w:type="pct"/>
            <w:vAlign w:val="center"/>
          </w:tcPr>
          <w:p>
            <w:pPr>
              <w:snapToGrid w:val="0"/>
              <w:spacing w:line="360" w:lineRule="exact"/>
              <w:jc w:val="center"/>
              <w:rPr>
                <w:rFonts w:hint="eastAsia" w:ascii="仿宋" w:hAnsi="仿宋" w:eastAsia="仿宋" w:cs="仿宋"/>
                <w:sz w:val="24"/>
                <w:szCs w:val="24"/>
              </w:rPr>
            </w:pPr>
          </w:p>
        </w:tc>
        <w:tc>
          <w:tcPr>
            <w:tcW w:w="414" w:type="pct"/>
            <w:vAlign w:val="center"/>
          </w:tcPr>
          <w:p>
            <w:pPr>
              <w:snapToGrid w:val="0"/>
              <w:spacing w:line="360" w:lineRule="exact"/>
              <w:jc w:val="center"/>
              <w:rPr>
                <w:rFonts w:hint="eastAsia" w:ascii="仿宋" w:hAnsi="仿宋" w:eastAsia="仿宋" w:cs="仿宋"/>
                <w:sz w:val="24"/>
                <w:szCs w:val="24"/>
              </w:rPr>
            </w:pPr>
          </w:p>
        </w:tc>
      </w:tr>
    </w:tbl>
    <w:p>
      <w:pPr>
        <w:adjustRightInd w:val="0"/>
        <w:snapToGrid w:val="0"/>
        <w:spacing w:line="600" w:lineRule="exact"/>
        <w:ind w:firstLine="640" w:firstLineChars="200"/>
        <w:jc w:val="left"/>
        <w:rPr>
          <w:rFonts w:eastAsia="黑体" w:cs="黑体"/>
          <w:szCs w:val="32"/>
        </w:rPr>
      </w:pPr>
      <w:r>
        <w:rPr>
          <w:rFonts w:hint="eastAsia" w:eastAsia="黑体" w:cs="黑体"/>
          <w:szCs w:val="32"/>
        </w:rPr>
        <w:t>三、判定规则</w:t>
      </w:r>
    </w:p>
    <w:p>
      <w:pPr>
        <w:adjustRightInd w:val="0"/>
        <w:snapToGrid w:val="0"/>
        <w:spacing w:line="600" w:lineRule="exact"/>
        <w:ind w:firstLine="640" w:firstLineChars="200"/>
        <w:jc w:val="left"/>
        <w:rPr>
          <w:rFonts w:hint="eastAsia" w:ascii="楷体_GB2312" w:hAnsi="楷体_GB2312" w:eastAsia="楷体_GB2312" w:cs="楷体_GB2312"/>
          <w:b w:val="0"/>
          <w:bCs w:val="0"/>
          <w:szCs w:val="32"/>
        </w:rPr>
      </w:pPr>
      <w:r>
        <w:rPr>
          <w:rFonts w:hint="eastAsia" w:ascii="楷体_GB2312" w:hAnsi="楷体_GB2312" w:eastAsia="楷体_GB2312" w:cs="楷体_GB2312"/>
          <w:b w:val="0"/>
          <w:bCs w:val="0"/>
          <w:szCs w:val="32"/>
        </w:rPr>
        <w:t>（一）依据标准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推荐性标准：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QB/T 2955-2017《休闲鞋》</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GB/T 15107-2013《旅游鞋》</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QB/T 4329-2012《布鞋》</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现行有效的企业标准、团体标准、地方标准及产品明示质量要求。</w:t>
      </w:r>
    </w:p>
    <w:p>
      <w:pPr>
        <w:adjustRightInd w:val="0"/>
        <w:snapToGrid w:val="0"/>
        <w:spacing w:line="600" w:lineRule="exact"/>
        <w:ind w:firstLine="640" w:firstLineChars="200"/>
        <w:jc w:val="left"/>
        <w:rPr>
          <w:rFonts w:hint="eastAsia" w:ascii="楷体_GB2312" w:hAnsi="楷体_GB2312" w:eastAsia="楷体_GB2312" w:cs="楷体_GB2312"/>
          <w:b w:val="0"/>
          <w:bCs w:val="0"/>
          <w:szCs w:val="32"/>
        </w:rPr>
      </w:pPr>
      <w:r>
        <w:rPr>
          <w:rFonts w:hint="eastAsia" w:ascii="楷体_GB2312" w:hAnsi="楷体_GB2312" w:eastAsia="楷体_GB2312" w:cs="楷体_GB2312"/>
          <w:b w:val="0"/>
          <w:bCs w:val="0"/>
          <w:szCs w:val="32"/>
        </w:rPr>
        <w:t>（二）判定原则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经检验，检验项目全部合格，判定为被抽查产品所检项目未发现不合格；检验项目中任一项或一项以上不合格，判定为被抽查产品不合格。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当被检样品明示的质量要求优于监督抽查实施细则中依据的标准要求时，应按被检样品明示的质量要求判定；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当被检样品明示的质量要求不包含监督抽查实施细则中依据的推荐性标准要求时，该指标不参与判定，但应在检验报告中作出说明；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当被检样品未能提供有效的企业标准时，按相关国家或行业标准进行判定；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按照产品质量相关法律法规的规定判定。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040099"/>
    <w:rsid w:val="00040099"/>
    <w:rsid w:val="0005186A"/>
    <w:rsid w:val="00086538"/>
    <w:rsid w:val="000C6E01"/>
    <w:rsid w:val="000E429F"/>
    <w:rsid w:val="000E4B0E"/>
    <w:rsid w:val="001118C6"/>
    <w:rsid w:val="00136D42"/>
    <w:rsid w:val="00187EE2"/>
    <w:rsid w:val="001B5118"/>
    <w:rsid w:val="001B6BDE"/>
    <w:rsid w:val="001E19EB"/>
    <w:rsid w:val="002263C5"/>
    <w:rsid w:val="002324CC"/>
    <w:rsid w:val="00265441"/>
    <w:rsid w:val="00271FEF"/>
    <w:rsid w:val="002A115D"/>
    <w:rsid w:val="002B5194"/>
    <w:rsid w:val="002C14E8"/>
    <w:rsid w:val="002D2E3A"/>
    <w:rsid w:val="003068CD"/>
    <w:rsid w:val="00317B5B"/>
    <w:rsid w:val="00351F96"/>
    <w:rsid w:val="0038235A"/>
    <w:rsid w:val="00394917"/>
    <w:rsid w:val="00394E3D"/>
    <w:rsid w:val="003B567C"/>
    <w:rsid w:val="003D20F9"/>
    <w:rsid w:val="0040043A"/>
    <w:rsid w:val="00417216"/>
    <w:rsid w:val="004447E5"/>
    <w:rsid w:val="004454B0"/>
    <w:rsid w:val="004556E4"/>
    <w:rsid w:val="00462523"/>
    <w:rsid w:val="00480B63"/>
    <w:rsid w:val="004A095C"/>
    <w:rsid w:val="00532032"/>
    <w:rsid w:val="0054130E"/>
    <w:rsid w:val="005544B3"/>
    <w:rsid w:val="00554EDB"/>
    <w:rsid w:val="00592248"/>
    <w:rsid w:val="005953E4"/>
    <w:rsid w:val="005B12AC"/>
    <w:rsid w:val="005C2C80"/>
    <w:rsid w:val="005C672C"/>
    <w:rsid w:val="005F1EB3"/>
    <w:rsid w:val="00604829"/>
    <w:rsid w:val="006274FE"/>
    <w:rsid w:val="00672987"/>
    <w:rsid w:val="006803B7"/>
    <w:rsid w:val="00723F33"/>
    <w:rsid w:val="007644B3"/>
    <w:rsid w:val="00764958"/>
    <w:rsid w:val="00765580"/>
    <w:rsid w:val="007673C9"/>
    <w:rsid w:val="007973F5"/>
    <w:rsid w:val="007A768C"/>
    <w:rsid w:val="007E2EAD"/>
    <w:rsid w:val="00833312"/>
    <w:rsid w:val="00837CF0"/>
    <w:rsid w:val="00861905"/>
    <w:rsid w:val="00862ECF"/>
    <w:rsid w:val="0088048F"/>
    <w:rsid w:val="00891A00"/>
    <w:rsid w:val="00891F5A"/>
    <w:rsid w:val="008979D1"/>
    <w:rsid w:val="008A223C"/>
    <w:rsid w:val="008B62DA"/>
    <w:rsid w:val="008C0503"/>
    <w:rsid w:val="008C3BB6"/>
    <w:rsid w:val="008E6861"/>
    <w:rsid w:val="008F0223"/>
    <w:rsid w:val="009016BC"/>
    <w:rsid w:val="0091548A"/>
    <w:rsid w:val="009362DF"/>
    <w:rsid w:val="00937524"/>
    <w:rsid w:val="00983BE2"/>
    <w:rsid w:val="009855C9"/>
    <w:rsid w:val="009859EC"/>
    <w:rsid w:val="009B014F"/>
    <w:rsid w:val="009E0BC2"/>
    <w:rsid w:val="009E50D8"/>
    <w:rsid w:val="009E63FF"/>
    <w:rsid w:val="00A006A2"/>
    <w:rsid w:val="00A0507E"/>
    <w:rsid w:val="00A26CD7"/>
    <w:rsid w:val="00A34458"/>
    <w:rsid w:val="00A42FDE"/>
    <w:rsid w:val="00A669DA"/>
    <w:rsid w:val="00A821A9"/>
    <w:rsid w:val="00A90AE0"/>
    <w:rsid w:val="00A971A1"/>
    <w:rsid w:val="00A9745D"/>
    <w:rsid w:val="00AA0259"/>
    <w:rsid w:val="00AA77C6"/>
    <w:rsid w:val="00B01103"/>
    <w:rsid w:val="00B01B50"/>
    <w:rsid w:val="00B3566E"/>
    <w:rsid w:val="00B534FB"/>
    <w:rsid w:val="00BC219D"/>
    <w:rsid w:val="00BE1AD0"/>
    <w:rsid w:val="00C21D30"/>
    <w:rsid w:val="00C236A5"/>
    <w:rsid w:val="00C3249F"/>
    <w:rsid w:val="00C32674"/>
    <w:rsid w:val="00C56AA6"/>
    <w:rsid w:val="00C6568D"/>
    <w:rsid w:val="00C7396B"/>
    <w:rsid w:val="00C750D2"/>
    <w:rsid w:val="00CA1DDB"/>
    <w:rsid w:val="00CC0D69"/>
    <w:rsid w:val="00CF4D21"/>
    <w:rsid w:val="00D123E5"/>
    <w:rsid w:val="00D13260"/>
    <w:rsid w:val="00D62EA6"/>
    <w:rsid w:val="00D67D93"/>
    <w:rsid w:val="00D949B7"/>
    <w:rsid w:val="00DE0555"/>
    <w:rsid w:val="00DE4EDE"/>
    <w:rsid w:val="00DF057E"/>
    <w:rsid w:val="00E00EC2"/>
    <w:rsid w:val="00E46916"/>
    <w:rsid w:val="00E47475"/>
    <w:rsid w:val="00E66254"/>
    <w:rsid w:val="00E9140B"/>
    <w:rsid w:val="00EA7F44"/>
    <w:rsid w:val="00EB08E4"/>
    <w:rsid w:val="00ED2393"/>
    <w:rsid w:val="00EF5636"/>
    <w:rsid w:val="00F33B53"/>
    <w:rsid w:val="00F6378D"/>
    <w:rsid w:val="00F74898"/>
    <w:rsid w:val="00FA44FE"/>
    <w:rsid w:val="00FD312F"/>
    <w:rsid w:val="00FF2776"/>
    <w:rsid w:val="00FF4DB1"/>
    <w:rsid w:val="014557C2"/>
    <w:rsid w:val="09E81589"/>
    <w:rsid w:val="0FFC5BE6"/>
    <w:rsid w:val="178355AD"/>
    <w:rsid w:val="17856E00"/>
    <w:rsid w:val="1D6D402B"/>
    <w:rsid w:val="224E17F9"/>
    <w:rsid w:val="23BA3996"/>
    <w:rsid w:val="2F915EC0"/>
    <w:rsid w:val="2FAB363A"/>
    <w:rsid w:val="32E47864"/>
    <w:rsid w:val="3AE41EC7"/>
    <w:rsid w:val="3E405421"/>
    <w:rsid w:val="45D4223E"/>
    <w:rsid w:val="49637774"/>
    <w:rsid w:val="5EA87FE0"/>
    <w:rsid w:val="617524E0"/>
    <w:rsid w:val="67FA4DDD"/>
    <w:rsid w:val="70A1703D"/>
    <w:rsid w:val="716D5171"/>
    <w:rsid w:val="74297A42"/>
    <w:rsid w:val="79782905"/>
    <w:rsid w:val="7AE2272C"/>
    <w:rsid w:val="7C043724"/>
    <w:rsid w:val="7DF412C0"/>
    <w:rsid w:val="AD7F81AA"/>
    <w:rsid w:val="C7FD5A9B"/>
    <w:rsid w:val="FFF9D2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rFonts w:ascii="Times New Roman" w:hAnsi="Times New Roman" w:eastAsia="仿宋_GB2312" w:cs="Times New Roman"/>
      <w:sz w:val="18"/>
      <w:szCs w:val="18"/>
    </w:rPr>
  </w:style>
  <w:style w:type="character" w:customStyle="1" w:styleId="12">
    <w:name w:val="页脚 字符"/>
    <w:basedOn w:val="9"/>
    <w:link w:val="4"/>
    <w:qFormat/>
    <w:uiPriority w:val="99"/>
    <w:rPr>
      <w:rFonts w:ascii="Times New Roman" w:hAnsi="Times New Roman" w:eastAsia="仿宋_GB2312" w:cs="Times New Roman"/>
      <w:sz w:val="18"/>
      <w:szCs w:val="18"/>
    </w:rPr>
  </w:style>
  <w:style w:type="character" w:customStyle="1" w:styleId="13">
    <w:name w:val="批注文字 字符"/>
    <w:basedOn w:val="9"/>
    <w:link w:val="2"/>
    <w:semiHidden/>
    <w:qFormat/>
    <w:uiPriority w:val="99"/>
    <w:rPr>
      <w:rFonts w:ascii="Times New Roman" w:hAnsi="Times New Roman" w:eastAsia="仿宋_GB2312" w:cs="Times New Roman"/>
      <w:sz w:val="32"/>
      <w:szCs w:val="24"/>
    </w:rPr>
  </w:style>
  <w:style w:type="character" w:customStyle="1" w:styleId="14">
    <w:name w:val="批注主题 字符"/>
    <w:basedOn w:val="13"/>
    <w:link w:val="6"/>
    <w:semiHidden/>
    <w:qFormat/>
    <w:uiPriority w:val="99"/>
    <w:rPr>
      <w:rFonts w:ascii="Times New Roman" w:hAnsi="Times New Roman" w:eastAsia="仿宋_GB2312" w:cs="Times New Roman"/>
      <w:b/>
      <w:bCs/>
      <w:sz w:val="32"/>
      <w:szCs w:val="24"/>
    </w:rPr>
  </w:style>
  <w:style w:type="character" w:customStyle="1" w:styleId="15">
    <w:name w:val="批注框文本 字符"/>
    <w:basedOn w:val="9"/>
    <w:link w:val="3"/>
    <w:semiHidden/>
    <w:qFormat/>
    <w:uiPriority w:val="99"/>
    <w:rPr>
      <w:rFonts w:ascii="Times New Roman" w:hAnsi="Times New Roman" w:eastAsia="仿宋_GB2312" w:cs="Times New Roman"/>
      <w:sz w:val="18"/>
      <w:szCs w:val="18"/>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960</Words>
  <Characters>1199</Characters>
  <Lines>9</Lines>
  <Paragraphs>2</Paragraphs>
  <TotalTime>2</TotalTime>
  <ScaleCrop>false</ScaleCrop>
  <LinksUpToDate>false</LinksUpToDate>
  <CharactersWithSpaces>1224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2022-03-01T07:07:00Z</dcterms:created>
  <dc:creator>yws1</dc:creator>
  <cp:lastModifiedBy>刘赞</cp:lastModifiedBy>
  <dcterms:modified xsi:type="dcterms:W3CDTF">2023-05-10T07:14:57Z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0D610983F4C74A7C832090A581858DC8</vt:lpwstr>
  </property>
</Properties>
</file>