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Courier New" w:eastAsia="方正小标宋简体" w:cs="Courier New"/>
          <w:bCs/>
          <w:sz w:val="44"/>
          <w:szCs w:val="44"/>
        </w:rPr>
      </w:pPr>
      <w:r>
        <w:rPr>
          <w:rFonts w:hint="eastAsia" w:eastAsia="方正小标宋简体" w:cs="方正小标宋简体"/>
          <w:kern w:val="0"/>
          <w:sz w:val="44"/>
          <w:szCs w:val="44"/>
        </w:rPr>
        <w:t>珠海市童鞋</w:t>
      </w:r>
      <w:r>
        <w:rPr>
          <w:rFonts w:hint="eastAsia" w:ascii="方正小标宋简体" w:hAnsi="Courier New" w:eastAsia="方正小标宋简体" w:cs="Courier New"/>
          <w:bCs/>
          <w:sz w:val="44"/>
          <w:szCs w:val="44"/>
        </w:rPr>
        <w:t>产品质量监督抽查实施细则</w:t>
      </w:r>
    </w:p>
    <w:p>
      <w:pPr>
        <w:spacing w:line="600" w:lineRule="exact"/>
        <w:jc w:val="left"/>
        <w:rPr>
          <w:rFonts w:ascii="方正小标宋简体" w:hAnsi="Courier New" w:eastAsia="方正小标宋简体" w:cs="Courier New"/>
          <w:bCs/>
          <w:sz w:val="44"/>
          <w:szCs w:val="44"/>
        </w:rPr>
      </w:pPr>
    </w:p>
    <w:p>
      <w:pPr>
        <w:spacing w:line="600" w:lineRule="exact"/>
        <w:ind w:firstLine="640" w:firstLineChars="200"/>
        <w:jc w:val="left"/>
        <w:rPr>
          <w:rFonts w:ascii="黑体" w:hAnsi="黑体" w:eastAsia="黑体" w:cs="Courier New"/>
        </w:rPr>
      </w:pPr>
      <w:r>
        <w:rPr>
          <w:rFonts w:hint="eastAsia" w:ascii="黑体" w:hAnsi="黑体" w:eastAsia="黑体" w:cs="Courier New"/>
        </w:rPr>
        <w:t>一、抽样方法</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kern w:val="0"/>
        </w:rPr>
      </w:pPr>
      <w:r>
        <w:rPr>
          <w:rFonts w:hint="eastAsia" w:ascii="仿宋" w:hAnsi="仿宋" w:eastAsia="仿宋" w:cs="仿宋"/>
          <w:kern w:val="0"/>
        </w:rPr>
        <w:t>抽查产品：儿童鞋（</w:t>
      </w:r>
      <w:r>
        <w:rPr>
          <w:rFonts w:hint="eastAsia" w:ascii="仿宋" w:hAnsi="仿宋" w:eastAsia="仿宋" w:cs="仿宋"/>
        </w:rPr>
        <w:t>儿童皮鞋、儿童旅游鞋、儿童皮凉鞋、儿童雨靴、儿童胶鞋</w:t>
      </w:r>
      <w:r>
        <w:rPr>
          <w:rFonts w:hint="eastAsia" w:ascii="仿宋" w:hAnsi="仿宋" w:eastAsia="仿宋" w:cs="仿宋"/>
          <w:kern w:val="0"/>
        </w:rPr>
        <w:t>）</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kern w:val="0"/>
        </w:rPr>
      </w:pPr>
      <w:r>
        <w:rPr>
          <w:rFonts w:hint="eastAsia" w:ascii="仿宋" w:hAnsi="仿宋" w:eastAsia="仿宋" w:cs="仿宋"/>
          <w:kern w:val="0"/>
        </w:rPr>
        <w:t>以随机抽样的方式在被抽样经营者的待销产品中抽取。随机数一般可使用随机数表等方法产生。</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kern w:val="0"/>
        </w:rPr>
      </w:pPr>
      <w:r>
        <w:rPr>
          <w:rFonts w:hint="eastAsia" w:ascii="仿宋" w:hAnsi="仿宋" w:eastAsia="仿宋" w:cs="仿宋"/>
          <w:kern w:val="0"/>
        </w:rPr>
        <w:t>抽查数量：每款产品抽取2组样本，第1组用于检验，第2组用于备样。第1组抽取数量为2双，第2组抽取数量为1双。儿童雨靴备样数量增加1双。婴儿鞋检验数量加1双。</w:t>
      </w:r>
    </w:p>
    <w:p>
      <w:pPr>
        <w:spacing w:line="600" w:lineRule="exact"/>
        <w:ind w:firstLine="640" w:firstLineChars="200"/>
        <w:jc w:val="left"/>
        <w:rPr>
          <w:rFonts w:ascii="黑体" w:hAnsi="黑体" w:eastAsia="黑体" w:cs="Courier New"/>
        </w:rPr>
      </w:pPr>
      <w:r>
        <w:rPr>
          <w:rFonts w:hint="eastAsia" w:ascii="黑体" w:hAnsi="黑体" w:eastAsia="黑体" w:cs="Courier New"/>
        </w:rPr>
        <w:t>二、主要检验项目及检验项目属性划分</w:t>
      </w:r>
    </w:p>
    <w:p>
      <w:pPr>
        <w:adjustRightInd w:val="0"/>
        <w:snapToGrid w:val="0"/>
        <w:spacing w:line="590" w:lineRule="exact"/>
        <w:ind w:firstLine="640" w:firstLineChars="200"/>
        <w:jc w:val="left"/>
        <w:rPr>
          <w:rFonts w:hint="eastAsia" w:ascii="楷体_GB2312" w:hAnsi="楷体_GB2312" w:eastAsia="楷体_GB2312" w:cs="楷体_GB2312"/>
        </w:rPr>
      </w:pPr>
      <w:r>
        <w:rPr>
          <w:rFonts w:hint="eastAsia" w:ascii="楷体_GB2312" w:hAnsi="楷体_GB2312" w:eastAsia="楷体_GB2312" w:cs="楷体_GB2312"/>
        </w:rPr>
        <w:t>（一）</w:t>
      </w:r>
      <w:r>
        <w:rPr>
          <w:rFonts w:hint="eastAsia" w:ascii="楷体_GB2312" w:hAnsi="楷体_GB2312" w:eastAsia="楷体_GB2312" w:cs="楷体_GB2312"/>
          <w:szCs w:val="21"/>
        </w:rPr>
        <w:t>儿童鞋（不含胶鞋、雨靴）</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758"/>
        <w:gridCol w:w="2401"/>
        <w:gridCol w:w="823"/>
        <w:gridCol w:w="823"/>
        <w:gridCol w:w="823"/>
        <w:gridCol w:w="823"/>
        <w:gridCol w:w="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432"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序号</w:t>
            </w:r>
          </w:p>
        </w:tc>
        <w:tc>
          <w:tcPr>
            <w:tcW w:w="970"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检验项目</w:t>
            </w:r>
          </w:p>
        </w:tc>
        <w:tc>
          <w:tcPr>
            <w:tcW w:w="1325"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检验方法</w:t>
            </w:r>
          </w:p>
        </w:tc>
        <w:tc>
          <w:tcPr>
            <w:tcW w:w="454"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强制性</w:t>
            </w:r>
          </w:p>
        </w:tc>
        <w:tc>
          <w:tcPr>
            <w:tcW w:w="454"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非强制性</w:t>
            </w:r>
          </w:p>
        </w:tc>
        <w:tc>
          <w:tcPr>
            <w:tcW w:w="454"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重要项</w:t>
            </w:r>
          </w:p>
        </w:tc>
        <w:tc>
          <w:tcPr>
            <w:tcW w:w="454"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较重要项</w:t>
            </w:r>
          </w:p>
        </w:tc>
        <w:tc>
          <w:tcPr>
            <w:tcW w:w="454"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97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可分解有害芳香胺染料</w:t>
            </w:r>
          </w:p>
        </w:tc>
        <w:tc>
          <w:tcPr>
            <w:tcW w:w="13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GB/T 17592-2011</w:t>
            </w:r>
          </w:p>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GB/T 19942-2019</w:t>
            </w:r>
          </w:p>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GB/T 19942-2005</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97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甲醛含量</w:t>
            </w:r>
          </w:p>
        </w:tc>
        <w:tc>
          <w:tcPr>
            <w:tcW w:w="13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GB/T 2912.1-2009</w:t>
            </w:r>
          </w:p>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GB/T 19941.1-2019</w:t>
            </w:r>
          </w:p>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GB/T 19941-2005</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97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重金属总量</w:t>
            </w:r>
          </w:p>
        </w:tc>
        <w:tc>
          <w:tcPr>
            <w:tcW w:w="13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QB/T 4340-2012</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4</w:t>
            </w:r>
          </w:p>
        </w:tc>
        <w:tc>
          <w:tcPr>
            <w:tcW w:w="97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邻苯二甲酸酯</w:t>
            </w:r>
          </w:p>
        </w:tc>
        <w:tc>
          <w:tcPr>
            <w:tcW w:w="13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ISO 16181.1-2021</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5</w:t>
            </w:r>
          </w:p>
        </w:tc>
        <w:tc>
          <w:tcPr>
            <w:tcW w:w="97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橡胶部件中的N-亚硝基胺</w:t>
            </w:r>
          </w:p>
        </w:tc>
        <w:tc>
          <w:tcPr>
            <w:tcW w:w="13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GB/T 24153-2009</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6</w:t>
            </w:r>
          </w:p>
        </w:tc>
        <w:tc>
          <w:tcPr>
            <w:tcW w:w="97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皮革和毛皮中的六价铬</w:t>
            </w:r>
          </w:p>
        </w:tc>
        <w:tc>
          <w:tcPr>
            <w:tcW w:w="13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GB/T 22807-2019</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7</w:t>
            </w:r>
          </w:p>
        </w:tc>
        <w:tc>
          <w:tcPr>
            <w:tcW w:w="97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富马酸二甲酯</w:t>
            </w:r>
          </w:p>
        </w:tc>
        <w:tc>
          <w:tcPr>
            <w:tcW w:w="13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GB/T 26713-2011</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8</w:t>
            </w:r>
          </w:p>
        </w:tc>
        <w:tc>
          <w:tcPr>
            <w:tcW w:w="97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物理机械安全性能（除钢勾心）</w:t>
            </w:r>
          </w:p>
        </w:tc>
        <w:tc>
          <w:tcPr>
            <w:tcW w:w="1325" w:type="pct"/>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GB 30585-2014</w:t>
            </w:r>
          </w:p>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GB 6675.2-2014</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9</w:t>
            </w:r>
          </w:p>
        </w:tc>
        <w:tc>
          <w:tcPr>
            <w:tcW w:w="97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勾心纵向刚度</w:t>
            </w:r>
          </w:p>
        </w:tc>
        <w:tc>
          <w:tcPr>
            <w:tcW w:w="1325" w:type="pc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GB/T 3903.34-2019</w:t>
            </w:r>
          </w:p>
          <w:p>
            <w:pPr>
              <w:snapToGrid w:val="0"/>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QB/T 1813-2000</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10</w:t>
            </w:r>
          </w:p>
        </w:tc>
        <w:tc>
          <w:tcPr>
            <w:tcW w:w="97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勾心硬度</w:t>
            </w:r>
          </w:p>
        </w:tc>
        <w:tc>
          <w:tcPr>
            <w:tcW w:w="13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bCs/>
                <w:sz w:val="24"/>
                <w:szCs w:val="24"/>
              </w:rPr>
              <w:t>GB/T 230.1-2018</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11</w:t>
            </w:r>
          </w:p>
        </w:tc>
        <w:tc>
          <w:tcPr>
            <w:tcW w:w="97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勾心弯曲性能</w:t>
            </w:r>
          </w:p>
        </w:tc>
        <w:tc>
          <w:tcPr>
            <w:tcW w:w="1325" w:type="pc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GB/T 28011-2021</w:t>
            </w:r>
          </w:p>
          <w:p>
            <w:pPr>
              <w:snapToGrid w:val="0"/>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GB/T 28011-2011</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12</w:t>
            </w:r>
          </w:p>
        </w:tc>
        <w:tc>
          <w:tcPr>
            <w:tcW w:w="97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勾心长度</w:t>
            </w:r>
          </w:p>
        </w:tc>
        <w:tc>
          <w:tcPr>
            <w:tcW w:w="1325" w:type="pc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GB/T 28011-2021</w:t>
            </w:r>
          </w:p>
          <w:p>
            <w:pPr>
              <w:snapToGrid w:val="0"/>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GB/T 28011-2011</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13</w:t>
            </w:r>
          </w:p>
        </w:tc>
        <w:tc>
          <w:tcPr>
            <w:tcW w:w="970" w:type="pct"/>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hint="eastAsia" w:ascii="仿宋" w:hAnsi="仿宋" w:eastAsia="仿宋" w:cs="仿宋"/>
                <w:sz w:val="24"/>
                <w:szCs w:val="24"/>
              </w:rPr>
            </w:pPr>
            <w:r>
              <w:rPr>
                <w:rFonts w:hint="eastAsia" w:ascii="仿宋" w:hAnsi="仿宋" w:eastAsia="仿宋" w:cs="仿宋"/>
                <w:sz w:val="24"/>
                <w:szCs w:val="24"/>
              </w:rPr>
              <w:t>剥离强度或帮底剥离强度或底墙与帮面剥离强度</w:t>
            </w:r>
          </w:p>
        </w:tc>
        <w:tc>
          <w:tcPr>
            <w:tcW w:w="1325" w:type="pct"/>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hint="eastAsia" w:ascii="仿宋" w:hAnsi="仿宋" w:eastAsia="仿宋" w:cs="仿宋"/>
                <w:sz w:val="24"/>
                <w:szCs w:val="24"/>
              </w:rPr>
            </w:pPr>
            <w:r>
              <w:rPr>
                <w:rFonts w:hint="eastAsia" w:ascii="仿宋" w:hAnsi="仿宋" w:eastAsia="仿宋" w:cs="仿宋"/>
                <w:sz w:val="24"/>
                <w:szCs w:val="24"/>
              </w:rPr>
              <w:t>GB/T 3903.3-2011</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14</w:t>
            </w:r>
          </w:p>
        </w:tc>
        <w:tc>
          <w:tcPr>
            <w:tcW w:w="970" w:type="pct"/>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hint="eastAsia" w:ascii="仿宋" w:hAnsi="仿宋" w:eastAsia="仿宋" w:cs="仿宋"/>
                <w:sz w:val="24"/>
                <w:szCs w:val="24"/>
              </w:rPr>
            </w:pPr>
            <w:r>
              <w:rPr>
                <w:rFonts w:hint="eastAsia" w:ascii="仿宋" w:hAnsi="仿宋" w:eastAsia="仿宋" w:cs="仿宋"/>
                <w:sz w:val="24"/>
                <w:szCs w:val="24"/>
              </w:rPr>
              <w:t>耐折性能</w:t>
            </w:r>
          </w:p>
        </w:tc>
        <w:tc>
          <w:tcPr>
            <w:tcW w:w="1325" w:type="pct"/>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hint="eastAsia" w:ascii="仿宋" w:hAnsi="仿宋" w:eastAsia="仿宋" w:cs="仿宋"/>
                <w:sz w:val="24"/>
                <w:szCs w:val="24"/>
              </w:rPr>
            </w:pPr>
            <w:r>
              <w:rPr>
                <w:rFonts w:hint="eastAsia" w:ascii="仿宋" w:hAnsi="仿宋" w:eastAsia="仿宋" w:cs="仿宋"/>
                <w:sz w:val="24"/>
                <w:szCs w:val="24"/>
              </w:rPr>
              <w:t>GB/T 3903.1-2017</w:t>
            </w:r>
          </w:p>
          <w:p>
            <w:pPr>
              <w:snapToGrid w:val="0"/>
              <w:spacing w:line="380" w:lineRule="exact"/>
              <w:jc w:val="center"/>
              <w:rPr>
                <w:rFonts w:hint="eastAsia" w:ascii="仿宋" w:hAnsi="仿宋" w:eastAsia="仿宋" w:cs="仿宋"/>
                <w:sz w:val="24"/>
                <w:szCs w:val="24"/>
              </w:rPr>
            </w:pPr>
            <w:r>
              <w:rPr>
                <w:rFonts w:hint="eastAsia" w:ascii="仿宋" w:hAnsi="仿宋" w:eastAsia="仿宋" w:cs="仿宋"/>
                <w:sz w:val="24"/>
                <w:szCs w:val="24"/>
              </w:rPr>
              <w:t>GB/T 3903.1-2008</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15</w:t>
            </w:r>
          </w:p>
        </w:tc>
        <w:tc>
          <w:tcPr>
            <w:tcW w:w="970" w:type="pct"/>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hint="eastAsia" w:ascii="仿宋" w:hAnsi="仿宋" w:eastAsia="仿宋" w:cs="仿宋"/>
                <w:sz w:val="24"/>
                <w:szCs w:val="24"/>
              </w:rPr>
            </w:pPr>
            <w:r>
              <w:rPr>
                <w:rFonts w:hint="eastAsia" w:ascii="仿宋" w:hAnsi="仿宋" w:eastAsia="仿宋" w:cs="仿宋"/>
                <w:sz w:val="24"/>
                <w:szCs w:val="24"/>
              </w:rPr>
              <w:t>耐磨性能</w:t>
            </w:r>
          </w:p>
        </w:tc>
        <w:tc>
          <w:tcPr>
            <w:tcW w:w="1325" w:type="pct"/>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hint="eastAsia" w:ascii="仿宋" w:hAnsi="仿宋" w:eastAsia="仿宋" w:cs="仿宋"/>
                <w:sz w:val="24"/>
                <w:szCs w:val="24"/>
              </w:rPr>
            </w:pPr>
            <w:r>
              <w:rPr>
                <w:rFonts w:hint="eastAsia" w:ascii="仿宋" w:hAnsi="仿宋" w:eastAsia="仿宋" w:cs="仿宋"/>
                <w:sz w:val="24"/>
                <w:szCs w:val="24"/>
              </w:rPr>
              <w:t>GB/T 3903.2-2017</w:t>
            </w:r>
          </w:p>
          <w:p>
            <w:pPr>
              <w:snapToGrid w:val="0"/>
              <w:spacing w:line="380" w:lineRule="exact"/>
              <w:jc w:val="center"/>
              <w:rPr>
                <w:rFonts w:hint="eastAsia" w:ascii="仿宋" w:hAnsi="仿宋" w:eastAsia="仿宋" w:cs="仿宋"/>
                <w:sz w:val="24"/>
                <w:szCs w:val="24"/>
              </w:rPr>
            </w:pPr>
            <w:r>
              <w:rPr>
                <w:rFonts w:hint="eastAsia" w:ascii="仿宋" w:hAnsi="仿宋" w:eastAsia="仿宋" w:cs="仿宋"/>
                <w:sz w:val="24"/>
                <w:szCs w:val="24"/>
              </w:rPr>
              <w:t>GB/T 3903.2-2008</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16</w:t>
            </w:r>
          </w:p>
        </w:tc>
        <w:tc>
          <w:tcPr>
            <w:tcW w:w="970" w:type="pct"/>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hint="eastAsia" w:ascii="仿宋" w:hAnsi="仿宋" w:eastAsia="仿宋" w:cs="仿宋"/>
                <w:sz w:val="24"/>
                <w:szCs w:val="24"/>
              </w:rPr>
            </w:pPr>
            <w:r>
              <w:rPr>
                <w:rFonts w:hint="eastAsia" w:ascii="仿宋" w:hAnsi="仿宋" w:eastAsia="仿宋" w:cs="仿宋"/>
                <w:sz w:val="24"/>
                <w:szCs w:val="24"/>
              </w:rPr>
              <w:t>外底硬度</w:t>
            </w:r>
          </w:p>
        </w:tc>
        <w:tc>
          <w:tcPr>
            <w:tcW w:w="1325" w:type="pct"/>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hint="eastAsia" w:ascii="仿宋" w:hAnsi="仿宋" w:eastAsia="仿宋" w:cs="仿宋"/>
                <w:sz w:val="24"/>
                <w:szCs w:val="24"/>
              </w:rPr>
            </w:pPr>
            <w:r>
              <w:rPr>
                <w:rFonts w:hint="eastAsia" w:ascii="仿宋" w:hAnsi="仿宋" w:eastAsia="仿宋" w:cs="仿宋"/>
                <w:sz w:val="24"/>
                <w:szCs w:val="24"/>
              </w:rPr>
              <w:t>GB/T 3903.4-2017</w:t>
            </w:r>
          </w:p>
          <w:p>
            <w:pPr>
              <w:snapToGrid w:val="0"/>
              <w:spacing w:line="380" w:lineRule="exact"/>
              <w:jc w:val="center"/>
              <w:rPr>
                <w:rFonts w:hint="eastAsia" w:ascii="仿宋" w:hAnsi="仿宋" w:eastAsia="仿宋" w:cs="仿宋"/>
                <w:sz w:val="24"/>
                <w:szCs w:val="24"/>
              </w:rPr>
            </w:pPr>
            <w:r>
              <w:rPr>
                <w:rFonts w:hint="eastAsia" w:ascii="仿宋" w:hAnsi="仿宋" w:eastAsia="仿宋" w:cs="仿宋"/>
                <w:sz w:val="24"/>
                <w:szCs w:val="24"/>
              </w:rPr>
              <w:t>GB/T 3903.4-2008</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17</w:t>
            </w:r>
          </w:p>
        </w:tc>
        <w:tc>
          <w:tcPr>
            <w:tcW w:w="970" w:type="pct"/>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hint="eastAsia" w:ascii="仿宋" w:hAnsi="仿宋" w:eastAsia="仿宋" w:cs="仿宋"/>
                <w:sz w:val="24"/>
                <w:szCs w:val="24"/>
              </w:rPr>
            </w:pPr>
            <w:r>
              <w:rPr>
                <w:rFonts w:hint="eastAsia" w:ascii="仿宋" w:hAnsi="仿宋" w:eastAsia="仿宋" w:cs="仿宋"/>
                <w:sz w:val="24"/>
                <w:szCs w:val="24"/>
              </w:rPr>
              <w:t>鞋帮拉出强度或帮带拉出强度或帮带拔出力</w:t>
            </w:r>
          </w:p>
        </w:tc>
        <w:tc>
          <w:tcPr>
            <w:tcW w:w="1325" w:type="pct"/>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hint="eastAsia" w:ascii="仿宋" w:hAnsi="仿宋" w:eastAsia="仿宋" w:cs="仿宋"/>
                <w:sz w:val="24"/>
                <w:szCs w:val="24"/>
              </w:rPr>
            </w:pPr>
            <w:r>
              <w:rPr>
                <w:rFonts w:hint="eastAsia" w:ascii="仿宋" w:hAnsi="仿宋" w:eastAsia="仿宋" w:cs="仿宋"/>
                <w:sz w:val="24"/>
                <w:szCs w:val="24"/>
              </w:rPr>
              <w:t>HG/T 2877-1997</w:t>
            </w:r>
          </w:p>
          <w:p>
            <w:pPr>
              <w:snapToGrid w:val="0"/>
              <w:spacing w:line="380" w:lineRule="exact"/>
              <w:jc w:val="center"/>
              <w:rPr>
                <w:rFonts w:hint="eastAsia" w:ascii="仿宋" w:hAnsi="仿宋" w:eastAsia="仿宋" w:cs="仿宋"/>
                <w:sz w:val="24"/>
                <w:szCs w:val="24"/>
              </w:rPr>
            </w:pPr>
            <w:r>
              <w:rPr>
                <w:rFonts w:hint="eastAsia" w:ascii="仿宋" w:hAnsi="仿宋" w:eastAsia="仿宋" w:cs="仿宋"/>
                <w:sz w:val="24"/>
                <w:szCs w:val="24"/>
              </w:rPr>
              <w:t>QB/T 2880-2016</w:t>
            </w:r>
          </w:p>
          <w:p>
            <w:pPr>
              <w:snapToGrid w:val="0"/>
              <w:spacing w:line="380" w:lineRule="exact"/>
              <w:jc w:val="center"/>
              <w:rPr>
                <w:rFonts w:hint="eastAsia" w:ascii="仿宋" w:hAnsi="仿宋" w:eastAsia="仿宋" w:cs="仿宋"/>
                <w:sz w:val="24"/>
                <w:szCs w:val="24"/>
              </w:rPr>
            </w:pPr>
            <w:r>
              <w:rPr>
                <w:rFonts w:hint="eastAsia" w:ascii="仿宋" w:hAnsi="仿宋" w:eastAsia="仿宋" w:cs="仿宋"/>
                <w:sz w:val="24"/>
                <w:szCs w:val="24"/>
              </w:rPr>
              <w:t>相应产品标准</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18</w:t>
            </w:r>
          </w:p>
        </w:tc>
        <w:tc>
          <w:tcPr>
            <w:tcW w:w="970" w:type="pct"/>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hint="eastAsia" w:ascii="仿宋" w:hAnsi="仿宋" w:eastAsia="仿宋" w:cs="仿宋"/>
                <w:sz w:val="24"/>
                <w:szCs w:val="24"/>
              </w:rPr>
            </w:pPr>
            <w:r>
              <w:rPr>
                <w:rFonts w:hint="eastAsia" w:ascii="仿宋" w:hAnsi="仿宋" w:eastAsia="仿宋" w:cs="仿宋"/>
                <w:sz w:val="24"/>
                <w:szCs w:val="24"/>
              </w:rPr>
              <w:t>衬里和内垫摩擦色牢度</w:t>
            </w:r>
          </w:p>
        </w:tc>
        <w:tc>
          <w:tcPr>
            <w:tcW w:w="1325" w:type="pct"/>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QB/T 2882-2007</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r>
    </w:tbl>
    <w:p>
      <w:pPr>
        <w:adjustRightInd w:val="0"/>
        <w:snapToGrid w:val="0"/>
        <w:spacing w:line="590" w:lineRule="exact"/>
        <w:ind w:firstLine="640" w:firstLineChars="200"/>
        <w:jc w:val="left"/>
        <w:rPr>
          <w:rFonts w:hint="eastAsia" w:ascii="楷体_GB2312" w:hAnsi="楷体_GB2312" w:eastAsia="楷体_GB2312" w:cs="楷体_GB2312"/>
        </w:rPr>
      </w:pPr>
      <w:r>
        <w:rPr>
          <w:rFonts w:hint="eastAsia" w:ascii="楷体_GB2312" w:hAnsi="楷体_GB2312" w:eastAsia="楷体_GB2312" w:cs="楷体_GB2312"/>
        </w:rPr>
        <w:t>（二）儿童胶鞋、儿童雨靴</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772"/>
        <w:gridCol w:w="2385"/>
        <w:gridCol w:w="823"/>
        <w:gridCol w:w="823"/>
        <w:gridCol w:w="823"/>
        <w:gridCol w:w="824"/>
        <w:gridCol w:w="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432"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sz w:val="24"/>
                <w:szCs w:val="24"/>
              </w:rPr>
            </w:pPr>
            <w:bookmarkStart w:id="0" w:name="_GoBack" w:colFirst="0" w:colLast="7"/>
            <w:r>
              <w:rPr>
                <w:rFonts w:hint="eastAsia" w:ascii="黑体" w:hAnsi="黑体" w:eastAsia="黑体" w:cs="黑体"/>
                <w:b w:val="0"/>
                <w:bCs w:val="0"/>
                <w:sz w:val="24"/>
                <w:szCs w:val="24"/>
              </w:rPr>
              <w:t>序号</w:t>
            </w:r>
          </w:p>
        </w:tc>
        <w:tc>
          <w:tcPr>
            <w:tcW w:w="977"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检验项目</w:t>
            </w:r>
          </w:p>
        </w:tc>
        <w:tc>
          <w:tcPr>
            <w:tcW w:w="1315"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检验方法</w:t>
            </w:r>
          </w:p>
        </w:tc>
        <w:tc>
          <w:tcPr>
            <w:tcW w:w="454"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强制性</w:t>
            </w:r>
          </w:p>
        </w:tc>
        <w:tc>
          <w:tcPr>
            <w:tcW w:w="454"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非强制性</w:t>
            </w:r>
          </w:p>
        </w:tc>
        <w:tc>
          <w:tcPr>
            <w:tcW w:w="454"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重要项</w:t>
            </w:r>
          </w:p>
        </w:tc>
        <w:tc>
          <w:tcPr>
            <w:tcW w:w="454"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较重要项</w:t>
            </w:r>
          </w:p>
        </w:tc>
        <w:tc>
          <w:tcPr>
            <w:tcW w:w="454"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次要项</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977" w:type="pct"/>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pH值</w:t>
            </w:r>
          </w:p>
        </w:tc>
        <w:tc>
          <w:tcPr>
            <w:tcW w:w="1315" w:type="pct"/>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GB/T 7573-2002</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977" w:type="pct"/>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游离甲醛</w:t>
            </w:r>
          </w:p>
        </w:tc>
        <w:tc>
          <w:tcPr>
            <w:tcW w:w="131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GB/T 2912.1-1998</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977" w:type="pct"/>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可萃取的重金属</w:t>
            </w:r>
          </w:p>
        </w:tc>
        <w:tc>
          <w:tcPr>
            <w:tcW w:w="1315" w:type="pct"/>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GB/T 17593.1-2006</w:t>
            </w:r>
          </w:p>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GB/T 17593.4-2006 GB/T 17593.2-2007</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4</w:t>
            </w:r>
          </w:p>
        </w:tc>
        <w:tc>
          <w:tcPr>
            <w:tcW w:w="977" w:type="pct"/>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可分解有害芳香胺染料</w:t>
            </w:r>
          </w:p>
        </w:tc>
        <w:tc>
          <w:tcPr>
            <w:tcW w:w="1315" w:type="pct"/>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GB/T 17592-2006</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5</w:t>
            </w:r>
          </w:p>
        </w:tc>
        <w:tc>
          <w:tcPr>
            <w:tcW w:w="977" w:type="pct"/>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含氯酚</w:t>
            </w:r>
          </w:p>
        </w:tc>
        <w:tc>
          <w:tcPr>
            <w:tcW w:w="1315" w:type="pct"/>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GB/T 18414.1-2006</w:t>
            </w:r>
          </w:p>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GB/T 18414.2-2006</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6</w:t>
            </w:r>
          </w:p>
        </w:tc>
        <w:tc>
          <w:tcPr>
            <w:tcW w:w="977" w:type="pct"/>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橡胶部件中的N-亚硝基胺</w:t>
            </w:r>
          </w:p>
        </w:tc>
        <w:tc>
          <w:tcPr>
            <w:tcW w:w="1315" w:type="pct"/>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GB/T 24153-2009</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7</w:t>
            </w:r>
          </w:p>
        </w:tc>
        <w:tc>
          <w:tcPr>
            <w:tcW w:w="977" w:type="pct"/>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物理安全性能</w:t>
            </w:r>
          </w:p>
        </w:tc>
        <w:tc>
          <w:tcPr>
            <w:tcW w:w="1315" w:type="pct"/>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GB 30585-2014</w:t>
            </w:r>
          </w:p>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GB 6675.2-2014</w:t>
            </w:r>
          </w:p>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相应产品标准</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8</w:t>
            </w:r>
          </w:p>
        </w:tc>
        <w:tc>
          <w:tcPr>
            <w:tcW w:w="977" w:type="pct"/>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衬里和内底耐摩擦色牢度</w:t>
            </w:r>
          </w:p>
        </w:tc>
        <w:tc>
          <w:tcPr>
            <w:tcW w:w="1315" w:type="pct"/>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QB/T 2882-2007</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5"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9</w:t>
            </w:r>
          </w:p>
        </w:tc>
        <w:tc>
          <w:tcPr>
            <w:tcW w:w="977" w:type="pct"/>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外底磨耗量/耐磨性能</w:t>
            </w:r>
          </w:p>
        </w:tc>
        <w:tc>
          <w:tcPr>
            <w:tcW w:w="1315" w:type="pct"/>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GB/T 9867-2008</w:t>
            </w:r>
          </w:p>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GB/T 1689-2014</w:t>
            </w:r>
          </w:p>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相应产品标准</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10</w:t>
            </w:r>
          </w:p>
        </w:tc>
        <w:tc>
          <w:tcPr>
            <w:tcW w:w="977" w:type="pct"/>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外底硬度</w:t>
            </w:r>
          </w:p>
        </w:tc>
        <w:tc>
          <w:tcPr>
            <w:tcW w:w="1315" w:type="pct"/>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GB/T 531.1-2008</w:t>
            </w:r>
          </w:p>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HG/T 2489-2007</w:t>
            </w:r>
          </w:p>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相应产品标准</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11</w:t>
            </w:r>
          </w:p>
        </w:tc>
        <w:tc>
          <w:tcPr>
            <w:tcW w:w="977" w:type="pct"/>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防滑性能</w:t>
            </w:r>
          </w:p>
        </w:tc>
        <w:tc>
          <w:tcPr>
            <w:tcW w:w="1315" w:type="pct"/>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HG/T 3780-2005</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12</w:t>
            </w:r>
          </w:p>
        </w:tc>
        <w:tc>
          <w:tcPr>
            <w:tcW w:w="977" w:type="pct"/>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围条与鞋帮粘合强度/鞋帮与鞋底粘合强度</w:t>
            </w:r>
          </w:p>
        </w:tc>
        <w:tc>
          <w:tcPr>
            <w:tcW w:w="1315" w:type="pct"/>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HG/T 4805-2015</w:t>
            </w:r>
          </w:p>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GB/T 21396-2008</w:t>
            </w:r>
          </w:p>
          <w:p>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相应产品标准</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tcPr>
          <w:p>
            <w:pPr>
              <w:adjustRightInd w:val="0"/>
              <w:snapToGrid w:val="0"/>
              <w:spacing w:line="360" w:lineRule="exact"/>
              <w:jc w:val="center"/>
              <w:rPr>
                <w:rFonts w:hint="eastAsia" w:ascii="仿宋" w:hAnsi="仿宋" w:eastAsia="仿宋" w:cs="仿宋"/>
                <w:sz w:val="24"/>
                <w:szCs w:val="24"/>
              </w:rPr>
            </w:pPr>
          </w:p>
        </w:tc>
      </w:tr>
    </w:tbl>
    <w:p>
      <w:pPr>
        <w:jc w:val="left"/>
        <w:rPr>
          <w:rFonts w:eastAsia="黑体"/>
        </w:rPr>
      </w:pPr>
      <w:r>
        <w:rPr>
          <w:rFonts w:hint="eastAsia" w:eastAsia="黑体"/>
        </w:rPr>
        <w:t>三、判定规则</w:t>
      </w:r>
    </w:p>
    <w:p>
      <w:pPr>
        <w:adjustRightInd w:val="0"/>
        <w:snapToGrid w:val="0"/>
        <w:spacing w:line="590" w:lineRule="exact"/>
        <w:ind w:firstLine="640" w:firstLineChars="200"/>
        <w:jc w:val="left"/>
        <w:rPr>
          <w:rFonts w:hint="eastAsia" w:ascii="楷体_GB2312" w:hAnsi="楷体_GB2312" w:eastAsia="楷体_GB2312" w:cs="楷体_GB2312"/>
        </w:rPr>
      </w:pPr>
      <w:r>
        <w:rPr>
          <w:rFonts w:hint="eastAsia" w:ascii="楷体_GB2312" w:hAnsi="楷体_GB2312" w:eastAsia="楷体_GB2312" w:cs="楷体_GB2312"/>
        </w:rPr>
        <w:t>（一）依据标准</w:t>
      </w:r>
    </w:p>
    <w:p>
      <w:pPr>
        <w:keepNext w:val="0"/>
        <w:keepLines w:val="0"/>
        <w:pageBreakBefore w:val="0"/>
        <w:widowControl w:val="0"/>
        <w:kinsoku/>
        <w:wordWrap/>
        <w:overflowPunct/>
        <w:topLinePunct w:val="0"/>
        <w:autoSpaceDE/>
        <w:autoSpaceDN/>
        <w:bidi w:val="0"/>
        <w:adjustRightInd/>
        <w:snapToGrid w:val="0"/>
        <w:spacing w:line="560" w:lineRule="exact"/>
        <w:ind w:firstLine="646" w:firstLineChars="202"/>
        <w:jc w:val="left"/>
        <w:textAlignment w:val="auto"/>
        <w:rPr>
          <w:rFonts w:hint="eastAsia" w:ascii="仿宋" w:hAnsi="仿宋" w:eastAsia="仿宋" w:cs="仿宋"/>
        </w:rPr>
      </w:pPr>
      <w:r>
        <w:rPr>
          <w:rFonts w:hint="eastAsia" w:ascii="仿宋" w:hAnsi="仿宋" w:eastAsia="仿宋" w:cs="仿宋"/>
        </w:rPr>
        <w:t>GB 25036-2010《布面童胶鞋》</w:t>
      </w:r>
    </w:p>
    <w:p>
      <w:pPr>
        <w:keepNext w:val="0"/>
        <w:keepLines w:val="0"/>
        <w:pageBreakBefore w:val="0"/>
        <w:widowControl w:val="0"/>
        <w:kinsoku/>
        <w:wordWrap/>
        <w:overflowPunct/>
        <w:topLinePunct w:val="0"/>
        <w:autoSpaceDE/>
        <w:autoSpaceDN/>
        <w:bidi w:val="0"/>
        <w:adjustRightInd/>
        <w:snapToGrid w:val="0"/>
        <w:spacing w:line="560" w:lineRule="exact"/>
        <w:ind w:firstLine="646" w:firstLineChars="202"/>
        <w:jc w:val="left"/>
        <w:textAlignment w:val="auto"/>
        <w:rPr>
          <w:rFonts w:hint="eastAsia" w:ascii="仿宋" w:hAnsi="仿宋" w:eastAsia="仿宋" w:cs="仿宋"/>
        </w:rPr>
      </w:pPr>
      <w:r>
        <w:rPr>
          <w:rFonts w:hint="eastAsia" w:ascii="仿宋" w:hAnsi="仿宋" w:eastAsia="仿宋" w:cs="仿宋"/>
        </w:rPr>
        <w:t>GB/T 25036-2021《布面童胶鞋》</w:t>
      </w:r>
    </w:p>
    <w:p>
      <w:pPr>
        <w:keepNext w:val="0"/>
        <w:keepLines w:val="0"/>
        <w:pageBreakBefore w:val="0"/>
        <w:widowControl w:val="0"/>
        <w:kinsoku/>
        <w:wordWrap/>
        <w:overflowPunct/>
        <w:topLinePunct w:val="0"/>
        <w:autoSpaceDE/>
        <w:autoSpaceDN/>
        <w:bidi w:val="0"/>
        <w:adjustRightInd/>
        <w:snapToGrid w:val="0"/>
        <w:spacing w:line="560" w:lineRule="exact"/>
        <w:ind w:firstLine="646" w:firstLineChars="202"/>
        <w:jc w:val="left"/>
        <w:textAlignment w:val="auto"/>
        <w:rPr>
          <w:rFonts w:hint="eastAsia" w:ascii="仿宋" w:hAnsi="仿宋" w:eastAsia="仿宋" w:cs="仿宋"/>
        </w:rPr>
      </w:pPr>
      <w:r>
        <w:rPr>
          <w:rFonts w:hint="eastAsia" w:ascii="仿宋" w:hAnsi="仿宋" w:eastAsia="仿宋" w:cs="仿宋"/>
        </w:rPr>
        <w:t>GB 25038-2010《胶鞋健康安全技术规范》</w:t>
      </w:r>
    </w:p>
    <w:p>
      <w:pPr>
        <w:keepNext w:val="0"/>
        <w:keepLines w:val="0"/>
        <w:pageBreakBefore w:val="0"/>
        <w:widowControl w:val="0"/>
        <w:kinsoku/>
        <w:wordWrap/>
        <w:overflowPunct/>
        <w:topLinePunct w:val="0"/>
        <w:autoSpaceDE/>
        <w:autoSpaceDN/>
        <w:bidi w:val="0"/>
        <w:adjustRightInd/>
        <w:snapToGrid w:val="0"/>
        <w:spacing w:line="560" w:lineRule="exact"/>
        <w:ind w:firstLine="646" w:firstLineChars="202"/>
        <w:jc w:val="left"/>
        <w:textAlignment w:val="auto"/>
        <w:rPr>
          <w:rFonts w:hint="eastAsia" w:ascii="仿宋" w:hAnsi="仿宋" w:eastAsia="仿宋" w:cs="仿宋"/>
        </w:rPr>
      </w:pPr>
      <w:r>
        <w:rPr>
          <w:rFonts w:hint="eastAsia" w:ascii="仿宋" w:hAnsi="仿宋" w:eastAsia="仿宋" w:cs="仿宋"/>
        </w:rPr>
        <w:t>GB 30585-2014《儿童鞋安全技术规范》</w:t>
      </w:r>
    </w:p>
    <w:p>
      <w:pPr>
        <w:keepNext w:val="0"/>
        <w:keepLines w:val="0"/>
        <w:pageBreakBefore w:val="0"/>
        <w:widowControl w:val="0"/>
        <w:kinsoku/>
        <w:wordWrap/>
        <w:overflowPunct/>
        <w:topLinePunct w:val="0"/>
        <w:autoSpaceDE/>
        <w:autoSpaceDN/>
        <w:bidi w:val="0"/>
        <w:adjustRightInd/>
        <w:snapToGrid w:val="0"/>
        <w:spacing w:line="560" w:lineRule="exact"/>
        <w:ind w:firstLine="646" w:firstLineChars="202"/>
        <w:jc w:val="left"/>
        <w:textAlignment w:val="auto"/>
        <w:rPr>
          <w:rFonts w:hint="eastAsia" w:ascii="仿宋" w:hAnsi="仿宋" w:eastAsia="仿宋" w:cs="仿宋"/>
        </w:rPr>
      </w:pPr>
      <w:r>
        <w:rPr>
          <w:rFonts w:hint="eastAsia" w:ascii="仿宋" w:hAnsi="仿宋" w:eastAsia="仿宋" w:cs="仿宋"/>
        </w:rPr>
        <w:t>QB/T 2880-2016《儿童皮鞋》</w:t>
      </w:r>
    </w:p>
    <w:p>
      <w:pPr>
        <w:keepNext w:val="0"/>
        <w:keepLines w:val="0"/>
        <w:pageBreakBefore w:val="0"/>
        <w:widowControl w:val="0"/>
        <w:kinsoku/>
        <w:wordWrap/>
        <w:overflowPunct/>
        <w:topLinePunct w:val="0"/>
        <w:autoSpaceDE/>
        <w:autoSpaceDN/>
        <w:bidi w:val="0"/>
        <w:adjustRightInd/>
        <w:snapToGrid w:val="0"/>
        <w:spacing w:line="560" w:lineRule="exact"/>
        <w:ind w:firstLine="646" w:firstLineChars="202"/>
        <w:jc w:val="left"/>
        <w:textAlignment w:val="auto"/>
        <w:rPr>
          <w:rFonts w:hint="eastAsia" w:ascii="仿宋" w:hAnsi="仿宋" w:eastAsia="仿宋" w:cs="仿宋"/>
        </w:rPr>
      </w:pPr>
      <w:r>
        <w:rPr>
          <w:rFonts w:hint="eastAsia" w:ascii="仿宋" w:hAnsi="仿宋" w:eastAsia="仿宋" w:cs="仿宋"/>
        </w:rPr>
        <w:t>QB/T 4331-2012《儿童旅游鞋》</w:t>
      </w:r>
    </w:p>
    <w:p>
      <w:pPr>
        <w:keepNext w:val="0"/>
        <w:keepLines w:val="0"/>
        <w:pageBreakBefore w:val="0"/>
        <w:widowControl w:val="0"/>
        <w:kinsoku/>
        <w:wordWrap/>
        <w:overflowPunct/>
        <w:topLinePunct w:val="0"/>
        <w:autoSpaceDE/>
        <w:autoSpaceDN/>
        <w:bidi w:val="0"/>
        <w:adjustRightInd/>
        <w:snapToGrid w:val="0"/>
        <w:spacing w:line="560" w:lineRule="exact"/>
        <w:ind w:firstLine="646" w:firstLineChars="202"/>
        <w:jc w:val="left"/>
        <w:textAlignment w:val="auto"/>
        <w:rPr>
          <w:rFonts w:hint="eastAsia" w:ascii="仿宋" w:hAnsi="仿宋" w:eastAsia="仿宋" w:cs="仿宋"/>
        </w:rPr>
      </w:pPr>
      <w:r>
        <w:rPr>
          <w:rFonts w:hint="eastAsia" w:ascii="仿宋" w:hAnsi="仿宋" w:eastAsia="仿宋" w:cs="仿宋"/>
        </w:rPr>
        <w:t>QB/T 4331-2021《儿童旅游鞋》</w:t>
      </w:r>
    </w:p>
    <w:p>
      <w:pPr>
        <w:keepNext w:val="0"/>
        <w:keepLines w:val="0"/>
        <w:pageBreakBefore w:val="0"/>
        <w:widowControl w:val="0"/>
        <w:kinsoku/>
        <w:wordWrap/>
        <w:overflowPunct/>
        <w:topLinePunct w:val="0"/>
        <w:autoSpaceDE/>
        <w:autoSpaceDN/>
        <w:bidi w:val="0"/>
        <w:adjustRightInd/>
        <w:snapToGrid w:val="0"/>
        <w:spacing w:line="560" w:lineRule="exact"/>
        <w:ind w:firstLine="646" w:firstLineChars="202"/>
        <w:jc w:val="left"/>
        <w:textAlignment w:val="auto"/>
        <w:rPr>
          <w:rFonts w:hint="eastAsia" w:ascii="仿宋" w:hAnsi="仿宋" w:eastAsia="仿宋" w:cs="仿宋"/>
        </w:rPr>
      </w:pPr>
      <w:r>
        <w:rPr>
          <w:rFonts w:hint="eastAsia" w:ascii="仿宋" w:hAnsi="仿宋" w:eastAsia="仿宋" w:cs="仿宋"/>
        </w:rPr>
        <w:t>QB/T 4546-2013《儿童皮凉鞋》</w:t>
      </w:r>
    </w:p>
    <w:p>
      <w:pPr>
        <w:keepNext w:val="0"/>
        <w:keepLines w:val="0"/>
        <w:pageBreakBefore w:val="0"/>
        <w:widowControl w:val="0"/>
        <w:kinsoku/>
        <w:wordWrap/>
        <w:overflowPunct/>
        <w:topLinePunct w:val="0"/>
        <w:autoSpaceDE/>
        <w:autoSpaceDN/>
        <w:bidi w:val="0"/>
        <w:adjustRightInd/>
        <w:snapToGrid w:val="0"/>
        <w:spacing w:line="560" w:lineRule="exact"/>
        <w:ind w:firstLine="646" w:firstLineChars="202"/>
        <w:jc w:val="left"/>
        <w:textAlignment w:val="auto"/>
        <w:rPr>
          <w:rFonts w:hint="eastAsia" w:ascii="仿宋" w:hAnsi="仿宋" w:eastAsia="仿宋" w:cs="仿宋"/>
        </w:rPr>
      </w:pPr>
      <w:r>
        <w:rPr>
          <w:rFonts w:hint="eastAsia" w:ascii="仿宋" w:hAnsi="仿宋" w:eastAsia="仿宋" w:cs="仿宋"/>
        </w:rPr>
        <w:t>QB/T 4546-2021《儿童皮凉鞋》</w:t>
      </w:r>
    </w:p>
    <w:p>
      <w:pPr>
        <w:keepNext w:val="0"/>
        <w:keepLines w:val="0"/>
        <w:pageBreakBefore w:val="0"/>
        <w:widowControl w:val="0"/>
        <w:kinsoku/>
        <w:wordWrap/>
        <w:overflowPunct/>
        <w:topLinePunct w:val="0"/>
        <w:autoSpaceDE/>
        <w:autoSpaceDN/>
        <w:bidi w:val="0"/>
        <w:adjustRightInd/>
        <w:snapToGrid w:val="0"/>
        <w:spacing w:line="560" w:lineRule="exact"/>
        <w:ind w:firstLine="646" w:firstLineChars="202"/>
        <w:jc w:val="left"/>
        <w:textAlignment w:val="auto"/>
        <w:rPr>
          <w:rFonts w:hint="eastAsia" w:ascii="仿宋" w:hAnsi="仿宋" w:eastAsia="仿宋" w:cs="仿宋"/>
        </w:rPr>
      </w:pPr>
      <w:r>
        <w:rPr>
          <w:rFonts w:hint="eastAsia" w:ascii="仿宋" w:hAnsi="仿宋" w:eastAsia="仿宋" w:cs="仿宋"/>
        </w:rPr>
        <w:t>GB/T 33313-2016《儿童雨靴（鞋）》</w:t>
      </w:r>
    </w:p>
    <w:p>
      <w:pPr>
        <w:keepNext w:val="0"/>
        <w:keepLines w:val="0"/>
        <w:pageBreakBefore w:val="0"/>
        <w:widowControl w:val="0"/>
        <w:kinsoku/>
        <w:wordWrap/>
        <w:overflowPunct/>
        <w:topLinePunct w:val="0"/>
        <w:autoSpaceDE/>
        <w:autoSpaceDN/>
        <w:bidi w:val="0"/>
        <w:adjustRightInd/>
        <w:snapToGrid w:val="0"/>
        <w:spacing w:line="560" w:lineRule="exact"/>
        <w:ind w:firstLine="646" w:firstLineChars="202"/>
        <w:jc w:val="left"/>
        <w:textAlignment w:val="auto"/>
        <w:rPr>
          <w:rFonts w:hint="eastAsia" w:ascii="仿宋" w:hAnsi="仿宋" w:eastAsia="仿宋" w:cs="仿宋"/>
        </w:rPr>
      </w:pPr>
      <w:r>
        <w:rPr>
          <w:rFonts w:hint="eastAsia" w:ascii="仿宋" w:hAnsi="仿宋" w:eastAsia="仿宋" w:cs="仿宋"/>
        </w:rPr>
        <w:t>相关的法律法规、部门规章和规范、现行有效的企业标准、团体标准、地方标准及产品明示质量要求。</w:t>
      </w:r>
    </w:p>
    <w:p>
      <w:pPr>
        <w:adjustRightInd w:val="0"/>
        <w:snapToGrid w:val="0"/>
        <w:spacing w:line="590" w:lineRule="exact"/>
        <w:ind w:firstLine="640" w:firstLineChars="200"/>
        <w:jc w:val="left"/>
        <w:rPr>
          <w:rFonts w:hint="eastAsia" w:ascii="楷体_GB2312" w:hAnsi="楷体_GB2312" w:eastAsia="楷体_GB2312" w:cs="楷体_GB2312"/>
        </w:rPr>
      </w:pPr>
      <w:r>
        <w:rPr>
          <w:rFonts w:hint="eastAsia" w:ascii="楷体_GB2312" w:hAnsi="楷体_GB2312" w:eastAsia="楷体_GB2312" w:cs="楷体_GB2312"/>
        </w:rPr>
        <w:t>（二）判定原则</w:t>
      </w:r>
    </w:p>
    <w:p>
      <w:pPr>
        <w:keepNext w:val="0"/>
        <w:keepLines w:val="0"/>
        <w:pageBreakBefore w:val="0"/>
        <w:widowControl w:val="0"/>
        <w:kinsoku/>
        <w:wordWrap/>
        <w:overflowPunct/>
        <w:topLinePunct w:val="0"/>
        <w:autoSpaceDE/>
        <w:autoSpaceDN/>
        <w:bidi w:val="0"/>
        <w:adjustRightInd/>
        <w:snapToGrid w:val="0"/>
        <w:spacing w:line="560" w:lineRule="exact"/>
        <w:ind w:firstLine="646" w:firstLineChars="202"/>
        <w:jc w:val="left"/>
        <w:textAlignment w:val="auto"/>
        <w:rPr>
          <w:rFonts w:hint="eastAsia" w:ascii="仿宋" w:hAnsi="仿宋" w:eastAsia="仿宋" w:cs="仿宋"/>
        </w:rPr>
      </w:pPr>
      <w:r>
        <w:rPr>
          <w:rFonts w:hint="eastAsia" w:ascii="仿宋" w:hAnsi="仿宋" w:eastAsia="仿宋" w:cs="仿宋"/>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val="0"/>
        <w:spacing w:line="560" w:lineRule="exact"/>
        <w:ind w:firstLine="646" w:firstLineChars="202"/>
        <w:jc w:val="left"/>
        <w:textAlignment w:val="auto"/>
        <w:rPr>
          <w:rFonts w:hint="eastAsia" w:ascii="仿宋" w:hAnsi="仿宋" w:eastAsia="仿宋" w:cs="仿宋"/>
        </w:rPr>
      </w:pPr>
      <w:r>
        <w:rPr>
          <w:rFonts w:hint="eastAsia" w:ascii="仿宋" w:hAnsi="仿宋" w:eastAsia="仿宋" w:cs="仿宋"/>
        </w:rPr>
        <w:t>当被检样品明示的质量要求优于监督抽查实施细则中依据的标准要求时，应按被检样品明示的质量要求判定；</w:t>
      </w:r>
    </w:p>
    <w:p>
      <w:pPr>
        <w:keepNext w:val="0"/>
        <w:keepLines w:val="0"/>
        <w:pageBreakBefore w:val="0"/>
        <w:widowControl w:val="0"/>
        <w:kinsoku/>
        <w:wordWrap/>
        <w:overflowPunct/>
        <w:topLinePunct w:val="0"/>
        <w:autoSpaceDE/>
        <w:autoSpaceDN/>
        <w:bidi w:val="0"/>
        <w:adjustRightInd/>
        <w:snapToGrid w:val="0"/>
        <w:spacing w:line="560" w:lineRule="exact"/>
        <w:ind w:firstLine="646" w:firstLineChars="202"/>
        <w:jc w:val="left"/>
        <w:textAlignment w:val="auto"/>
        <w:rPr>
          <w:rFonts w:hint="eastAsia" w:ascii="仿宋" w:hAnsi="仿宋" w:eastAsia="仿宋" w:cs="仿宋"/>
        </w:rPr>
      </w:pPr>
      <w:r>
        <w:rPr>
          <w:rFonts w:hint="eastAsia" w:ascii="仿宋" w:hAnsi="仿宋" w:eastAsia="仿宋" w:cs="仿宋"/>
        </w:rPr>
        <w:t>当被检样品明示的质量要求劣于或不包含监督抽查实施细则中依据的强制性标准要求时，应按照强制性标准要求判定；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val="0"/>
        <w:spacing w:line="560" w:lineRule="exact"/>
        <w:ind w:firstLine="646" w:firstLineChars="202"/>
        <w:jc w:val="left"/>
        <w:textAlignment w:val="auto"/>
        <w:rPr>
          <w:rFonts w:hint="eastAsia" w:ascii="仿宋" w:hAnsi="仿宋" w:eastAsia="仿宋" w:cs="仿宋"/>
        </w:rPr>
      </w:pPr>
      <w:r>
        <w:rPr>
          <w:rFonts w:hint="eastAsia" w:ascii="仿宋" w:hAnsi="仿宋" w:eastAsia="仿宋" w:cs="仿宋"/>
        </w:rPr>
        <w:t>当被检样品明示的质量要求劣于或包含监督抽查实施细则中依据的推荐性标准要求时，应以被检样品明示的质量要求判定，如相应检验结果不符合相关推荐性标准要求时，应在检验报告中予以说明；</w:t>
      </w:r>
    </w:p>
    <w:p>
      <w:pPr>
        <w:keepNext w:val="0"/>
        <w:keepLines w:val="0"/>
        <w:pageBreakBefore w:val="0"/>
        <w:widowControl w:val="0"/>
        <w:kinsoku/>
        <w:wordWrap/>
        <w:overflowPunct/>
        <w:topLinePunct w:val="0"/>
        <w:autoSpaceDE/>
        <w:autoSpaceDN/>
        <w:bidi w:val="0"/>
        <w:adjustRightInd/>
        <w:snapToGrid w:val="0"/>
        <w:spacing w:line="560" w:lineRule="exact"/>
        <w:ind w:firstLine="646" w:firstLineChars="202"/>
        <w:jc w:val="left"/>
        <w:textAlignment w:val="auto"/>
        <w:rPr>
          <w:rFonts w:hint="eastAsia" w:ascii="仿宋" w:hAnsi="仿宋" w:eastAsia="仿宋" w:cs="仿宋"/>
        </w:rPr>
      </w:pPr>
      <w:r>
        <w:rPr>
          <w:rFonts w:hint="eastAsia" w:ascii="仿宋" w:hAnsi="仿宋" w:eastAsia="仿宋" w:cs="仿宋"/>
        </w:rPr>
        <w:t>当被检样品明示的质量要求不包含监督抽查实施细则中依据的推荐性标准要求时，该指标不参与判定，但应在检验报告中作出说明；</w:t>
      </w:r>
    </w:p>
    <w:p>
      <w:pPr>
        <w:keepNext w:val="0"/>
        <w:keepLines w:val="0"/>
        <w:pageBreakBefore w:val="0"/>
        <w:widowControl w:val="0"/>
        <w:kinsoku/>
        <w:wordWrap/>
        <w:overflowPunct/>
        <w:topLinePunct w:val="0"/>
        <w:autoSpaceDE/>
        <w:autoSpaceDN/>
        <w:bidi w:val="0"/>
        <w:adjustRightInd/>
        <w:snapToGrid w:val="0"/>
        <w:spacing w:line="560" w:lineRule="exact"/>
        <w:ind w:firstLine="646" w:firstLineChars="202"/>
        <w:jc w:val="left"/>
        <w:textAlignment w:val="auto"/>
        <w:rPr>
          <w:rFonts w:hint="eastAsia" w:ascii="仿宋" w:hAnsi="仿宋" w:eastAsia="仿宋" w:cs="仿宋"/>
        </w:rPr>
      </w:pPr>
      <w:r>
        <w:rPr>
          <w:rFonts w:hint="eastAsia" w:ascii="仿宋" w:hAnsi="仿宋" w:eastAsia="仿宋" w:cs="仿宋"/>
        </w:rPr>
        <w:t>当被检样品未能提供有效的企业标准时，按相关国家或行业标准进行判定；</w:t>
      </w:r>
    </w:p>
    <w:p>
      <w:pPr>
        <w:keepNext w:val="0"/>
        <w:keepLines w:val="0"/>
        <w:pageBreakBefore w:val="0"/>
        <w:widowControl w:val="0"/>
        <w:kinsoku/>
        <w:wordWrap/>
        <w:overflowPunct/>
        <w:topLinePunct w:val="0"/>
        <w:autoSpaceDE/>
        <w:autoSpaceDN/>
        <w:bidi w:val="0"/>
        <w:adjustRightInd/>
        <w:snapToGrid w:val="0"/>
        <w:spacing w:line="560" w:lineRule="exact"/>
        <w:ind w:firstLine="646" w:firstLineChars="202"/>
        <w:jc w:val="left"/>
        <w:textAlignment w:val="auto"/>
        <w:rPr>
          <w:rFonts w:hint="eastAsia" w:ascii="仿宋" w:hAnsi="仿宋" w:eastAsia="仿宋" w:cs="仿宋"/>
        </w:rPr>
      </w:pPr>
      <w:r>
        <w:rPr>
          <w:rFonts w:hint="eastAsia" w:ascii="仿宋" w:hAnsi="仿宋" w:eastAsia="仿宋" w:cs="仿宋"/>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keepNext w:val="0"/>
        <w:keepLines w:val="0"/>
        <w:pageBreakBefore w:val="0"/>
        <w:widowControl w:val="0"/>
        <w:kinsoku/>
        <w:wordWrap/>
        <w:overflowPunct/>
        <w:topLinePunct w:val="0"/>
        <w:autoSpaceDE/>
        <w:autoSpaceDN/>
        <w:bidi w:val="0"/>
        <w:adjustRightInd/>
        <w:snapToGrid w:val="0"/>
        <w:spacing w:line="560" w:lineRule="exact"/>
        <w:ind w:firstLine="646" w:firstLineChars="202"/>
        <w:jc w:val="left"/>
        <w:textAlignment w:val="auto"/>
        <w:rPr>
          <w:rFonts w:hint="eastAsia" w:ascii="仿宋" w:hAnsi="仿宋" w:eastAsia="仿宋" w:cs="仿宋"/>
        </w:rPr>
      </w:pPr>
      <w:r>
        <w:rPr>
          <w:rFonts w:hint="eastAsia" w:ascii="仿宋" w:hAnsi="仿宋" w:eastAsia="仿宋" w:cs="仿宋"/>
        </w:rPr>
        <w:t>按照产品质量相关法律法规的规定判定。</w:t>
      </w:r>
    </w:p>
    <w:p>
      <w:pPr>
        <w:keepNext w:val="0"/>
        <w:keepLines w:val="0"/>
        <w:pageBreakBefore w:val="0"/>
        <w:widowControl w:val="0"/>
        <w:kinsoku/>
        <w:wordWrap/>
        <w:overflowPunct/>
        <w:topLinePunct w:val="0"/>
        <w:autoSpaceDE/>
        <w:autoSpaceDN/>
        <w:bidi w:val="0"/>
        <w:adjustRightInd/>
        <w:snapToGrid w:val="0"/>
        <w:spacing w:line="560" w:lineRule="exact"/>
        <w:ind w:firstLine="646" w:firstLineChars="202"/>
        <w:jc w:val="left"/>
        <w:textAlignment w:val="auto"/>
        <w:rPr>
          <w:rFonts w:hint="eastAsia" w:ascii="仿宋" w:hAnsi="仿宋" w:eastAsia="仿宋" w:cs="仿宋"/>
        </w:rPr>
      </w:pPr>
      <w:r>
        <w:rPr>
          <w:rFonts w:hint="eastAsia" w:ascii="仿宋" w:hAnsi="仿宋" w:eastAsia="仿宋" w:cs="仿宋"/>
        </w:rPr>
        <w:t>检验中发现因样品失效或者其他原因致使检验无法进行的，检验人员应如实记录，并提供相关证明材料，报送组织监督抽查的市场监管部门。</w:t>
      </w:r>
    </w:p>
    <w:sectPr>
      <w:pgSz w:w="11906" w:h="16838"/>
      <w:pgMar w:top="2098" w:right="1474" w:bottom="1984" w:left="1587"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iYjVjNWI5MzAzZTZmMWUwMWJlOWMwMWQxNmZkMjMifQ=="/>
  </w:docVars>
  <w:rsids>
    <w:rsidRoot w:val="00FA7094"/>
    <w:rsid w:val="00036BC7"/>
    <w:rsid w:val="0005045D"/>
    <w:rsid w:val="00052D7E"/>
    <w:rsid w:val="00063BD5"/>
    <w:rsid w:val="00092ABD"/>
    <w:rsid w:val="000D616F"/>
    <w:rsid w:val="00116270"/>
    <w:rsid w:val="00120EFB"/>
    <w:rsid w:val="001221DB"/>
    <w:rsid w:val="00174C6B"/>
    <w:rsid w:val="00192BBD"/>
    <w:rsid w:val="001A739C"/>
    <w:rsid w:val="001F5DD4"/>
    <w:rsid w:val="001F741B"/>
    <w:rsid w:val="00201CDD"/>
    <w:rsid w:val="00223348"/>
    <w:rsid w:val="0024290D"/>
    <w:rsid w:val="002432CE"/>
    <w:rsid w:val="00250DFA"/>
    <w:rsid w:val="00270380"/>
    <w:rsid w:val="0029148A"/>
    <w:rsid w:val="002923B9"/>
    <w:rsid w:val="00294579"/>
    <w:rsid w:val="002B670F"/>
    <w:rsid w:val="002D1B5C"/>
    <w:rsid w:val="00301E08"/>
    <w:rsid w:val="003038C4"/>
    <w:rsid w:val="00310C73"/>
    <w:rsid w:val="0033449F"/>
    <w:rsid w:val="00383755"/>
    <w:rsid w:val="0039338B"/>
    <w:rsid w:val="003C7C64"/>
    <w:rsid w:val="003D44AD"/>
    <w:rsid w:val="003D680B"/>
    <w:rsid w:val="003D7768"/>
    <w:rsid w:val="003F0FED"/>
    <w:rsid w:val="004015F5"/>
    <w:rsid w:val="00420989"/>
    <w:rsid w:val="004757C1"/>
    <w:rsid w:val="00497D67"/>
    <w:rsid w:val="004A5090"/>
    <w:rsid w:val="004B2573"/>
    <w:rsid w:val="004B34D2"/>
    <w:rsid w:val="004C375B"/>
    <w:rsid w:val="00501DFB"/>
    <w:rsid w:val="00544BE4"/>
    <w:rsid w:val="00556DC5"/>
    <w:rsid w:val="005600B4"/>
    <w:rsid w:val="00585B5F"/>
    <w:rsid w:val="00592C01"/>
    <w:rsid w:val="005A0994"/>
    <w:rsid w:val="005B06EB"/>
    <w:rsid w:val="005B410F"/>
    <w:rsid w:val="005D2A85"/>
    <w:rsid w:val="005D7661"/>
    <w:rsid w:val="006238A1"/>
    <w:rsid w:val="00624315"/>
    <w:rsid w:val="00695250"/>
    <w:rsid w:val="006D3C87"/>
    <w:rsid w:val="006D4F7A"/>
    <w:rsid w:val="006D505E"/>
    <w:rsid w:val="006F4E7D"/>
    <w:rsid w:val="00701777"/>
    <w:rsid w:val="00732793"/>
    <w:rsid w:val="00735F9B"/>
    <w:rsid w:val="0074286E"/>
    <w:rsid w:val="00752F93"/>
    <w:rsid w:val="0075545D"/>
    <w:rsid w:val="00763BDC"/>
    <w:rsid w:val="007914F7"/>
    <w:rsid w:val="007A0EE2"/>
    <w:rsid w:val="007A10C3"/>
    <w:rsid w:val="007A174E"/>
    <w:rsid w:val="007B0EC6"/>
    <w:rsid w:val="007F204B"/>
    <w:rsid w:val="00806143"/>
    <w:rsid w:val="00841ED0"/>
    <w:rsid w:val="008621A8"/>
    <w:rsid w:val="00866028"/>
    <w:rsid w:val="00895950"/>
    <w:rsid w:val="008A771B"/>
    <w:rsid w:val="008C102E"/>
    <w:rsid w:val="008C280B"/>
    <w:rsid w:val="008D51A5"/>
    <w:rsid w:val="008D7B81"/>
    <w:rsid w:val="008F74C7"/>
    <w:rsid w:val="00906D9C"/>
    <w:rsid w:val="00926BC7"/>
    <w:rsid w:val="00945924"/>
    <w:rsid w:val="00956046"/>
    <w:rsid w:val="009A7942"/>
    <w:rsid w:val="009B4AD1"/>
    <w:rsid w:val="009E01B4"/>
    <w:rsid w:val="009F07C3"/>
    <w:rsid w:val="00A02A33"/>
    <w:rsid w:val="00A05780"/>
    <w:rsid w:val="00A12F20"/>
    <w:rsid w:val="00A27481"/>
    <w:rsid w:val="00A40122"/>
    <w:rsid w:val="00A66D10"/>
    <w:rsid w:val="00A6794F"/>
    <w:rsid w:val="00A97411"/>
    <w:rsid w:val="00AA5F43"/>
    <w:rsid w:val="00AC1C38"/>
    <w:rsid w:val="00AE0A5E"/>
    <w:rsid w:val="00B25DB1"/>
    <w:rsid w:val="00B4118A"/>
    <w:rsid w:val="00B7736F"/>
    <w:rsid w:val="00B971FD"/>
    <w:rsid w:val="00BA2151"/>
    <w:rsid w:val="00BA5EDB"/>
    <w:rsid w:val="00BA664E"/>
    <w:rsid w:val="00BB0B4C"/>
    <w:rsid w:val="00BC667E"/>
    <w:rsid w:val="00BD50D2"/>
    <w:rsid w:val="00BF45C0"/>
    <w:rsid w:val="00C05008"/>
    <w:rsid w:val="00C070D8"/>
    <w:rsid w:val="00C14CE3"/>
    <w:rsid w:val="00C17D35"/>
    <w:rsid w:val="00C4082C"/>
    <w:rsid w:val="00C450FD"/>
    <w:rsid w:val="00C512B6"/>
    <w:rsid w:val="00C9374D"/>
    <w:rsid w:val="00CC19A7"/>
    <w:rsid w:val="00CE5788"/>
    <w:rsid w:val="00D1464E"/>
    <w:rsid w:val="00D224DD"/>
    <w:rsid w:val="00D357A6"/>
    <w:rsid w:val="00D554F8"/>
    <w:rsid w:val="00D629E1"/>
    <w:rsid w:val="00D636B5"/>
    <w:rsid w:val="00DD3A2F"/>
    <w:rsid w:val="00E54840"/>
    <w:rsid w:val="00E56737"/>
    <w:rsid w:val="00E61CE3"/>
    <w:rsid w:val="00E72969"/>
    <w:rsid w:val="00E94DFB"/>
    <w:rsid w:val="00E9624B"/>
    <w:rsid w:val="00E977EC"/>
    <w:rsid w:val="00EB35DB"/>
    <w:rsid w:val="00EC3EBE"/>
    <w:rsid w:val="00EE24A1"/>
    <w:rsid w:val="00F1323C"/>
    <w:rsid w:val="00F1663A"/>
    <w:rsid w:val="00F3768C"/>
    <w:rsid w:val="00F5376E"/>
    <w:rsid w:val="00F60942"/>
    <w:rsid w:val="00F8007C"/>
    <w:rsid w:val="00FA7094"/>
    <w:rsid w:val="00FA791E"/>
    <w:rsid w:val="00FB22F7"/>
    <w:rsid w:val="00FE6536"/>
    <w:rsid w:val="0C6F1945"/>
    <w:rsid w:val="0D5D5C42"/>
    <w:rsid w:val="150973D3"/>
    <w:rsid w:val="164C79CC"/>
    <w:rsid w:val="181073AD"/>
    <w:rsid w:val="1BCD2EC8"/>
    <w:rsid w:val="293046A9"/>
    <w:rsid w:val="2CE455E0"/>
    <w:rsid w:val="3A253C6E"/>
    <w:rsid w:val="48B3040B"/>
    <w:rsid w:val="5BEB6052"/>
    <w:rsid w:val="73705677"/>
    <w:rsid w:val="741A4132"/>
    <w:rsid w:val="75422471"/>
    <w:rsid w:val="7DDB3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imes New Roman"/>
      <w:kern w:val="2"/>
      <w:sz w:val="32"/>
      <w:szCs w:val="32"/>
      <w:lang w:val="en-US" w:eastAsia="zh-CN" w:bidi="ar-SA"/>
    </w:rPr>
  </w:style>
  <w:style w:type="paragraph" w:styleId="2">
    <w:name w:val="heading 1"/>
    <w:basedOn w:val="1"/>
    <w:next w:val="1"/>
    <w:link w:val="9"/>
    <w:qFormat/>
    <w:uiPriority w:val="0"/>
    <w:pPr>
      <w:jc w:val="center"/>
      <w:outlineLvl w:val="0"/>
    </w:pPr>
    <w:rPr>
      <w:rFonts w:ascii="方正小标宋简体" w:eastAsia="方正小标宋简体"/>
      <w:kern w:val="44"/>
      <w:sz w:val="38"/>
      <w:szCs w:val="24"/>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Plain Text"/>
    <w:basedOn w:val="1"/>
    <w:link w:val="10"/>
    <w:unhideWhenUsed/>
    <w:qFormat/>
    <w:uiPriority w:val="0"/>
    <w:rPr>
      <w:rFonts w:ascii="宋体" w:hAnsi="Courier New" w:eastAsia="宋体" w:cs="Courier New"/>
      <w:sz w:val="21"/>
      <w:szCs w:val="21"/>
    </w:rPr>
  </w:style>
  <w:style w:type="paragraph" w:styleId="4">
    <w:name w:val="footer"/>
    <w:basedOn w:val="1"/>
    <w:link w:val="15"/>
    <w:qFormat/>
    <w:uiPriority w:val="0"/>
    <w:pPr>
      <w:tabs>
        <w:tab w:val="center" w:pos="4153"/>
        <w:tab w:val="right" w:pos="8306"/>
      </w:tabs>
      <w:snapToGrid w:val="0"/>
      <w:jc w:val="left"/>
    </w:pPr>
    <w:rPr>
      <w:rFonts w:eastAsia="仿宋_GB2312"/>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rFonts w:eastAsia="仿宋_GB2312"/>
      <w:sz w:val="18"/>
      <w:szCs w:val="18"/>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标题 1 字符"/>
    <w:basedOn w:val="8"/>
    <w:link w:val="2"/>
    <w:uiPriority w:val="0"/>
    <w:rPr>
      <w:rFonts w:ascii="方正小标宋简体" w:eastAsia="方正小标宋简体"/>
      <w:kern w:val="44"/>
      <w:sz w:val="38"/>
      <w:szCs w:val="24"/>
    </w:rPr>
  </w:style>
  <w:style w:type="character" w:customStyle="1" w:styleId="10">
    <w:name w:val="纯文本 字符"/>
    <w:basedOn w:val="8"/>
    <w:link w:val="3"/>
    <w:uiPriority w:val="0"/>
    <w:rPr>
      <w:rFonts w:ascii="宋体" w:hAnsi="Courier New" w:cs="Courier New"/>
      <w:kern w:val="2"/>
      <w:sz w:val="21"/>
      <w:szCs w:val="21"/>
    </w:rPr>
  </w:style>
  <w:style w:type="table" w:customStyle="1" w:styleId="11">
    <w:name w:val="网格型1"/>
    <w:basedOn w:val="6"/>
    <w:unhideWhenUsed/>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_Style 14"/>
    <w:basedOn w:val="1"/>
    <w:qFormat/>
    <w:uiPriority w:val="34"/>
    <w:pPr>
      <w:ind w:firstLine="420" w:firstLineChars="200"/>
    </w:pPr>
    <w:rPr>
      <w:rFonts w:eastAsia="仿宋_GB2312"/>
      <w:sz w:val="30"/>
      <w:szCs w:val="24"/>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4">
    <w:name w:val="页眉 字符"/>
    <w:basedOn w:val="8"/>
    <w:link w:val="5"/>
    <w:qFormat/>
    <w:uiPriority w:val="0"/>
    <w:rPr>
      <w:rFonts w:eastAsia="仿宋_GB2312"/>
      <w:kern w:val="2"/>
      <w:sz w:val="18"/>
      <w:szCs w:val="18"/>
    </w:rPr>
  </w:style>
  <w:style w:type="character" w:customStyle="1" w:styleId="15">
    <w:name w:val="页脚 字符"/>
    <w:basedOn w:val="8"/>
    <w:link w:val="4"/>
    <w:uiPriority w:val="0"/>
    <w:rPr>
      <w:rFonts w:eastAsia="仿宋_GB2312"/>
      <w:kern w:val="2"/>
      <w:sz w:val="18"/>
      <w:szCs w:val="18"/>
    </w:rPr>
  </w:style>
  <w:style w:type="paragraph" w:customStyle="1" w:styleId="16">
    <w:name w:val="列出段落2"/>
    <w:basedOn w:val="1"/>
    <w:unhideWhenUsed/>
    <w:qFormat/>
    <w:uiPriority w:val="99"/>
    <w:pPr>
      <w:ind w:firstLine="420" w:firstLineChars="200"/>
    </w:pPr>
    <w:rPr>
      <w:rFonts w:eastAsia="仿宋_GB2312"/>
      <w:sz w:val="30"/>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378</Words>
  <Characters>2158</Characters>
  <Lines>17</Lines>
  <Paragraphs>5</Paragraphs>
  <TotalTime>5</TotalTime>
  <ScaleCrop>false</ScaleCrop>
  <LinksUpToDate>false</LinksUpToDate>
  <CharactersWithSpaces>2531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2022-06-10T06:17:00Z</dcterms:created>
  <dc:creator>范士平</dc:creator>
  <cp:lastModifiedBy>刘赞</cp:lastModifiedBy>
  <dcterms:modified xsi:type="dcterms:W3CDTF">2023-05-10T07:12:19Z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379F5843D4B84C2D95BB440314EA02DE_12</vt:lpwstr>
  </property>
</Properties>
</file>