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60" w:lineRule="exact"/>
        <w:jc w:val="center"/>
        <w:rPr>
          <w:rFonts w:ascii="Times New Roman" w:hAnsi="Times New Roman" w:eastAsia="方正小标宋简体" w:cs="方正小标宋简体"/>
          <w:sz w:val="44"/>
          <w:szCs w:val="44"/>
        </w:rPr>
      </w:pPr>
      <w:r>
        <w:rPr>
          <w:rFonts w:hint="eastAsia" w:ascii="方正小标宋简体" w:hAnsi="方正小标宋简体" w:eastAsia="方正小标宋简体" w:cs="方正小标宋简体"/>
          <w:b w:val="0"/>
          <w:bCs/>
          <w:sz w:val="44"/>
          <w:szCs w:val="44"/>
        </w:rPr>
        <w:t>珠海市儿童用品产品质量监督抽查实施细则</w:t>
      </w:r>
    </w:p>
    <w:p>
      <w:pPr>
        <w:spacing w:line="360" w:lineRule="auto"/>
        <w:ind w:firstLine="640" w:firstLineChars="200"/>
        <w:jc w:val="left"/>
        <w:rPr>
          <w:rFonts w:ascii="Times New Roman" w:hAnsi="Times New Roman" w:eastAsia="黑体" w:cs="Times New Roman"/>
          <w:sz w:val="32"/>
          <w:szCs w:val="32"/>
        </w:rPr>
      </w:pPr>
    </w:p>
    <w:p>
      <w:pPr>
        <w:spacing w:line="360" w:lineRule="auto"/>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一、抽样方法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s="仿宋"/>
          <w:bCs/>
          <w:sz w:val="32"/>
          <w:szCs w:val="32"/>
        </w:rPr>
      </w:pPr>
      <w:r>
        <w:rPr>
          <w:rFonts w:hint="eastAsia" w:ascii="仿宋" w:hAnsi="仿宋" w:eastAsia="仿宋" w:cs="仿宋"/>
          <w:bCs/>
          <w:sz w:val="32"/>
          <w:szCs w:val="32"/>
        </w:rPr>
        <w:t>以随机抽样的方式在被抽查市场主体的待销产品中抽取。</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s="仿宋"/>
          <w:bCs/>
          <w:sz w:val="32"/>
          <w:szCs w:val="32"/>
        </w:rPr>
      </w:pPr>
      <w:r>
        <w:rPr>
          <w:rFonts w:hint="eastAsia" w:ascii="仿宋" w:hAnsi="仿宋" w:eastAsia="仿宋" w:cs="仿宋"/>
          <w:bCs/>
          <w:sz w:val="32"/>
          <w:szCs w:val="32"/>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s="仿宋"/>
          <w:sz w:val="32"/>
          <w:szCs w:val="32"/>
        </w:rPr>
      </w:pPr>
      <w:r>
        <w:rPr>
          <w:rFonts w:hint="eastAsia" w:ascii="仿宋" w:hAnsi="仿宋" w:eastAsia="仿宋" w:cs="仿宋"/>
          <w:bCs/>
          <w:sz w:val="32"/>
          <w:szCs w:val="32"/>
        </w:rPr>
        <w:t>抽查数量：每款产品抽取2组样本，第1组用于检验，第2组用于备样。每组样本需抽取样品数量如下表所示：</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0"/>
        <w:gridCol w:w="4576"/>
        <w:gridCol w:w="1789"/>
        <w:gridCol w:w="1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jc w:val="center"/>
        </w:trPr>
        <w:tc>
          <w:tcPr>
            <w:tcW w:w="475" w:type="pct"/>
            <w:shd w:val="clear" w:color="auto" w:fill="D7D7D7"/>
            <w:vAlign w:val="center"/>
          </w:tcPr>
          <w:p>
            <w:pPr>
              <w:adjustRightInd w:val="0"/>
              <w:snapToGrid w:val="0"/>
              <w:spacing w:line="400" w:lineRule="exact"/>
              <w:jc w:val="center"/>
              <w:rPr>
                <w:rFonts w:hint="eastAsia" w:ascii="黑体" w:hAnsi="黑体" w:eastAsia="黑体" w:cs="黑体"/>
                <w:sz w:val="24"/>
                <w:szCs w:val="24"/>
              </w:rPr>
            </w:pPr>
            <w:r>
              <w:rPr>
                <w:rFonts w:hint="eastAsia" w:ascii="黑体" w:hAnsi="黑体" w:eastAsia="黑体" w:cs="黑体"/>
                <w:sz w:val="24"/>
                <w:szCs w:val="24"/>
              </w:rPr>
              <w:t>序号</w:t>
            </w:r>
          </w:p>
        </w:tc>
        <w:tc>
          <w:tcPr>
            <w:tcW w:w="2525" w:type="pct"/>
            <w:shd w:val="clear" w:color="auto" w:fill="D7D7D7"/>
            <w:vAlign w:val="center"/>
          </w:tcPr>
          <w:p>
            <w:pPr>
              <w:adjustRightInd w:val="0"/>
              <w:snapToGrid w:val="0"/>
              <w:spacing w:line="400" w:lineRule="exact"/>
              <w:jc w:val="center"/>
              <w:rPr>
                <w:rFonts w:hint="eastAsia" w:ascii="黑体" w:hAnsi="黑体" w:eastAsia="黑体" w:cs="黑体"/>
                <w:sz w:val="24"/>
                <w:szCs w:val="24"/>
              </w:rPr>
            </w:pPr>
            <w:r>
              <w:rPr>
                <w:rFonts w:hint="eastAsia" w:ascii="黑体" w:hAnsi="黑体" w:eastAsia="黑体" w:cs="黑体"/>
                <w:sz w:val="24"/>
                <w:szCs w:val="24"/>
              </w:rPr>
              <w:t>产品名称</w:t>
            </w:r>
          </w:p>
        </w:tc>
        <w:tc>
          <w:tcPr>
            <w:tcW w:w="987" w:type="pct"/>
            <w:shd w:val="clear" w:color="auto" w:fill="D7D7D7"/>
            <w:vAlign w:val="center"/>
          </w:tcPr>
          <w:p>
            <w:pPr>
              <w:adjustRightInd w:val="0"/>
              <w:snapToGrid w:val="0"/>
              <w:spacing w:line="400" w:lineRule="exact"/>
              <w:jc w:val="center"/>
              <w:rPr>
                <w:rFonts w:hint="eastAsia" w:ascii="黑体" w:hAnsi="黑体" w:eastAsia="黑体" w:cs="黑体"/>
                <w:sz w:val="24"/>
                <w:szCs w:val="24"/>
              </w:rPr>
            </w:pPr>
            <w:r>
              <w:rPr>
                <w:rFonts w:hint="eastAsia" w:ascii="黑体" w:hAnsi="黑体" w:eastAsia="黑体" w:cs="黑体"/>
                <w:sz w:val="24"/>
                <w:szCs w:val="24"/>
              </w:rPr>
              <w:t>第1组数量</w:t>
            </w:r>
          </w:p>
        </w:tc>
        <w:tc>
          <w:tcPr>
            <w:tcW w:w="1011" w:type="pct"/>
            <w:shd w:val="clear" w:color="auto" w:fill="D7D7D7"/>
            <w:vAlign w:val="center"/>
          </w:tcPr>
          <w:p>
            <w:pPr>
              <w:adjustRightInd w:val="0"/>
              <w:snapToGrid w:val="0"/>
              <w:spacing w:line="400" w:lineRule="exact"/>
              <w:jc w:val="center"/>
              <w:rPr>
                <w:rFonts w:hint="eastAsia" w:ascii="黑体" w:hAnsi="黑体" w:eastAsia="黑体" w:cs="黑体"/>
                <w:sz w:val="24"/>
                <w:szCs w:val="24"/>
              </w:rPr>
            </w:pPr>
            <w:r>
              <w:rPr>
                <w:rFonts w:hint="eastAsia" w:ascii="黑体" w:hAnsi="黑体" w:eastAsia="黑体" w:cs="黑体"/>
                <w:sz w:val="24"/>
                <w:szCs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475" w:type="pct"/>
            <w:vAlign w:val="center"/>
          </w:tcPr>
          <w:p>
            <w:pPr>
              <w:adjustRightInd w:val="0"/>
              <w:snapToGrid w:val="0"/>
              <w:spacing w:before="156" w:beforeLines="50" w:after="156" w:afterLines="50" w:line="40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2525" w:type="pct"/>
            <w:vAlign w:val="center"/>
          </w:tcPr>
          <w:p>
            <w:pPr>
              <w:adjustRightInd w:val="0"/>
              <w:snapToGrid w:val="0"/>
              <w:spacing w:before="156" w:beforeLines="50" w:after="156" w:afterLines="50"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rPr>
              <w:t>童车</w:t>
            </w:r>
            <w:r>
              <w:rPr>
                <w:rFonts w:hint="eastAsia" w:ascii="仿宋" w:hAnsi="仿宋" w:eastAsia="仿宋" w:cs="仿宋"/>
                <w:sz w:val="24"/>
                <w:szCs w:val="24"/>
                <w:lang w:eastAsia="zh-CN"/>
              </w:rPr>
              <w:t>（儿童自行车、儿童三轮车、儿童推车、婴儿学步车）</w:t>
            </w:r>
          </w:p>
        </w:tc>
        <w:tc>
          <w:tcPr>
            <w:tcW w:w="987" w:type="pct"/>
            <w:vAlign w:val="center"/>
          </w:tcPr>
          <w:p>
            <w:pPr>
              <w:adjustRightInd w:val="0"/>
              <w:snapToGrid w:val="0"/>
              <w:spacing w:before="156" w:beforeLines="50" w:after="156" w:afterLines="50" w:line="400" w:lineRule="exact"/>
              <w:jc w:val="center"/>
              <w:rPr>
                <w:rFonts w:hint="eastAsia" w:ascii="仿宋" w:hAnsi="仿宋" w:eastAsia="仿宋" w:cs="仿宋"/>
                <w:sz w:val="24"/>
                <w:szCs w:val="24"/>
              </w:rPr>
            </w:pPr>
            <w:r>
              <w:rPr>
                <w:rFonts w:hint="eastAsia" w:ascii="仿宋" w:hAnsi="仿宋" w:eastAsia="仿宋" w:cs="仿宋"/>
                <w:sz w:val="24"/>
                <w:szCs w:val="24"/>
              </w:rPr>
              <w:t>1辆</w:t>
            </w:r>
          </w:p>
        </w:tc>
        <w:tc>
          <w:tcPr>
            <w:tcW w:w="1011" w:type="pct"/>
            <w:vAlign w:val="center"/>
          </w:tcPr>
          <w:p>
            <w:pPr>
              <w:adjustRightInd w:val="0"/>
              <w:snapToGrid w:val="0"/>
              <w:spacing w:before="156" w:beforeLines="50" w:after="156" w:afterLines="50" w:line="400" w:lineRule="exact"/>
              <w:jc w:val="center"/>
              <w:rPr>
                <w:rFonts w:hint="eastAsia" w:ascii="仿宋" w:hAnsi="仿宋" w:eastAsia="仿宋" w:cs="仿宋"/>
                <w:sz w:val="24"/>
                <w:szCs w:val="24"/>
              </w:rPr>
            </w:pPr>
            <w:r>
              <w:rPr>
                <w:rFonts w:hint="eastAsia" w:ascii="仿宋" w:hAnsi="仿宋" w:eastAsia="仿宋" w:cs="仿宋"/>
                <w:sz w:val="24"/>
                <w:szCs w:val="24"/>
              </w:rPr>
              <w:t>1辆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75" w:type="pct"/>
            <w:vAlign w:val="center"/>
          </w:tcPr>
          <w:p>
            <w:pPr>
              <w:adjustRightInd w:val="0"/>
              <w:snapToGrid w:val="0"/>
              <w:spacing w:before="156" w:beforeLines="50" w:after="156" w:afterLines="50" w:line="40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2525" w:type="pct"/>
            <w:vAlign w:val="center"/>
          </w:tcPr>
          <w:p>
            <w:pPr>
              <w:adjustRightInd w:val="0"/>
              <w:snapToGrid w:val="0"/>
              <w:spacing w:before="156" w:beforeLines="50" w:after="156" w:afterLines="50" w:line="400" w:lineRule="exact"/>
              <w:jc w:val="center"/>
              <w:rPr>
                <w:rFonts w:hint="eastAsia" w:ascii="仿宋" w:hAnsi="仿宋" w:eastAsia="仿宋" w:cs="仿宋"/>
                <w:sz w:val="24"/>
                <w:szCs w:val="24"/>
              </w:rPr>
            </w:pPr>
            <w:r>
              <w:rPr>
                <w:rFonts w:hint="eastAsia" w:ascii="仿宋" w:hAnsi="仿宋" w:eastAsia="仿宋" w:cs="仿宋"/>
                <w:sz w:val="24"/>
                <w:szCs w:val="24"/>
              </w:rPr>
              <w:t>玩具（包含电子学习机、其他儿童玩具类）</w:t>
            </w:r>
          </w:p>
        </w:tc>
        <w:tc>
          <w:tcPr>
            <w:tcW w:w="987" w:type="pct"/>
            <w:vAlign w:val="center"/>
          </w:tcPr>
          <w:p>
            <w:pPr>
              <w:adjustRightInd w:val="0"/>
              <w:snapToGrid w:val="0"/>
              <w:spacing w:before="156" w:beforeLines="50" w:after="156" w:afterLines="50" w:line="400" w:lineRule="exact"/>
              <w:jc w:val="center"/>
              <w:rPr>
                <w:rFonts w:hint="eastAsia" w:ascii="仿宋" w:hAnsi="仿宋" w:eastAsia="仿宋" w:cs="仿宋"/>
                <w:sz w:val="24"/>
                <w:szCs w:val="24"/>
              </w:rPr>
            </w:pPr>
            <w:r>
              <w:rPr>
                <w:rFonts w:hint="eastAsia" w:ascii="仿宋" w:hAnsi="仿宋" w:eastAsia="仿宋" w:cs="仿宋"/>
                <w:sz w:val="24"/>
                <w:szCs w:val="24"/>
              </w:rPr>
              <w:t>2个</w:t>
            </w:r>
          </w:p>
        </w:tc>
        <w:tc>
          <w:tcPr>
            <w:tcW w:w="1011" w:type="pct"/>
            <w:vAlign w:val="center"/>
          </w:tcPr>
          <w:p>
            <w:pPr>
              <w:adjustRightInd w:val="0"/>
              <w:snapToGrid w:val="0"/>
              <w:spacing w:before="156" w:beforeLines="50" w:after="156" w:afterLines="50" w:line="400" w:lineRule="exact"/>
              <w:jc w:val="center"/>
              <w:rPr>
                <w:rFonts w:hint="eastAsia" w:ascii="仿宋" w:hAnsi="仿宋" w:eastAsia="仿宋" w:cs="仿宋"/>
                <w:sz w:val="24"/>
                <w:szCs w:val="24"/>
              </w:rPr>
            </w:pPr>
            <w:r>
              <w:rPr>
                <w:rFonts w:hint="eastAsia" w:ascii="仿宋" w:hAnsi="仿宋" w:eastAsia="仿宋" w:cs="仿宋"/>
                <w:sz w:val="24"/>
                <w:szCs w:val="24"/>
              </w:rPr>
              <w:t>1个</w:t>
            </w:r>
          </w:p>
        </w:tc>
      </w:tr>
    </w:tbl>
    <w:p>
      <w:pPr>
        <w:spacing w:line="590" w:lineRule="exact"/>
        <w:ind w:firstLine="640" w:firstLineChars="200"/>
        <w:jc w:val="left"/>
        <w:rPr>
          <w:rFonts w:ascii="Times New Roman" w:hAnsi="Times New Roman" w:eastAsia="黑体" w:cs="黑体"/>
          <w:sz w:val="32"/>
          <w:szCs w:val="32"/>
        </w:rPr>
      </w:pPr>
      <w:r>
        <w:rPr>
          <w:rFonts w:hint="eastAsia" w:ascii="Times New Roman" w:hAnsi="Times New Roman" w:eastAsia="黑体" w:cs="黑体"/>
          <w:sz w:val="32"/>
          <w:szCs w:val="32"/>
        </w:rPr>
        <w:t>二、主要检验项目及不合格类别的划分指标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lang w:eastAsia="zh-CN"/>
        </w:rPr>
        <w:t>（一）</w:t>
      </w:r>
      <w:r>
        <w:rPr>
          <w:rFonts w:hint="eastAsia" w:ascii="楷体_GB2312" w:hAnsi="楷体_GB2312" w:eastAsia="楷体_GB2312" w:cs="楷体_GB2312"/>
          <w:bCs/>
          <w:sz w:val="32"/>
          <w:szCs w:val="32"/>
        </w:rPr>
        <w:t>童车</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1.</w:t>
      </w:r>
      <w:r>
        <w:rPr>
          <w:rFonts w:hint="eastAsia" w:ascii="仿宋" w:hAnsi="仿宋" w:eastAsia="仿宋" w:cs="仿宋"/>
          <w:bCs/>
          <w:sz w:val="32"/>
          <w:szCs w:val="32"/>
        </w:rPr>
        <w:t>儿童自行车</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2782"/>
        <w:gridCol w:w="2501"/>
        <w:gridCol w:w="616"/>
        <w:gridCol w:w="616"/>
        <w:gridCol w:w="618"/>
        <w:gridCol w:w="617"/>
        <w:gridCol w:w="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79"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jc w:val="center"/>
              <w:rPr>
                <w:rFonts w:hint="eastAsia" w:ascii="黑体" w:hAnsi="黑体" w:eastAsia="黑体" w:cs="黑体"/>
                <w:bCs/>
                <w:sz w:val="24"/>
                <w:szCs w:val="24"/>
              </w:rPr>
            </w:pPr>
            <w:r>
              <w:rPr>
                <w:rFonts w:hint="eastAsia" w:ascii="黑体" w:hAnsi="黑体" w:eastAsia="黑体" w:cs="黑体"/>
                <w:bCs/>
                <w:sz w:val="24"/>
                <w:szCs w:val="24"/>
              </w:rPr>
              <w:t>序号</w:t>
            </w:r>
          </w:p>
        </w:tc>
        <w:tc>
          <w:tcPr>
            <w:tcW w:w="1535"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jc w:val="center"/>
              <w:rPr>
                <w:rFonts w:hint="eastAsia" w:ascii="黑体" w:hAnsi="黑体" w:eastAsia="黑体" w:cs="黑体"/>
                <w:bCs/>
                <w:sz w:val="24"/>
                <w:szCs w:val="24"/>
              </w:rPr>
            </w:pPr>
            <w:r>
              <w:rPr>
                <w:rFonts w:hint="eastAsia" w:ascii="黑体" w:hAnsi="黑体" w:eastAsia="黑体" w:cs="黑体"/>
                <w:bCs/>
                <w:sz w:val="24"/>
                <w:szCs w:val="24"/>
              </w:rPr>
              <w:t>检验项目</w:t>
            </w:r>
          </w:p>
        </w:tc>
        <w:tc>
          <w:tcPr>
            <w:tcW w:w="1380"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jc w:val="center"/>
              <w:rPr>
                <w:rFonts w:hint="eastAsia" w:ascii="黑体" w:hAnsi="黑体" w:eastAsia="黑体" w:cs="黑体"/>
                <w:bCs/>
                <w:sz w:val="24"/>
                <w:szCs w:val="24"/>
              </w:rPr>
            </w:pPr>
            <w:r>
              <w:rPr>
                <w:rFonts w:hint="eastAsia" w:ascii="黑体" w:hAnsi="黑体" w:eastAsia="黑体" w:cs="黑体"/>
                <w:bCs/>
                <w:sz w:val="24"/>
                <w:szCs w:val="24"/>
              </w:rPr>
              <w:t>依据法律法规或标准</w:t>
            </w:r>
          </w:p>
        </w:tc>
        <w:tc>
          <w:tcPr>
            <w:tcW w:w="340"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jc w:val="center"/>
              <w:rPr>
                <w:rFonts w:hint="eastAsia" w:ascii="黑体" w:hAnsi="黑体" w:eastAsia="黑体" w:cs="黑体"/>
                <w:bCs/>
                <w:sz w:val="24"/>
                <w:szCs w:val="24"/>
              </w:rPr>
            </w:pPr>
            <w:r>
              <w:rPr>
                <w:rFonts w:hint="eastAsia" w:ascii="黑体" w:hAnsi="黑体" w:eastAsia="黑体" w:cs="黑体"/>
                <w:bCs/>
                <w:sz w:val="24"/>
                <w:szCs w:val="24"/>
              </w:rPr>
              <w:t>强制性</w:t>
            </w:r>
          </w:p>
        </w:tc>
        <w:tc>
          <w:tcPr>
            <w:tcW w:w="340"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jc w:val="center"/>
              <w:rPr>
                <w:rFonts w:hint="eastAsia" w:ascii="黑体" w:hAnsi="黑体" w:eastAsia="黑体" w:cs="黑体"/>
                <w:bCs/>
                <w:sz w:val="24"/>
                <w:szCs w:val="24"/>
              </w:rPr>
            </w:pPr>
            <w:r>
              <w:rPr>
                <w:rFonts w:hint="eastAsia" w:ascii="黑体" w:hAnsi="黑体" w:eastAsia="黑体" w:cs="黑体"/>
                <w:bCs/>
                <w:sz w:val="24"/>
                <w:szCs w:val="24"/>
              </w:rPr>
              <w:t>非强制性</w:t>
            </w:r>
          </w:p>
        </w:tc>
        <w:tc>
          <w:tcPr>
            <w:tcW w:w="341"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jc w:val="center"/>
              <w:rPr>
                <w:rFonts w:hint="eastAsia" w:ascii="黑体" w:hAnsi="黑体" w:eastAsia="黑体" w:cs="黑体"/>
                <w:bCs/>
                <w:sz w:val="24"/>
                <w:szCs w:val="24"/>
              </w:rPr>
            </w:pPr>
            <w:r>
              <w:rPr>
                <w:rFonts w:hint="eastAsia" w:ascii="黑体" w:hAnsi="黑体" w:eastAsia="黑体" w:cs="黑体"/>
                <w:bCs/>
                <w:sz w:val="24"/>
                <w:szCs w:val="24"/>
              </w:rPr>
              <w:t>重要项</w:t>
            </w:r>
          </w:p>
        </w:tc>
        <w:tc>
          <w:tcPr>
            <w:tcW w:w="340"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jc w:val="center"/>
              <w:rPr>
                <w:rFonts w:hint="eastAsia" w:ascii="黑体" w:hAnsi="黑体" w:eastAsia="黑体" w:cs="黑体"/>
                <w:bCs/>
                <w:sz w:val="24"/>
                <w:szCs w:val="24"/>
              </w:rPr>
            </w:pPr>
            <w:r>
              <w:rPr>
                <w:rFonts w:hint="eastAsia" w:ascii="黑体" w:hAnsi="黑体" w:eastAsia="黑体" w:cs="黑体"/>
                <w:bCs/>
                <w:sz w:val="24"/>
                <w:szCs w:val="24"/>
              </w:rPr>
              <w:t>较重要项</w:t>
            </w:r>
          </w:p>
        </w:tc>
        <w:tc>
          <w:tcPr>
            <w:tcW w:w="341" w:type="pct"/>
            <w:tcBorders>
              <w:top w:val="single" w:color="auto" w:sz="4" w:space="0"/>
              <w:left w:val="single" w:color="auto" w:sz="4" w:space="0"/>
              <w:right w:val="single" w:color="auto" w:sz="4" w:space="0"/>
            </w:tcBorders>
            <w:shd w:val="clear" w:color="auto" w:fill="D8D8D8"/>
            <w:vAlign w:val="center"/>
          </w:tcPr>
          <w:p>
            <w:pPr>
              <w:adjustRightInd w:val="0"/>
              <w:snapToGrid w:val="0"/>
              <w:jc w:val="center"/>
              <w:rPr>
                <w:rFonts w:hint="eastAsia" w:ascii="黑体" w:hAnsi="黑体" w:eastAsia="黑体" w:cs="黑体"/>
                <w:bCs/>
                <w:sz w:val="24"/>
                <w:szCs w:val="24"/>
              </w:rPr>
            </w:pPr>
            <w:r>
              <w:rPr>
                <w:rFonts w:hint="eastAsia" w:ascii="黑体" w:hAnsi="黑体" w:eastAsia="黑体" w:cs="黑体"/>
                <w:bCs/>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锐利边缘</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3.1.1</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突出物</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3.1.2</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制动系统</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3.2.1</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闸把尺寸</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3.2.2.2</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手闸制动系统的强度</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3.2.4.1</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手闸制动性能试验</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3.2.5.1</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把横管</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3.3.1</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把横管的把套</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3.3.2</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val="0"/>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把立管</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3.3.3</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车把稳定性</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3.3.4</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车把部件的强度</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3.3.5</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冲击试验（重物落下）</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3.4.1</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val="0"/>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冲击试验（车架/前叉组合件落下）</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3.4.2</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lang w:val="en-US" w:eastAsia="zh-CN"/>
              </w:rPr>
              <w:t>车轮</w:t>
            </w:r>
            <w:r>
              <w:rPr>
                <w:rFonts w:hint="eastAsia" w:ascii="仿宋" w:hAnsi="仿宋" w:eastAsia="仿宋" w:cs="仿宋"/>
                <w:spacing w:val="-6"/>
                <w:sz w:val="24"/>
                <w:szCs w:val="24"/>
              </w:rPr>
              <w:t>间隙</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3.6.2</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前轮夹持力</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3.6.4.2</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后轮夹持力</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3.6.4.3</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地面间隙</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3.8.2.1</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足尖间隙</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3.8.2.2</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脚蹬/曲柄组合件动态试验</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3.8.3</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限制尺寸</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3.9.1</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鞍管</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3.9.2</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鞍座调节夹紧装置</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3.9.3</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鞍座的强度</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3.9.4</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驱动系统静负荷试验</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3.10</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链罩</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3.11</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79"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53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平衡轮尺寸</w:t>
            </w:r>
          </w:p>
        </w:tc>
        <w:tc>
          <w:tcPr>
            <w:tcW w:w="138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14746-2006 3.12.1</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bl>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s="仿宋"/>
          <w:bCs/>
          <w:sz w:val="32"/>
          <w:szCs w:val="32"/>
        </w:rPr>
      </w:pPr>
      <w:r>
        <w:rPr>
          <w:rFonts w:hint="eastAsia" w:ascii="仿宋" w:hAnsi="仿宋" w:eastAsia="仿宋" w:cs="仿宋"/>
          <w:bCs/>
          <w:sz w:val="32"/>
          <w:szCs w:val="32"/>
        </w:rPr>
        <w:t>备注：①仅对适用项目进行检测。</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2.</w:t>
      </w:r>
      <w:r>
        <w:rPr>
          <w:rFonts w:hint="eastAsia" w:ascii="仿宋" w:hAnsi="仿宋" w:eastAsia="仿宋" w:cs="仿宋"/>
          <w:bCs/>
          <w:sz w:val="32"/>
          <w:szCs w:val="32"/>
        </w:rPr>
        <w:t>儿童三轮车</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2615"/>
        <w:gridCol w:w="2513"/>
        <w:gridCol w:w="627"/>
        <w:gridCol w:w="627"/>
        <w:gridCol w:w="629"/>
        <w:gridCol w:w="62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436"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spacing w:before="100" w:beforeAutospacing="1" w:after="100" w:afterAutospacing="1" w:line="240" w:lineRule="exact"/>
              <w:jc w:val="center"/>
              <w:rPr>
                <w:rFonts w:hint="eastAsia" w:ascii="黑体" w:hAnsi="黑体" w:eastAsia="黑体" w:cs="黑体"/>
                <w:bCs/>
                <w:sz w:val="24"/>
                <w:szCs w:val="24"/>
              </w:rPr>
            </w:pPr>
            <w:r>
              <w:rPr>
                <w:rFonts w:hint="eastAsia" w:ascii="黑体" w:hAnsi="黑体" w:eastAsia="黑体" w:cs="黑体"/>
                <w:bCs/>
                <w:sz w:val="24"/>
                <w:szCs w:val="24"/>
              </w:rPr>
              <w:t>序号</w:t>
            </w:r>
          </w:p>
        </w:tc>
        <w:tc>
          <w:tcPr>
            <w:tcW w:w="1443"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spacing w:before="100" w:beforeAutospacing="1" w:after="100" w:afterAutospacing="1" w:line="240" w:lineRule="exact"/>
              <w:jc w:val="center"/>
              <w:rPr>
                <w:rFonts w:hint="eastAsia" w:ascii="黑体" w:hAnsi="黑体" w:eastAsia="黑体" w:cs="黑体"/>
                <w:bCs/>
                <w:sz w:val="24"/>
                <w:szCs w:val="24"/>
              </w:rPr>
            </w:pPr>
            <w:r>
              <w:rPr>
                <w:rFonts w:hint="eastAsia" w:ascii="黑体" w:hAnsi="黑体" w:eastAsia="黑体" w:cs="黑体"/>
                <w:bCs/>
                <w:sz w:val="24"/>
                <w:szCs w:val="24"/>
              </w:rPr>
              <w:t>检验项目</w:t>
            </w:r>
          </w:p>
        </w:tc>
        <w:tc>
          <w:tcPr>
            <w:tcW w:w="1387"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spacing w:before="100" w:beforeAutospacing="1" w:after="100" w:afterAutospacing="1" w:line="240" w:lineRule="exact"/>
              <w:jc w:val="center"/>
              <w:rPr>
                <w:rFonts w:hint="eastAsia" w:ascii="黑体" w:hAnsi="黑体" w:eastAsia="黑体" w:cs="黑体"/>
                <w:bCs/>
                <w:sz w:val="24"/>
                <w:szCs w:val="24"/>
              </w:rPr>
            </w:pPr>
            <w:r>
              <w:rPr>
                <w:rFonts w:hint="eastAsia" w:ascii="黑体" w:hAnsi="黑体" w:eastAsia="黑体" w:cs="黑体"/>
                <w:bCs/>
                <w:sz w:val="24"/>
                <w:szCs w:val="24"/>
              </w:rPr>
              <w:t>依据法律法规或标准</w:t>
            </w:r>
          </w:p>
        </w:tc>
        <w:tc>
          <w:tcPr>
            <w:tcW w:w="346"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spacing w:before="100" w:beforeAutospacing="1" w:after="100" w:afterAutospacing="1" w:line="240" w:lineRule="exact"/>
              <w:jc w:val="center"/>
              <w:rPr>
                <w:rFonts w:hint="eastAsia" w:ascii="黑体" w:hAnsi="黑体" w:eastAsia="黑体" w:cs="黑体"/>
                <w:bCs/>
                <w:sz w:val="24"/>
                <w:szCs w:val="24"/>
              </w:rPr>
            </w:pPr>
            <w:r>
              <w:rPr>
                <w:rFonts w:hint="eastAsia" w:ascii="黑体" w:hAnsi="黑体" w:eastAsia="黑体" w:cs="黑体"/>
                <w:bCs/>
                <w:sz w:val="24"/>
                <w:szCs w:val="24"/>
              </w:rPr>
              <w:t>强制性</w:t>
            </w:r>
          </w:p>
        </w:tc>
        <w:tc>
          <w:tcPr>
            <w:tcW w:w="346"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spacing w:before="100" w:beforeAutospacing="1" w:after="100" w:afterAutospacing="1" w:line="240" w:lineRule="exact"/>
              <w:jc w:val="center"/>
              <w:rPr>
                <w:rFonts w:hint="eastAsia" w:ascii="黑体" w:hAnsi="黑体" w:eastAsia="黑体" w:cs="黑体"/>
                <w:bCs/>
                <w:sz w:val="24"/>
                <w:szCs w:val="24"/>
              </w:rPr>
            </w:pPr>
            <w:r>
              <w:rPr>
                <w:rFonts w:hint="eastAsia" w:ascii="黑体" w:hAnsi="黑体" w:eastAsia="黑体" w:cs="黑体"/>
                <w:bCs/>
                <w:sz w:val="24"/>
                <w:szCs w:val="24"/>
              </w:rPr>
              <w:t>非强制性</w:t>
            </w:r>
          </w:p>
        </w:tc>
        <w:tc>
          <w:tcPr>
            <w:tcW w:w="347"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spacing w:before="100" w:beforeAutospacing="1" w:after="100" w:afterAutospacing="1" w:line="240" w:lineRule="exact"/>
              <w:jc w:val="center"/>
              <w:rPr>
                <w:rFonts w:hint="eastAsia" w:ascii="黑体" w:hAnsi="黑体" w:eastAsia="黑体" w:cs="黑体"/>
                <w:bCs/>
                <w:sz w:val="24"/>
                <w:szCs w:val="24"/>
              </w:rPr>
            </w:pPr>
            <w:r>
              <w:rPr>
                <w:rFonts w:hint="eastAsia" w:ascii="黑体" w:hAnsi="黑体" w:eastAsia="黑体" w:cs="黑体"/>
                <w:bCs/>
                <w:sz w:val="24"/>
                <w:szCs w:val="24"/>
              </w:rPr>
              <w:t>重要项</w:t>
            </w:r>
          </w:p>
        </w:tc>
        <w:tc>
          <w:tcPr>
            <w:tcW w:w="346"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spacing w:before="100" w:beforeAutospacing="1" w:after="100" w:afterAutospacing="1" w:line="240" w:lineRule="exact"/>
              <w:jc w:val="center"/>
              <w:rPr>
                <w:rFonts w:hint="eastAsia" w:ascii="黑体" w:hAnsi="黑体" w:eastAsia="黑体" w:cs="黑体"/>
                <w:bCs/>
                <w:sz w:val="24"/>
                <w:szCs w:val="24"/>
              </w:rPr>
            </w:pPr>
            <w:r>
              <w:rPr>
                <w:rFonts w:hint="eastAsia" w:ascii="黑体" w:hAnsi="黑体" w:eastAsia="黑体" w:cs="黑体"/>
                <w:bCs/>
                <w:sz w:val="24"/>
                <w:szCs w:val="24"/>
              </w:rPr>
              <w:t>较重要项</w:t>
            </w:r>
          </w:p>
        </w:tc>
        <w:tc>
          <w:tcPr>
            <w:tcW w:w="347" w:type="pct"/>
            <w:tcBorders>
              <w:top w:val="single" w:color="auto" w:sz="4" w:space="0"/>
              <w:left w:val="single" w:color="auto" w:sz="4" w:space="0"/>
              <w:right w:val="single" w:color="auto" w:sz="4" w:space="0"/>
            </w:tcBorders>
            <w:shd w:val="clear" w:color="auto" w:fill="D8D8D8"/>
            <w:vAlign w:val="center"/>
          </w:tcPr>
          <w:p>
            <w:pPr>
              <w:adjustRightInd w:val="0"/>
              <w:snapToGrid w:val="0"/>
              <w:spacing w:before="100" w:beforeAutospacing="1" w:after="100" w:afterAutospacing="1" w:line="240" w:lineRule="exact"/>
              <w:jc w:val="center"/>
              <w:rPr>
                <w:rFonts w:hint="eastAsia" w:ascii="黑体" w:hAnsi="黑体" w:eastAsia="黑体" w:cs="黑体"/>
                <w:bCs/>
                <w:sz w:val="24"/>
                <w:szCs w:val="24"/>
              </w:rPr>
            </w:pPr>
            <w:r>
              <w:rPr>
                <w:rFonts w:hint="eastAsia" w:ascii="黑体" w:hAnsi="黑体" w:eastAsia="黑体" w:cs="黑体"/>
                <w:bCs/>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特定可迁移元素最大限量</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4.1.1</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燃烧性能</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4.1.2</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机械强度</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4.2</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锐利边缘</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4.3.1</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锐利尖端</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4.3.2</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外露突出物</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4.3.3</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挤夹点</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4.3.4</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小零件</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4.3.5</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行驶稳定性</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4.4.1</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连接紧固件</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4.5.1</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防护罩帽</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4.5.2</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把立管插入深度标记</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4.5.3.1</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highlight w:val="yellow"/>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highlight w:val="yellow"/>
              </w:rPr>
            </w:pPr>
            <w:r>
              <w:rPr>
                <w:rFonts w:hint="eastAsia" w:ascii="仿宋" w:hAnsi="仿宋" w:eastAsia="仿宋" w:cs="仿宋"/>
                <w:spacing w:val="-6"/>
                <w:sz w:val="24"/>
                <w:szCs w:val="24"/>
                <w:highlight w:val="yellow"/>
              </w:rPr>
              <w:t>把立管强度</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highlight w:val="yellow"/>
              </w:rPr>
            </w:pPr>
            <w:r>
              <w:rPr>
                <w:rFonts w:hint="eastAsia" w:ascii="仿宋" w:hAnsi="仿宋" w:eastAsia="仿宋" w:cs="仿宋"/>
                <w:spacing w:val="-6"/>
                <w:sz w:val="24"/>
                <w:szCs w:val="24"/>
                <w:highlight w:val="yellow"/>
              </w:rPr>
              <w:t>GB 14747-2006 4.5.3.2</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yellow"/>
              </w:rPr>
            </w:pPr>
            <w:r>
              <w:rPr>
                <w:rFonts w:hint="eastAsia" w:ascii="仿宋" w:hAnsi="仿宋" w:eastAsia="仿宋" w:cs="仿宋"/>
                <w:sz w:val="24"/>
                <w:szCs w:val="24"/>
                <w:highlight w:val="yellow"/>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yellow"/>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yellow"/>
              </w:rPr>
            </w:pPr>
            <w:r>
              <w:rPr>
                <w:rFonts w:hint="eastAsia" w:ascii="仿宋" w:hAnsi="仿宋" w:eastAsia="仿宋" w:cs="仿宋"/>
                <w:sz w:val="24"/>
                <w:szCs w:val="24"/>
                <w:highlight w:val="yellow"/>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yellow"/>
              </w:rPr>
            </w:pPr>
            <w:bookmarkStart w:id="0" w:name="_GoBack"/>
            <w:bookmarkEnd w:id="0"/>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把横管</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4.5.3.3</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把横管两端</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4.5.3.4</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把立管夹紧装置</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4.5.3.5</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鞍管插入深度</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4.5.4.1</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鞍座调节夹紧装置</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4.5.4.2</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冲击强度</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4.5.5</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靠背结构牢固性</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4.5.6</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辅助推杆强度</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4.5.7</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脚蹬离地高度</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4.5.8.2</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适用年龄和体重</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4.6.2.4</w:t>
            </w:r>
          </w:p>
        </w:tc>
        <w:tc>
          <w:tcPr>
            <w:tcW w:w="34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34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34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436"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4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安全警示</w:t>
            </w:r>
          </w:p>
        </w:tc>
        <w:tc>
          <w:tcPr>
            <w:tcW w:w="138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14747-2006 4.6.2.5</w:t>
            </w:r>
          </w:p>
        </w:tc>
        <w:tc>
          <w:tcPr>
            <w:tcW w:w="34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34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34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r>
    </w:tbl>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s="仿宋"/>
          <w:bCs/>
          <w:sz w:val="32"/>
          <w:szCs w:val="32"/>
        </w:rPr>
      </w:pPr>
      <w:r>
        <w:rPr>
          <w:rFonts w:hint="eastAsia" w:ascii="仿宋" w:hAnsi="仿宋" w:eastAsia="仿宋" w:cs="仿宋"/>
          <w:bCs/>
          <w:sz w:val="32"/>
          <w:szCs w:val="32"/>
        </w:rPr>
        <w:t>备注：①仅对适用项目进行检测。</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3.</w:t>
      </w:r>
      <w:r>
        <w:rPr>
          <w:rFonts w:hint="eastAsia" w:ascii="仿宋" w:hAnsi="仿宋" w:eastAsia="仿宋" w:cs="仿宋"/>
          <w:bCs/>
          <w:sz w:val="32"/>
          <w:szCs w:val="32"/>
        </w:rPr>
        <w:t>儿童推车</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
        <w:gridCol w:w="2529"/>
        <w:gridCol w:w="2540"/>
        <w:gridCol w:w="644"/>
        <w:gridCol w:w="644"/>
        <w:gridCol w:w="644"/>
        <w:gridCol w:w="644"/>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424"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jc w:val="center"/>
              <w:rPr>
                <w:rFonts w:hint="eastAsia" w:ascii="黑体" w:hAnsi="黑体" w:eastAsia="黑体" w:cs="黑体"/>
                <w:bCs/>
                <w:sz w:val="24"/>
                <w:szCs w:val="24"/>
              </w:rPr>
            </w:pPr>
            <w:r>
              <w:rPr>
                <w:rFonts w:hint="eastAsia" w:ascii="黑体" w:hAnsi="黑体" w:eastAsia="黑体" w:cs="黑体"/>
                <w:bCs/>
                <w:sz w:val="24"/>
                <w:szCs w:val="24"/>
              </w:rPr>
              <w:t>序号</w:t>
            </w:r>
          </w:p>
        </w:tc>
        <w:tc>
          <w:tcPr>
            <w:tcW w:w="1395"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jc w:val="center"/>
              <w:rPr>
                <w:rFonts w:hint="eastAsia" w:ascii="黑体" w:hAnsi="黑体" w:eastAsia="黑体" w:cs="黑体"/>
                <w:bCs/>
                <w:sz w:val="24"/>
                <w:szCs w:val="24"/>
              </w:rPr>
            </w:pPr>
            <w:r>
              <w:rPr>
                <w:rFonts w:hint="eastAsia" w:ascii="黑体" w:hAnsi="黑体" w:eastAsia="黑体" w:cs="黑体"/>
                <w:bCs/>
                <w:sz w:val="24"/>
                <w:szCs w:val="24"/>
              </w:rPr>
              <w:t>检验项目</w:t>
            </w:r>
          </w:p>
        </w:tc>
        <w:tc>
          <w:tcPr>
            <w:tcW w:w="1401"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jc w:val="center"/>
              <w:rPr>
                <w:rFonts w:hint="eastAsia" w:ascii="黑体" w:hAnsi="黑体" w:eastAsia="黑体" w:cs="黑体"/>
                <w:bCs/>
                <w:sz w:val="24"/>
                <w:szCs w:val="24"/>
              </w:rPr>
            </w:pPr>
            <w:r>
              <w:rPr>
                <w:rFonts w:hint="eastAsia" w:ascii="黑体" w:hAnsi="黑体" w:eastAsia="黑体" w:cs="黑体"/>
                <w:bCs/>
                <w:sz w:val="24"/>
                <w:szCs w:val="24"/>
              </w:rPr>
              <w:t>依据法律法规或标准</w:t>
            </w:r>
          </w:p>
        </w:tc>
        <w:tc>
          <w:tcPr>
            <w:tcW w:w="355"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jc w:val="center"/>
              <w:rPr>
                <w:rFonts w:hint="eastAsia" w:ascii="黑体" w:hAnsi="黑体" w:eastAsia="黑体" w:cs="黑体"/>
                <w:bCs/>
                <w:sz w:val="24"/>
                <w:szCs w:val="24"/>
              </w:rPr>
            </w:pPr>
            <w:r>
              <w:rPr>
                <w:rFonts w:hint="eastAsia" w:ascii="黑体" w:hAnsi="黑体" w:eastAsia="黑体" w:cs="黑体"/>
                <w:bCs/>
                <w:sz w:val="24"/>
                <w:szCs w:val="24"/>
              </w:rPr>
              <w:t>强制性</w:t>
            </w:r>
          </w:p>
        </w:tc>
        <w:tc>
          <w:tcPr>
            <w:tcW w:w="355"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jc w:val="center"/>
              <w:rPr>
                <w:rFonts w:hint="eastAsia" w:ascii="黑体" w:hAnsi="黑体" w:eastAsia="黑体" w:cs="黑体"/>
                <w:bCs/>
                <w:sz w:val="24"/>
                <w:szCs w:val="24"/>
              </w:rPr>
            </w:pPr>
            <w:r>
              <w:rPr>
                <w:rFonts w:hint="eastAsia" w:ascii="黑体" w:hAnsi="黑体" w:eastAsia="黑体" w:cs="黑体"/>
                <w:bCs/>
                <w:sz w:val="24"/>
                <w:szCs w:val="24"/>
              </w:rPr>
              <w:t>非强制性</w:t>
            </w:r>
          </w:p>
        </w:tc>
        <w:tc>
          <w:tcPr>
            <w:tcW w:w="355"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jc w:val="center"/>
              <w:rPr>
                <w:rFonts w:hint="eastAsia" w:ascii="黑体" w:hAnsi="黑体" w:eastAsia="黑体" w:cs="黑体"/>
                <w:bCs/>
                <w:sz w:val="24"/>
                <w:szCs w:val="24"/>
              </w:rPr>
            </w:pPr>
            <w:r>
              <w:rPr>
                <w:rFonts w:hint="eastAsia" w:ascii="黑体" w:hAnsi="黑体" w:eastAsia="黑体" w:cs="黑体"/>
                <w:bCs/>
                <w:sz w:val="24"/>
                <w:szCs w:val="24"/>
              </w:rPr>
              <w:t>重要项</w:t>
            </w:r>
          </w:p>
        </w:tc>
        <w:tc>
          <w:tcPr>
            <w:tcW w:w="355"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jc w:val="center"/>
              <w:rPr>
                <w:rFonts w:hint="eastAsia" w:ascii="黑体" w:hAnsi="黑体" w:eastAsia="黑体" w:cs="黑体"/>
                <w:bCs/>
                <w:sz w:val="24"/>
                <w:szCs w:val="24"/>
              </w:rPr>
            </w:pPr>
            <w:r>
              <w:rPr>
                <w:rFonts w:hint="eastAsia" w:ascii="黑体" w:hAnsi="黑体" w:eastAsia="黑体" w:cs="黑体"/>
                <w:bCs/>
                <w:sz w:val="24"/>
                <w:szCs w:val="24"/>
              </w:rPr>
              <w:t>较重要项</w:t>
            </w:r>
          </w:p>
        </w:tc>
        <w:tc>
          <w:tcPr>
            <w:tcW w:w="355" w:type="pct"/>
            <w:tcBorders>
              <w:top w:val="single" w:color="auto" w:sz="4" w:space="0"/>
              <w:left w:val="single" w:color="auto" w:sz="4" w:space="0"/>
              <w:right w:val="single" w:color="auto" w:sz="4" w:space="0"/>
            </w:tcBorders>
            <w:shd w:val="clear" w:color="auto" w:fill="D8D8D8"/>
            <w:vAlign w:val="center"/>
          </w:tcPr>
          <w:p>
            <w:pPr>
              <w:adjustRightInd w:val="0"/>
              <w:snapToGrid w:val="0"/>
              <w:jc w:val="center"/>
              <w:rPr>
                <w:rFonts w:hint="eastAsia" w:ascii="黑体" w:hAnsi="黑体" w:eastAsia="黑体" w:cs="黑体"/>
                <w:bCs/>
                <w:sz w:val="24"/>
                <w:szCs w:val="24"/>
              </w:rPr>
            </w:pPr>
            <w:r>
              <w:rPr>
                <w:rFonts w:hint="eastAsia" w:ascii="黑体" w:hAnsi="黑体" w:eastAsia="黑体" w:cs="黑体"/>
                <w:bCs/>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left="0" w:firstLine="0"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材料质量</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4.1.1</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特定可迁移元素最大限量</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4.1.2</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燃烧性能</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4.3</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危险夹缝</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4.4.2.1</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剪切和挤夹点</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4.4.2.2</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锐利边缘和尖端</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4.4.3</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小零件</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4.4.4</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外露突出物</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4.4.5</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机械部件的连接</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4.4.6</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卧兜的最小内部高度</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4.5.1</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座兜的座垫与靠背的角度和靠背的高度</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4.5.2</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推车的适用年龄</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4.6</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卧兜和座兜连接在车架上的装置</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4.7</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稳定性</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4.8</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手把强度</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4.9</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制动装置</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4.10</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keepNext/>
              <w:keepLines/>
              <w:tabs>
                <w:tab w:val="left" w:pos="420"/>
              </w:tabs>
              <w:jc w:val="center"/>
              <w:outlineLvl w:val="2"/>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折叠锁定装置</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4.11</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keepNext/>
              <w:keepLines/>
              <w:tabs>
                <w:tab w:val="left" w:pos="420"/>
              </w:tabs>
              <w:jc w:val="center"/>
              <w:outlineLvl w:val="2"/>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可拆卸卧兜或座兜的连接装置的强度和耐用性</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4.12</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束缚系统的强度</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4.13.1</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安全带扣的强度</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4.13.3</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车轮的强度</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4.14</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动态耐久性试验</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4.15</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撞击强度</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4.16</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静态强度</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4.17</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适用年龄和体重</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7.2.4</w:t>
            </w:r>
          </w:p>
        </w:tc>
        <w:tc>
          <w:tcPr>
            <w:tcW w:w="35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424" w:type="pct"/>
            <w:tcBorders>
              <w:top w:val="single" w:color="auto" w:sz="4" w:space="0"/>
              <w:left w:val="single" w:color="auto" w:sz="4" w:space="0"/>
              <w:bottom w:val="single" w:color="auto" w:sz="4" w:space="0"/>
              <w:right w:val="single" w:color="auto" w:sz="4" w:space="0"/>
            </w:tcBorders>
            <w:vAlign w:val="center"/>
          </w:tcPr>
          <w:p>
            <w:pPr>
              <w:pStyle w:val="9"/>
              <w:widowControl/>
              <w:numPr>
                <w:ilvl w:val="0"/>
                <w:numId w:val="3"/>
              </w:numPr>
              <w:tabs>
                <w:tab w:val="left" w:pos="230"/>
              </w:tabs>
              <w:ind w:firstLineChars="0"/>
              <w:jc w:val="center"/>
              <w:rPr>
                <w:rFonts w:hint="eastAsia" w:ascii="仿宋" w:hAnsi="仿宋" w:eastAsia="仿宋" w:cs="仿宋"/>
                <w:sz w:val="24"/>
                <w:szCs w:val="24"/>
              </w:rPr>
            </w:pPr>
          </w:p>
        </w:tc>
        <w:tc>
          <w:tcPr>
            <w:tcW w:w="13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安全警示</w:t>
            </w:r>
          </w:p>
        </w:tc>
        <w:tc>
          <w:tcPr>
            <w:tcW w:w="140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pacing w:val="-6"/>
                <w:sz w:val="24"/>
                <w:szCs w:val="24"/>
              </w:rPr>
            </w:pPr>
            <w:r>
              <w:rPr>
                <w:rFonts w:hint="eastAsia" w:ascii="仿宋" w:hAnsi="仿宋" w:eastAsia="仿宋" w:cs="仿宋"/>
                <w:spacing w:val="-6"/>
                <w:sz w:val="24"/>
                <w:szCs w:val="24"/>
              </w:rPr>
              <w:t>GB 14748-2006 7.2.5</w:t>
            </w:r>
          </w:p>
        </w:tc>
        <w:tc>
          <w:tcPr>
            <w:tcW w:w="35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35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bl>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s="仿宋"/>
          <w:bCs/>
          <w:sz w:val="32"/>
          <w:szCs w:val="32"/>
        </w:rPr>
      </w:pPr>
      <w:r>
        <w:rPr>
          <w:rFonts w:hint="eastAsia" w:ascii="仿宋" w:hAnsi="仿宋" w:eastAsia="仿宋" w:cs="仿宋"/>
          <w:bCs/>
          <w:sz w:val="32"/>
          <w:szCs w:val="32"/>
        </w:rPr>
        <w:t>备注：①仅对适用项目进行检测。</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4.</w:t>
      </w:r>
      <w:r>
        <w:rPr>
          <w:rFonts w:hint="eastAsia" w:ascii="仿宋" w:hAnsi="仿宋" w:eastAsia="仿宋" w:cs="仿宋"/>
          <w:bCs/>
          <w:sz w:val="32"/>
          <w:szCs w:val="32"/>
        </w:rPr>
        <w:t>婴儿学步车</w:t>
      </w:r>
    </w:p>
    <w:tbl>
      <w:tblPr>
        <w:tblStyle w:val="5"/>
        <w:tblW w:w="506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2687"/>
        <w:gridCol w:w="2514"/>
        <w:gridCol w:w="646"/>
        <w:gridCol w:w="646"/>
        <w:gridCol w:w="646"/>
        <w:gridCol w:w="647"/>
        <w:gridCol w:w="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403"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spacing w:before="100" w:beforeAutospacing="1" w:after="100" w:afterAutospacing="1" w:line="240" w:lineRule="exact"/>
              <w:jc w:val="center"/>
              <w:rPr>
                <w:rFonts w:hint="eastAsia" w:ascii="黑体" w:hAnsi="黑体" w:eastAsia="黑体" w:cs="黑体"/>
                <w:bCs/>
                <w:sz w:val="24"/>
                <w:szCs w:val="24"/>
              </w:rPr>
            </w:pPr>
            <w:r>
              <w:rPr>
                <w:rFonts w:hint="eastAsia" w:ascii="黑体" w:hAnsi="黑体" w:eastAsia="黑体" w:cs="黑体"/>
                <w:bCs/>
                <w:sz w:val="24"/>
                <w:szCs w:val="24"/>
              </w:rPr>
              <w:t>序号</w:t>
            </w:r>
          </w:p>
        </w:tc>
        <w:tc>
          <w:tcPr>
            <w:tcW w:w="1463"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spacing w:before="100" w:beforeAutospacing="1" w:after="100" w:afterAutospacing="1" w:line="240" w:lineRule="exact"/>
              <w:jc w:val="center"/>
              <w:rPr>
                <w:rFonts w:hint="eastAsia" w:ascii="黑体" w:hAnsi="黑体" w:eastAsia="黑体" w:cs="黑体"/>
                <w:bCs/>
                <w:sz w:val="24"/>
                <w:szCs w:val="24"/>
              </w:rPr>
            </w:pPr>
            <w:r>
              <w:rPr>
                <w:rFonts w:hint="eastAsia" w:ascii="黑体" w:hAnsi="黑体" w:eastAsia="黑体" w:cs="黑体"/>
                <w:bCs/>
                <w:sz w:val="24"/>
                <w:szCs w:val="24"/>
              </w:rPr>
              <w:t>检验项目</w:t>
            </w:r>
          </w:p>
        </w:tc>
        <w:tc>
          <w:tcPr>
            <w:tcW w:w="1369"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spacing w:before="100" w:beforeAutospacing="1" w:after="100" w:afterAutospacing="1" w:line="240" w:lineRule="exact"/>
              <w:jc w:val="center"/>
              <w:rPr>
                <w:rFonts w:hint="eastAsia" w:ascii="黑体" w:hAnsi="黑体" w:eastAsia="黑体" w:cs="黑体"/>
                <w:bCs/>
                <w:sz w:val="24"/>
                <w:szCs w:val="24"/>
              </w:rPr>
            </w:pPr>
            <w:r>
              <w:rPr>
                <w:rFonts w:hint="eastAsia" w:ascii="黑体" w:hAnsi="黑体" w:eastAsia="黑体" w:cs="黑体"/>
                <w:bCs/>
                <w:sz w:val="24"/>
                <w:szCs w:val="24"/>
              </w:rPr>
              <w:t>依据法律法规或标准</w:t>
            </w:r>
          </w:p>
        </w:tc>
        <w:tc>
          <w:tcPr>
            <w:tcW w:w="352"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spacing w:before="100" w:beforeAutospacing="1" w:after="100" w:afterAutospacing="1" w:line="240" w:lineRule="exact"/>
              <w:jc w:val="center"/>
              <w:rPr>
                <w:rFonts w:hint="eastAsia" w:ascii="黑体" w:hAnsi="黑体" w:eastAsia="黑体" w:cs="黑体"/>
                <w:bCs/>
                <w:sz w:val="24"/>
                <w:szCs w:val="24"/>
              </w:rPr>
            </w:pPr>
            <w:r>
              <w:rPr>
                <w:rFonts w:hint="eastAsia" w:ascii="黑体" w:hAnsi="黑体" w:eastAsia="黑体" w:cs="黑体"/>
                <w:bCs/>
                <w:sz w:val="24"/>
                <w:szCs w:val="24"/>
              </w:rPr>
              <w:t>强制性</w:t>
            </w:r>
          </w:p>
        </w:tc>
        <w:tc>
          <w:tcPr>
            <w:tcW w:w="352"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spacing w:before="100" w:beforeAutospacing="1" w:after="100" w:afterAutospacing="1" w:line="240" w:lineRule="exact"/>
              <w:jc w:val="center"/>
              <w:rPr>
                <w:rFonts w:hint="eastAsia" w:ascii="黑体" w:hAnsi="黑体" w:eastAsia="黑体" w:cs="黑体"/>
                <w:bCs/>
                <w:sz w:val="24"/>
                <w:szCs w:val="24"/>
              </w:rPr>
            </w:pPr>
            <w:r>
              <w:rPr>
                <w:rFonts w:hint="eastAsia" w:ascii="黑体" w:hAnsi="黑体" w:eastAsia="黑体" w:cs="黑体"/>
                <w:bCs/>
                <w:sz w:val="24"/>
                <w:szCs w:val="24"/>
              </w:rPr>
              <w:t>非强制性</w:t>
            </w:r>
          </w:p>
        </w:tc>
        <w:tc>
          <w:tcPr>
            <w:tcW w:w="352"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spacing w:before="100" w:beforeAutospacing="1" w:after="100" w:afterAutospacing="1" w:line="240" w:lineRule="exact"/>
              <w:jc w:val="center"/>
              <w:rPr>
                <w:rFonts w:hint="eastAsia" w:ascii="黑体" w:hAnsi="黑体" w:eastAsia="黑体" w:cs="黑体"/>
                <w:bCs/>
                <w:sz w:val="24"/>
                <w:szCs w:val="24"/>
              </w:rPr>
            </w:pPr>
            <w:r>
              <w:rPr>
                <w:rFonts w:hint="eastAsia" w:ascii="黑体" w:hAnsi="黑体" w:eastAsia="黑体" w:cs="黑体"/>
                <w:bCs/>
                <w:sz w:val="24"/>
                <w:szCs w:val="24"/>
              </w:rPr>
              <w:t>重要项</w:t>
            </w:r>
          </w:p>
        </w:tc>
        <w:tc>
          <w:tcPr>
            <w:tcW w:w="352"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spacing w:before="100" w:beforeAutospacing="1" w:after="100" w:afterAutospacing="1" w:line="240" w:lineRule="exact"/>
              <w:jc w:val="center"/>
              <w:rPr>
                <w:rFonts w:hint="eastAsia" w:ascii="黑体" w:hAnsi="黑体" w:eastAsia="黑体" w:cs="黑体"/>
                <w:bCs/>
                <w:sz w:val="24"/>
                <w:szCs w:val="24"/>
              </w:rPr>
            </w:pPr>
            <w:r>
              <w:rPr>
                <w:rFonts w:hint="eastAsia" w:ascii="黑体" w:hAnsi="黑体" w:eastAsia="黑体" w:cs="黑体"/>
                <w:bCs/>
                <w:sz w:val="24"/>
                <w:szCs w:val="24"/>
              </w:rPr>
              <w:t>较重要项</w:t>
            </w:r>
          </w:p>
        </w:tc>
        <w:tc>
          <w:tcPr>
            <w:tcW w:w="354" w:type="pct"/>
            <w:tcBorders>
              <w:top w:val="single" w:color="auto" w:sz="4" w:space="0"/>
              <w:left w:val="single" w:color="auto" w:sz="4" w:space="0"/>
              <w:right w:val="single" w:color="auto" w:sz="4" w:space="0"/>
            </w:tcBorders>
            <w:shd w:val="clear" w:color="auto" w:fill="D8D8D8"/>
            <w:vAlign w:val="center"/>
          </w:tcPr>
          <w:p>
            <w:pPr>
              <w:adjustRightInd w:val="0"/>
              <w:snapToGrid w:val="0"/>
              <w:spacing w:before="100" w:beforeAutospacing="1" w:after="100" w:afterAutospacing="1" w:line="240" w:lineRule="exact"/>
              <w:jc w:val="center"/>
              <w:rPr>
                <w:rFonts w:hint="eastAsia" w:ascii="黑体" w:hAnsi="黑体" w:eastAsia="黑体" w:cs="黑体"/>
                <w:bCs/>
                <w:sz w:val="24"/>
                <w:szCs w:val="24"/>
              </w:rPr>
            </w:pPr>
            <w:r>
              <w:rPr>
                <w:rFonts w:hint="eastAsia" w:ascii="黑体" w:hAnsi="黑体" w:eastAsia="黑体" w:cs="黑体"/>
                <w:bCs/>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特定可迁移元素最大限量</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4.1.2</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金属表面</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ind w:firstLine="114" w:firstLineChars="50"/>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4.2</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木制部件</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4.3.1</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危险夹缝及孔、开口</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4.3.2</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弹簧</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4.3.3</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外露突出物</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4.3.4</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可触及部件</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4.3.5</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绳索/弹性绳等绳状物</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4.3.6</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锁定、折叠和框架调节装置</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4.3.7</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挤夹、剪切</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4.3.8</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跨带宽度</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4.3.9</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座位</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4.3.10</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学步车脚轮</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4.3.11</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框架离地高度</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4.3.12</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防撞间距</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4.3.13</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静态稳定性</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4.4</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动态稳定性</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4.5</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静态强度</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4.6</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动态强度</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4.7</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碰撞强度</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4.8</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燃烧性能</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4.9</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适用年龄和体重</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4.11.2.4</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3" w:type="pct"/>
            <w:tcBorders>
              <w:top w:val="single" w:color="auto" w:sz="4" w:space="0"/>
              <w:left w:val="single" w:color="auto" w:sz="4" w:space="0"/>
              <w:bottom w:val="single" w:color="auto" w:sz="4" w:space="0"/>
              <w:right w:val="single" w:color="auto" w:sz="4" w:space="0"/>
            </w:tcBorders>
            <w:vAlign w:val="center"/>
          </w:tcPr>
          <w:p>
            <w:pPr>
              <w:widowControl/>
              <w:numPr>
                <w:ilvl w:val="0"/>
                <w:numId w:val="4"/>
              </w:numPr>
              <w:tabs>
                <w:tab w:val="left" w:pos="284"/>
              </w:tabs>
              <w:ind w:left="0" w:firstLine="0" w:firstLineChars="0"/>
              <w:jc w:val="center"/>
              <w:rPr>
                <w:rFonts w:hint="eastAsia" w:ascii="仿宋" w:hAnsi="仿宋" w:eastAsia="仿宋" w:cs="仿宋"/>
                <w:kern w:val="2"/>
                <w:sz w:val="24"/>
                <w:szCs w:val="24"/>
                <w:lang w:val="en-US" w:eastAsia="zh-CN" w:bidi="ar-SA"/>
              </w:rPr>
            </w:pPr>
          </w:p>
        </w:tc>
        <w:tc>
          <w:tcPr>
            <w:tcW w:w="1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安全警示</w:t>
            </w:r>
          </w:p>
        </w:tc>
        <w:tc>
          <w:tcPr>
            <w:tcW w:w="136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仿宋" w:hAnsi="仿宋" w:eastAsia="仿宋" w:cs="仿宋"/>
                <w:spacing w:val="-6"/>
                <w:sz w:val="24"/>
                <w:szCs w:val="24"/>
              </w:rPr>
            </w:pPr>
            <w:r>
              <w:rPr>
                <w:rFonts w:hint="eastAsia" w:ascii="仿宋" w:hAnsi="仿宋" w:eastAsia="仿宋" w:cs="仿宋"/>
                <w:spacing w:val="-6"/>
                <w:sz w:val="24"/>
                <w:szCs w:val="24"/>
              </w:rPr>
              <w:t>GB 14749-2006 4.11.2.5</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bl>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s="仿宋"/>
          <w:bCs/>
          <w:sz w:val="32"/>
          <w:szCs w:val="32"/>
        </w:rPr>
      </w:pPr>
      <w:r>
        <w:rPr>
          <w:rFonts w:hint="eastAsia" w:ascii="仿宋" w:hAnsi="仿宋" w:eastAsia="仿宋" w:cs="仿宋"/>
          <w:bCs/>
          <w:sz w:val="32"/>
          <w:szCs w:val="32"/>
        </w:rPr>
        <w:t>备注：①仅对适用项目进行检测。</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lang w:eastAsia="zh-CN"/>
        </w:rPr>
        <w:t>（二）</w:t>
      </w:r>
      <w:r>
        <w:rPr>
          <w:rFonts w:hint="eastAsia" w:ascii="楷体_GB2312" w:hAnsi="楷体_GB2312" w:eastAsia="楷体_GB2312" w:cs="楷体_GB2312"/>
          <w:bCs/>
          <w:sz w:val="32"/>
          <w:szCs w:val="32"/>
        </w:rPr>
        <w:t>玩具（含玩具电子学习机，其他儿童玩具类）</w:t>
      </w:r>
    </w:p>
    <w:tbl>
      <w:tblPr>
        <w:tblStyle w:val="5"/>
        <w:tblW w:w="503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7"/>
        <w:gridCol w:w="2665"/>
        <w:gridCol w:w="2518"/>
        <w:gridCol w:w="638"/>
        <w:gridCol w:w="638"/>
        <w:gridCol w:w="638"/>
        <w:gridCol w:w="638"/>
        <w:gridCol w:w="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415" w:type="pct"/>
            <w:tcBorders>
              <w:top w:val="single" w:color="auto" w:sz="4" w:space="0"/>
              <w:left w:val="single" w:color="auto" w:sz="4" w:space="0"/>
              <w:bottom w:val="single" w:color="auto" w:sz="4" w:space="0"/>
              <w:right w:val="single" w:color="auto" w:sz="4" w:space="0"/>
            </w:tcBorders>
            <w:shd w:val="clear" w:color="auto" w:fill="D8D8D8"/>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黑体" w:hAnsi="黑体" w:eastAsia="黑体" w:cs="黑体"/>
                <w:bCs/>
                <w:sz w:val="24"/>
                <w:szCs w:val="24"/>
              </w:rPr>
            </w:pPr>
            <w:r>
              <w:rPr>
                <w:rFonts w:hint="eastAsia" w:ascii="黑体" w:hAnsi="黑体" w:eastAsia="黑体" w:cs="黑体"/>
                <w:bCs/>
                <w:sz w:val="24"/>
                <w:szCs w:val="24"/>
              </w:rPr>
              <w:t>序号</w:t>
            </w:r>
          </w:p>
        </w:tc>
        <w:tc>
          <w:tcPr>
            <w:tcW w:w="1459" w:type="pct"/>
            <w:tcBorders>
              <w:top w:val="single" w:color="auto" w:sz="4" w:space="0"/>
              <w:left w:val="single" w:color="auto" w:sz="4" w:space="0"/>
              <w:bottom w:val="single" w:color="auto" w:sz="4" w:space="0"/>
              <w:right w:val="single" w:color="auto" w:sz="4" w:space="0"/>
            </w:tcBorders>
            <w:shd w:val="clear" w:color="auto" w:fill="D8D8D8"/>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黑体" w:hAnsi="黑体" w:eastAsia="黑体" w:cs="黑体"/>
                <w:bCs/>
                <w:sz w:val="24"/>
                <w:szCs w:val="24"/>
              </w:rPr>
            </w:pPr>
            <w:r>
              <w:rPr>
                <w:rFonts w:hint="eastAsia" w:ascii="黑体" w:hAnsi="黑体" w:eastAsia="黑体" w:cs="黑体"/>
                <w:bCs/>
                <w:sz w:val="24"/>
                <w:szCs w:val="24"/>
              </w:rPr>
              <w:t>检验项目</w:t>
            </w:r>
          </w:p>
        </w:tc>
        <w:tc>
          <w:tcPr>
            <w:tcW w:w="1378" w:type="pct"/>
            <w:tcBorders>
              <w:top w:val="single" w:color="auto" w:sz="4" w:space="0"/>
              <w:left w:val="single" w:color="auto" w:sz="4" w:space="0"/>
              <w:bottom w:val="single" w:color="auto" w:sz="4" w:space="0"/>
              <w:right w:val="single" w:color="auto" w:sz="4" w:space="0"/>
            </w:tcBorders>
            <w:shd w:val="clear" w:color="auto" w:fill="D8D8D8"/>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黑体" w:hAnsi="黑体" w:eastAsia="黑体" w:cs="黑体"/>
                <w:bCs/>
                <w:sz w:val="24"/>
                <w:szCs w:val="24"/>
              </w:rPr>
            </w:pPr>
            <w:r>
              <w:rPr>
                <w:rFonts w:hint="eastAsia" w:ascii="黑体" w:hAnsi="黑体" w:eastAsia="黑体" w:cs="黑体"/>
                <w:bCs/>
                <w:sz w:val="24"/>
                <w:szCs w:val="24"/>
              </w:rPr>
              <w:t>依据法律法规或标准</w:t>
            </w:r>
          </w:p>
        </w:tc>
        <w:tc>
          <w:tcPr>
            <w:tcW w:w="349" w:type="pct"/>
            <w:tcBorders>
              <w:top w:val="single" w:color="auto" w:sz="4" w:space="0"/>
              <w:left w:val="single" w:color="auto" w:sz="4" w:space="0"/>
              <w:bottom w:val="single" w:color="auto" w:sz="4" w:space="0"/>
              <w:right w:val="single" w:color="auto" w:sz="4" w:space="0"/>
            </w:tcBorders>
            <w:shd w:val="clear" w:color="auto" w:fill="D8D8D8"/>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黑体" w:hAnsi="黑体" w:eastAsia="黑体" w:cs="黑体"/>
                <w:bCs/>
                <w:sz w:val="24"/>
                <w:szCs w:val="24"/>
              </w:rPr>
            </w:pPr>
            <w:r>
              <w:rPr>
                <w:rFonts w:hint="eastAsia" w:ascii="黑体" w:hAnsi="黑体" w:eastAsia="黑体" w:cs="黑体"/>
                <w:bCs/>
                <w:sz w:val="24"/>
                <w:szCs w:val="24"/>
              </w:rPr>
              <w:t>强制性</w:t>
            </w:r>
          </w:p>
        </w:tc>
        <w:tc>
          <w:tcPr>
            <w:tcW w:w="349" w:type="pct"/>
            <w:tcBorders>
              <w:top w:val="single" w:color="auto" w:sz="4" w:space="0"/>
              <w:left w:val="single" w:color="auto" w:sz="4" w:space="0"/>
              <w:bottom w:val="single" w:color="auto" w:sz="4" w:space="0"/>
              <w:right w:val="single" w:color="auto" w:sz="4" w:space="0"/>
            </w:tcBorders>
            <w:shd w:val="clear" w:color="auto" w:fill="D8D8D8"/>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黑体" w:hAnsi="黑体" w:eastAsia="黑体" w:cs="黑体"/>
                <w:bCs/>
                <w:sz w:val="24"/>
                <w:szCs w:val="24"/>
              </w:rPr>
            </w:pPr>
            <w:r>
              <w:rPr>
                <w:rFonts w:hint="eastAsia" w:ascii="黑体" w:hAnsi="黑体" w:eastAsia="黑体" w:cs="黑体"/>
                <w:bCs/>
                <w:sz w:val="24"/>
                <w:szCs w:val="24"/>
              </w:rPr>
              <w:t>非强制性</w:t>
            </w:r>
          </w:p>
        </w:tc>
        <w:tc>
          <w:tcPr>
            <w:tcW w:w="349" w:type="pct"/>
            <w:tcBorders>
              <w:top w:val="single" w:color="auto" w:sz="4" w:space="0"/>
              <w:left w:val="single" w:color="auto" w:sz="4" w:space="0"/>
              <w:bottom w:val="single" w:color="auto" w:sz="4" w:space="0"/>
              <w:right w:val="single" w:color="auto" w:sz="4" w:space="0"/>
            </w:tcBorders>
            <w:shd w:val="clear" w:color="auto" w:fill="D8D8D8"/>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黑体" w:hAnsi="黑体" w:eastAsia="黑体" w:cs="黑体"/>
                <w:bCs/>
                <w:sz w:val="24"/>
                <w:szCs w:val="24"/>
              </w:rPr>
            </w:pPr>
            <w:r>
              <w:rPr>
                <w:rFonts w:hint="eastAsia" w:ascii="黑体" w:hAnsi="黑体" w:eastAsia="黑体" w:cs="黑体"/>
                <w:bCs/>
                <w:sz w:val="24"/>
                <w:szCs w:val="24"/>
              </w:rPr>
              <w:t>重要项</w:t>
            </w:r>
          </w:p>
        </w:tc>
        <w:tc>
          <w:tcPr>
            <w:tcW w:w="349" w:type="pct"/>
            <w:tcBorders>
              <w:top w:val="single" w:color="auto" w:sz="4" w:space="0"/>
              <w:left w:val="single" w:color="auto" w:sz="4" w:space="0"/>
              <w:bottom w:val="single" w:color="auto" w:sz="4" w:space="0"/>
              <w:right w:val="single" w:color="auto" w:sz="4" w:space="0"/>
            </w:tcBorders>
            <w:shd w:val="clear" w:color="auto" w:fill="D8D8D8"/>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黑体" w:hAnsi="黑体" w:eastAsia="黑体" w:cs="黑体"/>
                <w:bCs/>
                <w:sz w:val="24"/>
                <w:szCs w:val="24"/>
              </w:rPr>
            </w:pPr>
            <w:r>
              <w:rPr>
                <w:rFonts w:hint="eastAsia" w:ascii="黑体" w:hAnsi="黑体" w:eastAsia="黑体" w:cs="黑体"/>
                <w:bCs/>
                <w:sz w:val="24"/>
                <w:szCs w:val="24"/>
              </w:rPr>
              <w:t>较重要项</w:t>
            </w:r>
          </w:p>
        </w:tc>
        <w:tc>
          <w:tcPr>
            <w:tcW w:w="349" w:type="pct"/>
            <w:tcBorders>
              <w:top w:val="single" w:color="auto" w:sz="4" w:space="0"/>
              <w:left w:val="single" w:color="auto" w:sz="4" w:space="0"/>
              <w:right w:val="single" w:color="auto" w:sz="4" w:space="0"/>
            </w:tcBorders>
            <w:shd w:val="clear" w:color="auto" w:fill="D8D8D8"/>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黑体" w:hAnsi="黑体" w:eastAsia="黑体" w:cs="黑体"/>
                <w:bCs/>
                <w:sz w:val="24"/>
                <w:szCs w:val="24"/>
              </w:rPr>
            </w:pPr>
            <w:r>
              <w:rPr>
                <w:rFonts w:hint="eastAsia" w:ascii="黑体" w:hAnsi="黑体" w:eastAsia="黑体" w:cs="黑体"/>
                <w:bCs/>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材料</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4.3</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小零件</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4.4</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某些特定玩具的形状、尺寸及强度</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4.5</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边缘</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4.6</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尖端</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4.7</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突出部件</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4.8</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金属丝和杆件</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4.9</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用于包装或玩具中的塑料袋或塑料薄膜</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4.10</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绳索和弹性绳</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4.11</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折叠机构</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4.12</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孔、间隙、机械装置的可触及性</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4.13</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弹簧</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4.14</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乘骑玩具及座位稳定性</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4.15.1</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乘骑玩具及座位的超载性能</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4.15.2</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静止在地面上的玩具的稳定性</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4.15.3</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通风装置</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4.16.1</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关闭件</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4.16.2</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封闭头部的玩具</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4.16.3</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仿制防护玩具（头盔、帽子、护目镜）</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4.17</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弹射玩具</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4.18</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水上玩具</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4.19</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制动装置</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4.20</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玩具自行车使用说明</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4.21.1</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鞍座最大高度</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4.21.2</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制动要求</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4.21.3</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热源玩具</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4.23</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液体填充玩具</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4.24</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口动玩具</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4.25</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玩具火药帽</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4.27</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声响要求</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4.28</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磁体和磁性部件</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6675.2-2014  4.29</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易燃性能：一般要求</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6675.3-2014  4.1</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易燃性能：头戴玩具</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6675.3-2014  4.2</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易燃性能：化妆服饰</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6675.3-2014  4.3</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易燃性能：供儿童进入的玩具</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6675.3-2014 4.4</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易燃性能：具有毛绒或纺织表面的软体填充玩具（动物和娃娃等）</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6675.3-2014 4.5</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kern w:val="2"/>
                <w:sz w:val="24"/>
                <w:szCs w:val="24"/>
                <w:lang w:val="en-US" w:eastAsia="zh-CN" w:bidi="ar-SA"/>
              </w:rPr>
            </w:pPr>
            <w:r>
              <w:rPr>
                <w:rFonts w:hint="eastAsia" w:ascii="仿宋" w:hAnsi="仿宋" w:eastAsia="仿宋" w:cs="仿宋"/>
                <w:spacing w:val="-6"/>
                <w:sz w:val="24"/>
                <w:szCs w:val="24"/>
              </w:rPr>
              <w:t>标识和说明</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kern w:val="2"/>
                <w:sz w:val="24"/>
                <w:szCs w:val="24"/>
                <w:lang w:val="en-US" w:eastAsia="zh-CN" w:bidi="ar-SA"/>
              </w:rPr>
            </w:pPr>
            <w:r>
              <w:rPr>
                <w:rFonts w:hint="eastAsia" w:ascii="仿宋" w:hAnsi="仿宋" w:eastAsia="仿宋" w:cs="仿宋"/>
                <w:spacing w:val="-6"/>
                <w:sz w:val="24"/>
                <w:szCs w:val="24"/>
              </w:rPr>
              <w:t>GB 19865-2005 7</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kern w:val="2"/>
                <w:sz w:val="24"/>
                <w:szCs w:val="24"/>
                <w:lang w:val="en-US" w:eastAsia="zh-CN" w:bidi="ar-SA"/>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kern w:val="2"/>
                <w:sz w:val="24"/>
                <w:szCs w:val="24"/>
                <w:lang w:val="en-US" w:eastAsia="zh-CN" w:bidi="ar-SA"/>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发热和非正常工作</w:t>
            </w:r>
          </w:p>
        </w:tc>
        <w:tc>
          <w:tcPr>
            <w:tcW w:w="1378" w:type="pct"/>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19865-2005 9</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机械强度</w:t>
            </w:r>
          </w:p>
        </w:tc>
        <w:tc>
          <w:tcPr>
            <w:tcW w:w="1378" w:type="pct"/>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19865-2005 13</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结构</w:t>
            </w:r>
          </w:p>
        </w:tc>
        <w:tc>
          <w:tcPr>
            <w:tcW w:w="1378" w:type="pct"/>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19865-2005 14</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可迁移元素</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6675.4-2014  4.1</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邻苯二甲酸酯增塑剂</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6675.1-2014  5.3.7</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突出部件</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6675.12-2014 4.7</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静态强度和动态强度</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6675.12-2014 4.11.1</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把立管强度</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6675.12-2014 4.11.2</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三轮滑板车的稳定性</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6675.12-2014 4.12</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可调节、可折叠的把立管和把横管</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6675.12-2014 4.13</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numPr>
                <w:ilvl w:val="0"/>
                <w:numId w:val="5"/>
              </w:numPr>
              <w:tabs>
                <w:tab w:val="left" w:pos="310"/>
              </w:tabs>
              <w:kinsoku/>
              <w:wordWrap/>
              <w:overflowPunct/>
              <w:topLinePunct w:val="0"/>
              <w:autoSpaceDE/>
              <w:autoSpaceDN/>
              <w:bidi w:val="0"/>
              <w:spacing w:beforeAutospacing="0" w:afterAutospacing="0" w:line="320" w:lineRule="exact"/>
              <w:ind w:left="0" w:firstLine="0" w:firstLineChars="0"/>
              <w:jc w:val="center"/>
              <w:textAlignment w:val="auto"/>
              <w:rPr>
                <w:rFonts w:hint="eastAsia" w:ascii="仿宋" w:hAnsi="仿宋" w:eastAsia="仿宋" w:cs="仿宋"/>
                <w:kern w:val="2"/>
                <w:sz w:val="24"/>
                <w:szCs w:val="24"/>
                <w:lang w:val="en-US" w:eastAsia="zh-CN" w:bidi="ar-SA"/>
              </w:rPr>
            </w:pPr>
          </w:p>
        </w:tc>
        <w:tc>
          <w:tcPr>
            <w:tcW w:w="14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刹车</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GB 6675.12-2014 4.14</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320" w:lineRule="exact"/>
              <w:jc w:val="center"/>
              <w:textAlignment w:val="auto"/>
              <w:rPr>
                <w:rFonts w:hint="eastAsia" w:ascii="仿宋" w:hAnsi="仿宋" w:eastAsia="仿宋" w:cs="仿宋"/>
                <w:sz w:val="24"/>
                <w:szCs w:val="24"/>
              </w:rPr>
            </w:pPr>
          </w:p>
        </w:tc>
        <w:tc>
          <w:tcPr>
            <w:tcW w:w="34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320" w:lineRule="exact"/>
              <w:jc w:val="center"/>
              <w:textAlignment w:val="auto"/>
              <w:rPr>
                <w:rFonts w:hint="eastAsia" w:ascii="仿宋" w:hAnsi="仿宋" w:eastAsia="仿宋" w:cs="仿宋"/>
                <w:sz w:val="24"/>
                <w:szCs w:val="24"/>
              </w:rPr>
            </w:pPr>
          </w:p>
        </w:tc>
      </w:tr>
    </w:tbl>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s="仿宋"/>
          <w:bCs/>
          <w:sz w:val="32"/>
          <w:szCs w:val="32"/>
        </w:rPr>
      </w:pPr>
      <w:r>
        <w:rPr>
          <w:rFonts w:hint="eastAsia" w:ascii="仿宋" w:hAnsi="仿宋" w:eastAsia="仿宋" w:cs="仿宋"/>
          <w:bCs/>
          <w:sz w:val="32"/>
          <w:szCs w:val="32"/>
        </w:rPr>
        <w:t>备注：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①检验项目序号1～31应按GB 6675.2-2014 4.1和4.2要求对适用项目进行检测。</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②当检验项目中含多个子项目时，标识类的子项目其重要程度为较重要项，仅标识类子项目不合格时，对应的检验项目不合格程度酌情下调。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③邻苯二甲酸酯增塑剂项目的检测方法，测试日期在2023年8月1日前，使用GB/T 22048-2015；测试日期在2023年8月1日后，使用GB/T 22048-2022，复检时，应采用初检检测方法。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④GB 19865测试前应按标准第5章进行预处理。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ascii="Times New Roman" w:hAnsi="Times New Roman" w:eastAsia="黑体" w:cs="黑体"/>
          <w:sz w:val="32"/>
          <w:szCs w:val="32"/>
        </w:rPr>
      </w:pPr>
      <w:r>
        <w:rPr>
          <w:rFonts w:hint="eastAsia" w:ascii="Times New Roman" w:hAnsi="Times New Roman" w:eastAsia="黑体" w:cs="黑体"/>
          <w:sz w:val="32"/>
          <w:szCs w:val="32"/>
        </w:rPr>
        <w:t>三、判定规则</w:t>
      </w:r>
    </w:p>
    <w:p>
      <w:pPr>
        <w:widowControl/>
        <w:autoSpaceDN w:val="0"/>
        <w:spacing w:line="590" w:lineRule="exact"/>
        <w:ind w:firstLine="641"/>
        <w:jc w:val="left"/>
        <w:rPr>
          <w:rFonts w:ascii="Times New Roman" w:hAnsi="Times New Roman" w:eastAsia="楷体_GB2312" w:cs="楷体_GB2312"/>
          <w:kern w:val="0"/>
          <w:sz w:val="32"/>
          <w:szCs w:val="32"/>
        </w:rPr>
      </w:pPr>
      <w:r>
        <w:rPr>
          <w:rFonts w:hint="eastAsia" w:ascii="Times New Roman" w:hAnsi="Times New Roman" w:eastAsia="楷体_GB2312" w:cs="楷体_GB2312"/>
          <w:kern w:val="0"/>
          <w:sz w:val="32"/>
          <w:szCs w:val="32"/>
        </w:rPr>
        <w:t>（一）依据标准</w:t>
      </w:r>
    </w:p>
    <w:p>
      <w:pPr>
        <w:widowControl/>
        <w:autoSpaceDN w:val="0"/>
        <w:spacing w:line="590" w:lineRule="exact"/>
        <w:ind w:firstLine="641"/>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童车类：</w:t>
      </w:r>
    </w:p>
    <w:p>
      <w:pPr>
        <w:spacing w:line="59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GB 14746-2006《儿童自行车安全要求》</w:t>
      </w:r>
    </w:p>
    <w:p>
      <w:pPr>
        <w:spacing w:line="59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GB 14747-2006《儿童三轮车安全要求》</w:t>
      </w:r>
    </w:p>
    <w:p>
      <w:pPr>
        <w:spacing w:line="59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GB 14748-2006《儿童推车安全要求》</w:t>
      </w:r>
    </w:p>
    <w:p>
      <w:pPr>
        <w:adjustRightInd w:val="0"/>
        <w:snapToGrid w:val="0"/>
        <w:spacing w:line="590" w:lineRule="exact"/>
        <w:ind w:firstLine="640" w:firstLineChars="200"/>
        <w:jc w:val="left"/>
        <w:rPr>
          <w:rFonts w:hint="eastAsia" w:ascii="仿宋" w:hAnsi="仿宋" w:eastAsia="仿宋" w:cs="仿宋"/>
          <w:sz w:val="32"/>
          <w:szCs w:val="32"/>
          <w:highlight w:val="yellow"/>
        </w:rPr>
      </w:pPr>
      <w:r>
        <w:rPr>
          <w:rFonts w:hint="eastAsia" w:ascii="仿宋" w:hAnsi="仿宋" w:eastAsia="仿宋" w:cs="仿宋"/>
          <w:sz w:val="32"/>
          <w:szCs w:val="32"/>
        </w:rPr>
        <w:t>GB 14749-2006《婴儿学步车安全要求》</w:t>
      </w:r>
    </w:p>
    <w:p>
      <w:pPr>
        <w:adjustRightInd w:val="0"/>
        <w:snapToGrid w:val="0"/>
        <w:spacing w:line="590" w:lineRule="exact"/>
        <w:ind w:firstLine="566" w:firstLineChars="177"/>
        <w:jc w:val="left"/>
        <w:rPr>
          <w:rFonts w:hint="eastAsia" w:ascii="仿宋" w:hAnsi="仿宋" w:eastAsia="仿宋" w:cs="仿宋"/>
          <w:bCs/>
          <w:sz w:val="32"/>
          <w:szCs w:val="32"/>
        </w:rPr>
      </w:pPr>
      <w:r>
        <w:rPr>
          <w:rFonts w:hint="eastAsia" w:ascii="仿宋" w:hAnsi="仿宋" w:eastAsia="仿宋" w:cs="仿宋"/>
          <w:bCs/>
          <w:sz w:val="32"/>
          <w:szCs w:val="32"/>
        </w:rPr>
        <w:t>备注：</w:t>
      </w:r>
    </w:p>
    <w:p>
      <w:pPr>
        <w:adjustRightInd w:val="0"/>
        <w:snapToGrid w:val="0"/>
        <w:spacing w:line="590" w:lineRule="exact"/>
        <w:ind w:firstLine="566" w:firstLineChars="177"/>
        <w:jc w:val="left"/>
        <w:rPr>
          <w:rFonts w:hint="eastAsia" w:ascii="仿宋" w:hAnsi="仿宋" w:eastAsia="仿宋" w:cs="仿宋"/>
          <w:bCs/>
          <w:sz w:val="32"/>
          <w:szCs w:val="32"/>
        </w:rPr>
      </w:pPr>
      <w:r>
        <w:rPr>
          <w:rFonts w:hint="eastAsia" w:ascii="仿宋" w:hAnsi="仿宋" w:eastAsia="仿宋" w:cs="仿宋"/>
          <w:bCs/>
          <w:sz w:val="32"/>
          <w:szCs w:val="32"/>
        </w:rPr>
        <w:t>①上述产品如附加具有玩耍功能的独立玩具或部件作为童车产品的配饰、挂件等，应按本实施细则中玩具产品相关检验项目进行测试。</w:t>
      </w:r>
    </w:p>
    <w:p>
      <w:pPr>
        <w:adjustRightInd w:val="0"/>
        <w:snapToGrid w:val="0"/>
        <w:spacing w:line="590" w:lineRule="exact"/>
        <w:ind w:firstLine="566" w:firstLineChars="177"/>
        <w:jc w:val="left"/>
        <w:rPr>
          <w:rFonts w:hint="eastAsia" w:ascii="仿宋" w:hAnsi="仿宋" w:eastAsia="仿宋" w:cs="仿宋"/>
          <w:bCs/>
          <w:sz w:val="32"/>
          <w:szCs w:val="32"/>
        </w:rPr>
      </w:pPr>
      <w:r>
        <w:rPr>
          <w:rFonts w:hint="eastAsia" w:ascii="仿宋" w:hAnsi="仿宋" w:eastAsia="仿宋" w:cs="仿宋"/>
          <w:bCs/>
          <w:sz w:val="32"/>
          <w:szCs w:val="32"/>
        </w:rPr>
        <w:t>②上述产品如附加有带电部件作为童车产品的辅助功能，该部件应按本细则中GB 19865相关项目进行测试。</w:t>
      </w:r>
    </w:p>
    <w:p>
      <w:pPr>
        <w:widowControl/>
        <w:autoSpaceDN w:val="0"/>
        <w:spacing w:line="590" w:lineRule="exact"/>
        <w:ind w:firstLine="641"/>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玩具类（含电子学习机、其他儿童玩具类）：</w:t>
      </w:r>
    </w:p>
    <w:p>
      <w:pPr>
        <w:spacing w:line="59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GB 6675.1-2014 《玩具安全第1部分：基本规范》</w:t>
      </w:r>
    </w:p>
    <w:p>
      <w:pPr>
        <w:spacing w:line="59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GB 6675.2-2014 《玩具安全第2部分：机械与物理性能》</w:t>
      </w:r>
      <w:r>
        <w:rPr>
          <w:rFonts w:hint="eastAsia" w:ascii="仿宋" w:hAnsi="仿宋" w:eastAsia="仿宋" w:cs="仿宋"/>
          <w:color w:val="000000"/>
          <w:sz w:val="32"/>
          <w:szCs w:val="32"/>
        </w:rPr>
        <w:t>（含第1号修改单）</w:t>
      </w:r>
    </w:p>
    <w:p>
      <w:pPr>
        <w:spacing w:line="59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GB 6675.3-2014 《玩具安全第3部分：易燃性能》</w:t>
      </w:r>
    </w:p>
    <w:p>
      <w:pPr>
        <w:spacing w:line="59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GB 6675.4-2014 《玩具安全第4部分：特定元素的迁移》</w:t>
      </w:r>
    </w:p>
    <w:p>
      <w:pPr>
        <w:spacing w:line="59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GB 19865-2005《电玩具的安全》</w:t>
      </w:r>
      <w:r>
        <w:rPr>
          <w:rFonts w:hint="eastAsia" w:ascii="仿宋" w:hAnsi="仿宋" w:eastAsia="仿宋" w:cs="仿宋"/>
          <w:color w:val="000000"/>
          <w:sz w:val="32"/>
          <w:szCs w:val="32"/>
        </w:rPr>
        <w:t>（含第1号修改单）</w:t>
      </w:r>
      <w:r>
        <w:rPr>
          <w:rFonts w:hint="eastAsia" w:ascii="仿宋" w:hAnsi="仿宋" w:eastAsia="仿宋" w:cs="仿宋"/>
          <w:sz w:val="32"/>
          <w:szCs w:val="32"/>
        </w:rPr>
        <w:t>（适用于带电玩具）</w:t>
      </w:r>
    </w:p>
    <w:p>
      <w:pPr>
        <w:adjustRightInd w:val="0"/>
        <w:snapToGrid w:val="0"/>
        <w:spacing w:line="590" w:lineRule="exact"/>
        <w:ind w:firstLine="566" w:firstLineChars="177"/>
        <w:jc w:val="left"/>
        <w:rPr>
          <w:rFonts w:hint="eastAsia" w:ascii="仿宋" w:hAnsi="仿宋" w:eastAsia="仿宋" w:cs="仿宋"/>
          <w:bCs/>
          <w:sz w:val="32"/>
          <w:szCs w:val="32"/>
        </w:rPr>
      </w:pPr>
      <w:r>
        <w:rPr>
          <w:rFonts w:hint="eastAsia" w:ascii="仿宋" w:hAnsi="仿宋" w:eastAsia="仿宋" w:cs="仿宋"/>
          <w:bCs/>
          <w:sz w:val="32"/>
          <w:szCs w:val="32"/>
        </w:rPr>
        <w:t>GB 6675.12-2014 《玩具安全第12部分：玩具滑板车》（适用于玩具滑板车）</w:t>
      </w:r>
    </w:p>
    <w:p>
      <w:pPr>
        <w:adjustRightInd w:val="0"/>
        <w:snapToGrid w:val="0"/>
        <w:spacing w:line="590" w:lineRule="exact"/>
        <w:ind w:firstLine="566" w:firstLineChars="177"/>
        <w:jc w:val="left"/>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（二）判定原则</w:t>
      </w:r>
    </w:p>
    <w:p>
      <w:pPr>
        <w:adjustRightInd w:val="0"/>
        <w:snapToGrid w:val="0"/>
        <w:spacing w:line="590" w:lineRule="exact"/>
        <w:ind w:firstLine="566" w:firstLineChars="177"/>
        <w:jc w:val="left"/>
        <w:rPr>
          <w:rFonts w:hint="eastAsia" w:ascii="仿宋" w:hAnsi="仿宋" w:eastAsia="仿宋" w:cs="仿宋"/>
          <w:bCs/>
          <w:sz w:val="32"/>
          <w:szCs w:val="32"/>
        </w:rPr>
      </w:pPr>
      <w:r>
        <w:rPr>
          <w:rFonts w:hint="eastAsia" w:ascii="仿宋" w:hAnsi="仿宋" w:eastAsia="仿宋" w:cs="仿宋"/>
          <w:bCs/>
          <w:sz w:val="32"/>
          <w:szCs w:val="32"/>
        </w:rPr>
        <w:t>经检验，检验项目全部合格，判定为被抽查产品所检项目未发现不合格；检验项目中任一项或一项以上不合格，判定为被抽查产品不合格。</w:t>
      </w:r>
    </w:p>
    <w:p>
      <w:pPr>
        <w:adjustRightInd w:val="0"/>
        <w:snapToGrid w:val="0"/>
        <w:spacing w:line="590" w:lineRule="exact"/>
        <w:ind w:firstLine="566" w:firstLineChars="177"/>
        <w:jc w:val="left"/>
        <w:rPr>
          <w:rFonts w:hint="eastAsia" w:ascii="仿宋" w:hAnsi="仿宋" w:eastAsia="仿宋" w:cs="仿宋"/>
          <w:bCs/>
          <w:sz w:val="32"/>
          <w:szCs w:val="32"/>
        </w:rPr>
      </w:pPr>
      <w:r>
        <w:rPr>
          <w:rFonts w:hint="eastAsia" w:ascii="仿宋" w:hAnsi="仿宋" w:eastAsia="仿宋" w:cs="仿宋"/>
          <w:bCs/>
          <w:sz w:val="32"/>
          <w:szCs w:val="32"/>
        </w:rPr>
        <w:t>当被检样品明示的质量要求优于监督抽查实施细则中依据的标准要求时，应按被检样品明示的质量要求判定；</w:t>
      </w:r>
    </w:p>
    <w:p>
      <w:pPr>
        <w:adjustRightInd w:val="0"/>
        <w:snapToGrid w:val="0"/>
        <w:spacing w:line="590" w:lineRule="exact"/>
        <w:ind w:firstLine="566" w:firstLineChars="177"/>
        <w:jc w:val="left"/>
        <w:rPr>
          <w:rFonts w:hint="eastAsia" w:ascii="仿宋" w:hAnsi="仿宋" w:eastAsia="仿宋" w:cs="仿宋"/>
          <w:bCs/>
          <w:sz w:val="32"/>
          <w:szCs w:val="32"/>
        </w:rPr>
      </w:pPr>
      <w:r>
        <w:rPr>
          <w:rFonts w:hint="eastAsia" w:ascii="仿宋" w:hAnsi="仿宋" w:eastAsia="仿宋" w:cs="仿宋"/>
          <w:bCs/>
          <w:sz w:val="32"/>
          <w:szCs w:val="32"/>
        </w:rPr>
        <w:t>当被检样品明示的质量要求劣于或不包含监督抽查实施细则中依据的强制性标准要求时，应按照强制性标准要求判定；</w:t>
      </w:r>
    </w:p>
    <w:p>
      <w:pPr>
        <w:adjustRightInd w:val="0"/>
        <w:snapToGrid w:val="0"/>
        <w:spacing w:line="590" w:lineRule="exact"/>
        <w:ind w:firstLine="566" w:firstLineChars="177"/>
        <w:jc w:val="left"/>
        <w:rPr>
          <w:rFonts w:hint="eastAsia" w:ascii="仿宋" w:hAnsi="仿宋" w:eastAsia="仿宋" w:cs="仿宋"/>
          <w:bCs/>
          <w:sz w:val="32"/>
          <w:szCs w:val="32"/>
        </w:rPr>
      </w:pPr>
      <w:r>
        <w:rPr>
          <w:rFonts w:hint="eastAsia" w:ascii="仿宋" w:hAnsi="仿宋" w:eastAsia="仿宋" w:cs="仿宋"/>
          <w:bCs/>
          <w:sz w:val="32"/>
          <w:szCs w:val="32"/>
        </w:rPr>
        <w:t>当被检样品未能提供有效的企业标准时，按相关国家或行业标准进行判定；</w:t>
      </w:r>
    </w:p>
    <w:p>
      <w:pPr>
        <w:adjustRightInd w:val="0"/>
        <w:snapToGrid w:val="0"/>
        <w:spacing w:line="590" w:lineRule="exact"/>
        <w:ind w:firstLine="566" w:firstLineChars="177"/>
        <w:jc w:val="left"/>
        <w:rPr>
          <w:rFonts w:hint="eastAsia" w:ascii="仿宋" w:hAnsi="仿宋" w:eastAsia="仿宋" w:cs="仿宋"/>
          <w:bCs/>
          <w:sz w:val="32"/>
          <w:szCs w:val="32"/>
        </w:rPr>
      </w:pPr>
      <w:r>
        <w:rPr>
          <w:rFonts w:hint="eastAsia" w:ascii="仿宋" w:hAnsi="仿宋" w:eastAsia="仿宋" w:cs="仿宋"/>
          <w:bCs/>
          <w:sz w:val="32"/>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adjustRightInd w:val="0"/>
        <w:snapToGrid w:val="0"/>
        <w:spacing w:line="590" w:lineRule="exact"/>
        <w:ind w:firstLine="566" w:firstLineChars="177"/>
        <w:jc w:val="left"/>
        <w:rPr>
          <w:rFonts w:hint="eastAsia" w:ascii="仿宋" w:hAnsi="仿宋" w:eastAsia="仿宋" w:cs="仿宋"/>
          <w:bCs/>
          <w:sz w:val="32"/>
          <w:szCs w:val="32"/>
        </w:rPr>
      </w:pPr>
      <w:r>
        <w:rPr>
          <w:rFonts w:hint="eastAsia" w:ascii="仿宋" w:hAnsi="仿宋" w:eastAsia="仿宋" w:cs="仿宋"/>
          <w:bCs/>
          <w:sz w:val="32"/>
          <w:szCs w:val="32"/>
        </w:rPr>
        <w:t>按照产品质量相关法律法规的规定判定。</w:t>
      </w:r>
    </w:p>
    <w:p>
      <w:pPr>
        <w:adjustRightInd w:val="0"/>
        <w:snapToGrid w:val="0"/>
        <w:spacing w:line="590" w:lineRule="exact"/>
        <w:ind w:firstLine="566" w:firstLineChars="177"/>
        <w:jc w:val="left"/>
        <w:rPr>
          <w:rFonts w:hint="eastAsia" w:ascii="仿宋" w:hAnsi="仿宋" w:eastAsia="仿宋" w:cs="仿宋"/>
          <w:bCs/>
          <w:sz w:val="32"/>
          <w:szCs w:val="32"/>
        </w:rPr>
      </w:pPr>
      <w:r>
        <w:rPr>
          <w:rFonts w:hint="eastAsia" w:ascii="仿宋" w:hAnsi="仿宋" w:eastAsia="仿宋" w:cs="仿宋"/>
          <w:bCs/>
          <w:sz w:val="32"/>
          <w:szCs w:val="32"/>
        </w:rPr>
        <w:t>检验中发现因样品失效或者其他原因致使检验无法进行的，检验人员应如实记录，并提供相关证明材料，报送组织监督抽查的市场监管部门。</w:t>
      </w:r>
    </w:p>
    <w:p>
      <w:pPr>
        <w:adjustRightInd w:val="0"/>
        <w:snapToGrid w:val="0"/>
        <w:spacing w:line="590" w:lineRule="exact"/>
        <w:ind w:firstLine="566" w:firstLineChars="177"/>
        <w:jc w:val="left"/>
        <w:rPr>
          <w:rFonts w:hint="eastAsia" w:ascii="仿宋" w:hAnsi="仿宋" w:eastAsia="仿宋" w:cs="仿宋"/>
          <w:bCs/>
          <w:sz w:val="32"/>
          <w:szCs w:val="32"/>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CF5666"/>
    <w:multiLevelType w:val="multilevel"/>
    <w:tmpl w:val="1DCF566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18E580F"/>
    <w:multiLevelType w:val="multilevel"/>
    <w:tmpl w:val="318E580F"/>
    <w:lvl w:ilvl="0" w:tentative="0">
      <w:start w:val="1"/>
      <w:numFmt w:val="decimal"/>
      <w:lvlText w:val="%1"/>
      <w:lvlJc w:val="left"/>
      <w:pPr>
        <w:ind w:left="420" w:hanging="42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3C42793"/>
    <w:multiLevelType w:val="multilevel"/>
    <w:tmpl w:val="33C42793"/>
    <w:lvl w:ilvl="0" w:tentative="0">
      <w:start w:val="1"/>
      <w:numFmt w:val="decimal"/>
      <w:lvlText w:val="%1"/>
      <w:lvlJc w:val="left"/>
      <w:pPr>
        <w:ind w:left="420" w:hanging="42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54014D8"/>
    <w:multiLevelType w:val="multilevel"/>
    <w:tmpl w:val="354014D8"/>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0BE6297"/>
    <w:multiLevelType w:val="multilevel"/>
    <w:tmpl w:val="50BE629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YjVjNWI5MzAzZTZmMWUwMWJlOWMwMWQxNmZkMjMifQ=="/>
  </w:docVars>
  <w:rsids>
    <w:rsidRoot w:val="00015F0F"/>
    <w:rsid w:val="00002BC0"/>
    <w:rsid w:val="00015F0F"/>
    <w:rsid w:val="00030822"/>
    <w:rsid w:val="000A0EBF"/>
    <w:rsid w:val="000A3E6D"/>
    <w:rsid w:val="000A53C9"/>
    <w:rsid w:val="000D4F54"/>
    <w:rsid w:val="000D6884"/>
    <w:rsid w:val="001466FF"/>
    <w:rsid w:val="001C20C7"/>
    <w:rsid w:val="001F5796"/>
    <w:rsid w:val="0020761E"/>
    <w:rsid w:val="00235D60"/>
    <w:rsid w:val="002A3868"/>
    <w:rsid w:val="002A462B"/>
    <w:rsid w:val="002E07B4"/>
    <w:rsid w:val="00307E91"/>
    <w:rsid w:val="00314971"/>
    <w:rsid w:val="003504BF"/>
    <w:rsid w:val="00364845"/>
    <w:rsid w:val="00384298"/>
    <w:rsid w:val="003C162E"/>
    <w:rsid w:val="003F4D95"/>
    <w:rsid w:val="00402D89"/>
    <w:rsid w:val="00425227"/>
    <w:rsid w:val="004924AB"/>
    <w:rsid w:val="004E7378"/>
    <w:rsid w:val="004F29E7"/>
    <w:rsid w:val="005012AE"/>
    <w:rsid w:val="00507ECE"/>
    <w:rsid w:val="005B5ACD"/>
    <w:rsid w:val="005D06CE"/>
    <w:rsid w:val="005D40CF"/>
    <w:rsid w:val="0060246C"/>
    <w:rsid w:val="006049F7"/>
    <w:rsid w:val="00623026"/>
    <w:rsid w:val="00633F28"/>
    <w:rsid w:val="00692180"/>
    <w:rsid w:val="006B6938"/>
    <w:rsid w:val="006C739E"/>
    <w:rsid w:val="006C7CD9"/>
    <w:rsid w:val="007342E7"/>
    <w:rsid w:val="00765D15"/>
    <w:rsid w:val="007E5216"/>
    <w:rsid w:val="007F5B14"/>
    <w:rsid w:val="008A0AF0"/>
    <w:rsid w:val="00950AAE"/>
    <w:rsid w:val="00954EB7"/>
    <w:rsid w:val="009B1CE8"/>
    <w:rsid w:val="009B794B"/>
    <w:rsid w:val="00A03175"/>
    <w:rsid w:val="00A2078D"/>
    <w:rsid w:val="00A31D37"/>
    <w:rsid w:val="00A61508"/>
    <w:rsid w:val="00AC1713"/>
    <w:rsid w:val="00AD671A"/>
    <w:rsid w:val="00AE055E"/>
    <w:rsid w:val="00AE3048"/>
    <w:rsid w:val="00B05554"/>
    <w:rsid w:val="00B44E65"/>
    <w:rsid w:val="00B93739"/>
    <w:rsid w:val="00B94E84"/>
    <w:rsid w:val="00BA0AF2"/>
    <w:rsid w:val="00BA6933"/>
    <w:rsid w:val="00BB0868"/>
    <w:rsid w:val="00BB22F0"/>
    <w:rsid w:val="00C12560"/>
    <w:rsid w:val="00C15E13"/>
    <w:rsid w:val="00C71790"/>
    <w:rsid w:val="00C917E1"/>
    <w:rsid w:val="00CD11EB"/>
    <w:rsid w:val="00D03D80"/>
    <w:rsid w:val="00D04859"/>
    <w:rsid w:val="00D84285"/>
    <w:rsid w:val="00D91EDB"/>
    <w:rsid w:val="00E138A4"/>
    <w:rsid w:val="00E86AA9"/>
    <w:rsid w:val="00F61622"/>
    <w:rsid w:val="00F729EE"/>
    <w:rsid w:val="00FE27FF"/>
    <w:rsid w:val="00FF5A83"/>
    <w:rsid w:val="01433A3C"/>
    <w:rsid w:val="03C30C20"/>
    <w:rsid w:val="09D678FF"/>
    <w:rsid w:val="09F558AC"/>
    <w:rsid w:val="0B1224D1"/>
    <w:rsid w:val="0E19425F"/>
    <w:rsid w:val="0F694D72"/>
    <w:rsid w:val="0F8E2A2A"/>
    <w:rsid w:val="10EA1EE2"/>
    <w:rsid w:val="16610551"/>
    <w:rsid w:val="17991F6C"/>
    <w:rsid w:val="1888514B"/>
    <w:rsid w:val="1977008B"/>
    <w:rsid w:val="1B443D5F"/>
    <w:rsid w:val="20450269"/>
    <w:rsid w:val="22B06A76"/>
    <w:rsid w:val="24444B8A"/>
    <w:rsid w:val="24EC7B7F"/>
    <w:rsid w:val="26D175ED"/>
    <w:rsid w:val="272D277B"/>
    <w:rsid w:val="27DF5779"/>
    <w:rsid w:val="28335AC5"/>
    <w:rsid w:val="294A756A"/>
    <w:rsid w:val="294C5091"/>
    <w:rsid w:val="2ACD3FAF"/>
    <w:rsid w:val="2B230C6A"/>
    <w:rsid w:val="2C5C1A8E"/>
    <w:rsid w:val="2D157E8F"/>
    <w:rsid w:val="2D1C121E"/>
    <w:rsid w:val="2D265BF9"/>
    <w:rsid w:val="318178A1"/>
    <w:rsid w:val="31BF5D17"/>
    <w:rsid w:val="33CA5530"/>
    <w:rsid w:val="33F26834"/>
    <w:rsid w:val="34A83397"/>
    <w:rsid w:val="38B642D4"/>
    <w:rsid w:val="3A865F28"/>
    <w:rsid w:val="3C1F6635"/>
    <w:rsid w:val="3C7709FE"/>
    <w:rsid w:val="3C8B3CCA"/>
    <w:rsid w:val="3D8E75CE"/>
    <w:rsid w:val="42360234"/>
    <w:rsid w:val="42894808"/>
    <w:rsid w:val="459F01B9"/>
    <w:rsid w:val="4DC108AC"/>
    <w:rsid w:val="4E28270B"/>
    <w:rsid w:val="4F3F2E1E"/>
    <w:rsid w:val="4F5D5052"/>
    <w:rsid w:val="529945F3"/>
    <w:rsid w:val="577E200A"/>
    <w:rsid w:val="5B9754AC"/>
    <w:rsid w:val="5C6E089F"/>
    <w:rsid w:val="5D221689"/>
    <w:rsid w:val="5E992621"/>
    <w:rsid w:val="5F7A39FE"/>
    <w:rsid w:val="601C57A4"/>
    <w:rsid w:val="61E909C7"/>
    <w:rsid w:val="62361E5F"/>
    <w:rsid w:val="62B62F9F"/>
    <w:rsid w:val="67943E9B"/>
    <w:rsid w:val="6B19056F"/>
    <w:rsid w:val="6D806684"/>
    <w:rsid w:val="6E2214E9"/>
    <w:rsid w:val="6FC81DF8"/>
    <w:rsid w:val="708E10AB"/>
    <w:rsid w:val="70FF5B11"/>
    <w:rsid w:val="718F6E95"/>
    <w:rsid w:val="72FB055A"/>
    <w:rsid w:val="74403584"/>
    <w:rsid w:val="79336CA0"/>
    <w:rsid w:val="7AB23BF5"/>
    <w:rsid w:val="7B811F45"/>
    <w:rsid w:val="7ED3091C"/>
    <w:rsid w:val="7EE06F82"/>
    <w:rsid w:val="7F651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列出段落2"/>
    <w:basedOn w:val="1"/>
    <w:unhideWhenUsed/>
    <w:qFormat/>
    <w:uiPriority w:val="99"/>
    <w:pPr>
      <w:ind w:firstLine="420" w:firstLineChars="200"/>
    </w:pPr>
    <w:rPr>
      <w:sz w:val="3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SMQ</Company>
  <Pages>9</Pages>
  <Words>3109</Words>
  <Characters>5360</Characters>
  <Lines>10</Lines>
  <Paragraphs>3</Paragraphs>
  <TotalTime>37</TotalTime>
  <ScaleCrop>false</ScaleCrop>
  <LinksUpToDate>false</LinksUpToDate>
  <CharactersWithSpaces>5717</CharactersWithSpaces>
  <Application>WPS Office_11.1.0.14177_F1E327BC-269C-435d-A152-05C5408002CA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2022-09-21T08:35:00Z</dcterms:created>
  <dc:creator>Test</dc:creator>
  <cp:lastModifiedBy>王华燕</cp:lastModifiedBy>
  <dcterms:modified xsi:type="dcterms:W3CDTF">2023-05-24T07:18:40Z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2052-11.1.0.14177</vt:lpwstr>
  </property>
  <property fmtid="{D5CDD505-2E9C-101B-9397-08002B2CF9AE}" pid="3" name="ICV">
    <vt:lpwstr>280D55BECEC84E649C9C0BED9718C327_13</vt:lpwstr>
  </property>
</Properties>
</file>