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spacing w:line="578" w:lineRule="exact"/>
        <w:ind w:left="0" w:leftChars="0"/>
        <w:jc w:val="center"/>
        <w:textAlignment w:val="auto"/>
        <w:rPr>
          <w:rFonts w:ascii="方正小标宋简体" w:hAnsi="方正小标宋简体" w:eastAsia="方正小标宋简体" w:cs="方正小标宋简体"/>
          <w:bCs/>
          <w:color w:val="000000"/>
          <w:sz w:val="44"/>
          <w:szCs w:val="44"/>
        </w:rPr>
      </w:pPr>
      <w:r>
        <w:rPr>
          <w:rFonts w:hint="eastAsia" w:ascii="方正小标宋简体" w:hAnsi="方正小标宋简体" w:eastAsia="方正小标宋简体" w:cs="方正小标宋简体"/>
          <w:spacing w:val="-1"/>
          <w:position w:val="1"/>
          <w:sz w:val="44"/>
          <w:szCs w:val="44"/>
        </w:rPr>
        <w:t>珠海市</w:t>
      </w:r>
      <w:r>
        <w:rPr>
          <w:rFonts w:hint="eastAsia" w:ascii="方正小标宋简体" w:hAnsi="方正小标宋简体" w:eastAsia="方正小标宋简体" w:cs="方正小标宋简体"/>
          <w:spacing w:val="-1"/>
          <w:position w:val="1"/>
          <w:sz w:val="44"/>
          <w:szCs w:val="44"/>
          <w:lang w:val="en-US" w:eastAsia="zh-CN"/>
        </w:rPr>
        <w:t>塑料购物袋</w:t>
      </w:r>
      <w:r>
        <w:rPr>
          <w:rFonts w:hint="eastAsia" w:ascii="方正小标宋简体" w:hAnsi="方正小标宋简体" w:eastAsia="方正小标宋简体" w:cs="方正小标宋简体"/>
          <w:spacing w:val="-1"/>
          <w:position w:val="1"/>
          <w:sz w:val="44"/>
          <w:szCs w:val="44"/>
        </w:rPr>
        <w:t>产品</w:t>
      </w:r>
      <w:r>
        <w:rPr>
          <w:rFonts w:hint="eastAsia" w:ascii="方正小标宋简体" w:hAnsi="方正小标宋简体" w:eastAsia="方正小标宋简体" w:cs="方正小标宋简体"/>
          <w:spacing w:val="-1"/>
          <w:position w:val="1"/>
          <w:sz w:val="44"/>
          <w:szCs w:val="44"/>
          <w:lang w:val="en-US" w:eastAsia="zh-CN"/>
        </w:rPr>
        <w:t>质量</w:t>
      </w:r>
      <w:r>
        <w:rPr>
          <w:rFonts w:hint="eastAsia" w:ascii="方正小标宋简体" w:hAnsi="方正小标宋简体" w:eastAsia="方正小标宋简体" w:cs="方正小标宋简体"/>
          <w:w w:val="99"/>
          <w:position w:val="1"/>
          <w:sz w:val="44"/>
          <w:szCs w:val="44"/>
        </w:rPr>
        <w:t>监督</w:t>
      </w:r>
      <w:r>
        <w:rPr>
          <w:rFonts w:hint="eastAsia" w:ascii="方正小标宋简体" w:hAnsi="方正小标宋简体" w:eastAsia="方正小标宋简体" w:cs="方正小标宋简体"/>
          <w:bCs/>
          <w:color w:val="000000"/>
          <w:sz w:val="44"/>
          <w:szCs w:val="44"/>
        </w:rPr>
        <w:t>抽查实施细则</w:t>
      </w:r>
    </w:p>
    <w:p>
      <w:pPr>
        <w:pageBreakBefore w:val="0"/>
        <w:kinsoku/>
        <w:wordWrap/>
        <w:overflowPunct/>
        <w:topLinePunct w:val="0"/>
        <w:autoSpaceDE/>
        <w:autoSpaceDN/>
        <w:bidi w:val="0"/>
        <w:spacing w:line="578" w:lineRule="exact"/>
        <w:ind w:left="0" w:leftChars="0" w:firstLine="880" w:firstLineChars="200"/>
        <w:jc w:val="left"/>
        <w:textAlignment w:val="auto"/>
        <w:rPr>
          <w:rFonts w:eastAsia="方正小标宋简体" w:cs="方正小标宋简体"/>
          <w:color w:val="000000"/>
          <w:sz w:val="44"/>
          <w:szCs w:val="44"/>
        </w:rPr>
      </w:pPr>
    </w:p>
    <w:p>
      <w:pPr>
        <w:pageBreakBefore w:val="0"/>
        <w:kinsoku/>
        <w:wordWrap/>
        <w:overflowPunct/>
        <w:topLinePunct w:val="0"/>
        <w:autoSpaceDE/>
        <w:autoSpaceDN/>
        <w:bidi w:val="0"/>
        <w:spacing w:line="578" w:lineRule="exact"/>
        <w:ind w:left="0" w:leftChars="0" w:firstLine="640" w:firstLineChars="200"/>
        <w:jc w:val="left"/>
        <w:textAlignment w:val="auto"/>
        <w:rPr>
          <w:rFonts w:ascii="黑体" w:hAnsi="黑体" w:eastAsia="黑体" w:cs="黑体"/>
          <w:szCs w:val="32"/>
        </w:rPr>
      </w:pPr>
      <w:r>
        <w:rPr>
          <w:rFonts w:hint="eastAsia" w:ascii="黑体" w:hAnsi="黑体" w:eastAsia="黑体" w:cs="黑体"/>
          <w:szCs w:val="32"/>
        </w:rPr>
        <w:t>一、抽样方法</w:t>
      </w:r>
    </w:p>
    <w:p>
      <w:pPr>
        <w:pageBreakBefore w:val="0"/>
        <w:widowControl/>
        <w:kinsoku/>
        <w:wordWrap/>
        <w:overflowPunct/>
        <w:topLinePunct w:val="0"/>
        <w:autoSpaceDE/>
        <w:autoSpaceDN/>
        <w:bidi w:val="0"/>
        <w:spacing w:line="578" w:lineRule="exact"/>
        <w:ind w:left="0" w:leftChars="0"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以随机抽样的方式在被抽查市场主体的待销产品中抽取。</w:t>
      </w:r>
    </w:p>
    <w:p>
      <w:pPr>
        <w:pageBreakBefore w:val="0"/>
        <w:widowControl/>
        <w:kinsoku/>
        <w:wordWrap/>
        <w:overflowPunct/>
        <w:topLinePunct w:val="0"/>
        <w:autoSpaceDE/>
        <w:autoSpaceDN/>
        <w:bidi w:val="0"/>
        <w:spacing w:line="578" w:lineRule="exact"/>
        <w:ind w:left="0" w:leftChars="0"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随机数一般可使用随机数表等方法产生。</w:t>
      </w:r>
    </w:p>
    <w:p>
      <w:pPr>
        <w:pageBreakBefore w:val="0"/>
        <w:kinsoku/>
        <w:wordWrap/>
        <w:overflowPunct/>
        <w:topLinePunct w:val="0"/>
        <w:autoSpaceDE/>
        <w:autoSpaceDN/>
        <w:bidi w:val="0"/>
        <w:adjustRightInd w:val="0"/>
        <w:snapToGrid w:val="0"/>
        <w:spacing w:line="578" w:lineRule="exact"/>
        <w:ind w:left="0" w:leftChars="0" w:firstLine="640" w:firstLineChars="200"/>
        <w:jc w:val="left"/>
        <w:textAlignment w:val="auto"/>
        <w:rPr>
          <w:rFonts w:hint="eastAsia" w:ascii="仿宋" w:hAnsi="仿宋" w:eastAsia="仿宋" w:cs="仿宋"/>
          <w:color w:val="000000"/>
          <w:szCs w:val="32"/>
        </w:rPr>
      </w:pPr>
      <w:r>
        <w:rPr>
          <w:rFonts w:hint="eastAsia" w:ascii="仿宋" w:hAnsi="仿宋" w:eastAsia="仿宋" w:cs="仿宋"/>
          <w:szCs w:val="32"/>
        </w:rPr>
        <w:t>抽查数量：</w:t>
      </w:r>
      <w:r>
        <w:rPr>
          <w:rFonts w:hint="eastAsia" w:ascii="仿宋" w:hAnsi="仿宋" w:eastAsia="仿宋" w:cs="仿宋"/>
          <w:color w:val="000000"/>
          <w:szCs w:val="32"/>
        </w:rPr>
        <w:t>每款产品抽取2组样本，第1组用于检验，第2组用于备样。具体抽样数量和方法如下：</w:t>
      </w:r>
    </w:p>
    <w:p>
      <w:pPr>
        <w:pageBreakBefore w:val="0"/>
        <w:widowControl/>
        <w:kinsoku/>
        <w:wordWrap/>
        <w:overflowPunct/>
        <w:topLinePunct w:val="0"/>
        <w:autoSpaceDE/>
        <w:autoSpaceDN/>
        <w:bidi w:val="0"/>
        <w:spacing w:line="578" w:lineRule="exact"/>
        <w:ind w:left="0" w:leftChars="0" w:firstLine="640" w:firstLineChars="200"/>
        <w:jc w:val="left"/>
        <w:textAlignment w:val="auto"/>
        <w:rPr>
          <w:rFonts w:hint="eastAsia" w:ascii="仿宋" w:hAnsi="仿宋" w:eastAsia="仿宋" w:cs="仿宋"/>
          <w:color w:val="333333"/>
          <w:kern w:val="0"/>
          <w:szCs w:val="32"/>
        </w:rPr>
      </w:pPr>
      <w:r>
        <w:rPr>
          <w:rFonts w:hint="eastAsia" w:ascii="仿宋" w:hAnsi="仿宋" w:eastAsia="仿宋" w:cs="仿宋"/>
          <w:color w:val="333333"/>
          <w:kern w:val="0"/>
          <w:szCs w:val="32"/>
        </w:rPr>
        <w:t>塑料购物袋包括</w:t>
      </w:r>
      <w:r>
        <w:rPr>
          <w:rFonts w:hint="eastAsia" w:ascii="仿宋" w:hAnsi="仿宋" w:eastAsia="仿宋" w:cs="仿宋"/>
          <w:color w:val="333333"/>
          <w:kern w:val="0"/>
          <w:szCs w:val="32"/>
          <w:lang w:val="en-US" w:eastAsia="zh-CN"/>
        </w:rPr>
        <w:t>直接接触食品用</w:t>
      </w:r>
      <w:r>
        <w:rPr>
          <w:rFonts w:hint="eastAsia" w:ascii="仿宋" w:hAnsi="仿宋" w:eastAsia="仿宋" w:cs="仿宋"/>
          <w:color w:val="333333"/>
          <w:kern w:val="0"/>
          <w:szCs w:val="32"/>
        </w:rPr>
        <w:t>塑料购物袋</w:t>
      </w:r>
      <w:r>
        <w:rPr>
          <w:rFonts w:hint="eastAsia" w:ascii="仿宋" w:hAnsi="仿宋" w:eastAsia="仿宋" w:cs="仿宋"/>
          <w:color w:val="333333"/>
          <w:kern w:val="0"/>
          <w:szCs w:val="32"/>
          <w:lang w:val="en-US" w:eastAsia="zh-CN"/>
        </w:rPr>
        <w:t>和非直接接触食品用塑料购物袋</w:t>
      </w:r>
      <w:r>
        <w:rPr>
          <w:rFonts w:hint="eastAsia" w:ascii="仿宋" w:hAnsi="仿宋" w:eastAsia="仿宋" w:cs="仿宋"/>
          <w:color w:val="333333"/>
          <w:kern w:val="0"/>
          <w:szCs w:val="32"/>
        </w:rPr>
        <w:t>，其中直接接触食品用购物袋每款产品的抽样数量共120个，其中60个为检验样品（物理性能40个，卫生性能20个），60个为备用样品；非直接接触食品用购物袋每款产品的抽样数量共80个，其中40个为检验样品，40个为备用样品。</w:t>
      </w:r>
    </w:p>
    <w:p>
      <w:pPr>
        <w:pageBreakBefore w:val="0"/>
        <w:kinsoku/>
        <w:wordWrap/>
        <w:overflowPunct/>
        <w:topLinePunct w:val="0"/>
        <w:autoSpaceDE/>
        <w:autoSpaceDN/>
        <w:bidi w:val="0"/>
        <w:spacing w:line="578" w:lineRule="exact"/>
        <w:ind w:left="0" w:leftChars="0" w:firstLine="640" w:firstLineChars="200"/>
        <w:jc w:val="left"/>
        <w:textAlignment w:val="auto"/>
        <w:rPr>
          <w:rFonts w:eastAsia="黑体" w:cs="黑体"/>
          <w:color w:val="000000"/>
        </w:rPr>
      </w:pPr>
      <w:r>
        <w:rPr>
          <w:rFonts w:hint="eastAsia" w:eastAsia="黑体" w:cs="黑体"/>
          <w:color w:val="000000"/>
          <w:lang w:val="en-US" w:eastAsia="zh-CN"/>
        </w:rPr>
        <w:t>二</w:t>
      </w:r>
      <w:r>
        <w:rPr>
          <w:rFonts w:hint="eastAsia" w:eastAsia="黑体" w:cs="黑体"/>
          <w:color w:val="000000"/>
        </w:rPr>
        <w:t>、主要检验项目及检验项目属性划分</w:t>
      </w:r>
    </w:p>
    <w:tbl>
      <w:tblPr>
        <w:tblStyle w:val="6"/>
        <w:tblW w:w="500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565"/>
        <w:gridCol w:w="1857"/>
        <w:gridCol w:w="1995"/>
        <w:gridCol w:w="862"/>
        <w:gridCol w:w="821"/>
        <w:gridCol w:w="1059"/>
        <w:gridCol w:w="792"/>
        <w:gridCol w:w="9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blHeader/>
        </w:trPr>
        <w:tc>
          <w:tcPr>
            <w:tcW w:w="318"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kinsoku/>
              <w:wordWrap/>
              <w:overflowPunct/>
              <w:topLinePunct w:val="0"/>
              <w:autoSpaceDE/>
              <w:autoSpaceDN/>
              <w:bidi w:val="0"/>
              <w:adjustRightInd w:val="0"/>
              <w:snapToGrid w:val="0"/>
              <w:spacing w:line="240" w:lineRule="auto"/>
              <w:ind w:left="0" w:leftChars="0"/>
              <w:jc w:val="center"/>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序号</w:t>
            </w:r>
          </w:p>
        </w:tc>
        <w:tc>
          <w:tcPr>
            <w:tcW w:w="1045"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kinsoku/>
              <w:wordWrap/>
              <w:overflowPunct/>
              <w:topLinePunct w:val="0"/>
              <w:autoSpaceDE/>
              <w:autoSpaceDN/>
              <w:bidi w:val="0"/>
              <w:adjustRightInd w:val="0"/>
              <w:snapToGrid w:val="0"/>
              <w:spacing w:line="240" w:lineRule="auto"/>
              <w:ind w:left="0" w:leftChars="0"/>
              <w:jc w:val="center"/>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检验项目</w:t>
            </w:r>
          </w:p>
        </w:tc>
        <w:tc>
          <w:tcPr>
            <w:tcW w:w="1123"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kinsoku/>
              <w:wordWrap/>
              <w:overflowPunct/>
              <w:topLinePunct w:val="0"/>
              <w:autoSpaceDE/>
              <w:autoSpaceDN/>
              <w:bidi w:val="0"/>
              <w:adjustRightInd w:val="0"/>
              <w:snapToGrid w:val="0"/>
              <w:spacing w:line="240" w:lineRule="auto"/>
              <w:ind w:left="0" w:leftChars="0"/>
              <w:jc w:val="center"/>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检验方法</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kinsoku/>
              <w:wordWrap/>
              <w:overflowPunct/>
              <w:topLinePunct w:val="0"/>
              <w:autoSpaceDE/>
              <w:autoSpaceDN/>
              <w:bidi w:val="0"/>
              <w:adjustRightInd w:val="0"/>
              <w:snapToGrid w:val="0"/>
              <w:spacing w:line="240" w:lineRule="auto"/>
              <w:ind w:left="0" w:leftChars="0"/>
              <w:jc w:val="center"/>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强制性</w:t>
            </w:r>
          </w:p>
        </w:tc>
        <w:tc>
          <w:tcPr>
            <w:tcW w:w="462"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kinsoku/>
              <w:wordWrap/>
              <w:overflowPunct/>
              <w:topLinePunct w:val="0"/>
              <w:autoSpaceDE/>
              <w:autoSpaceDN/>
              <w:bidi w:val="0"/>
              <w:adjustRightInd w:val="0"/>
              <w:snapToGrid w:val="0"/>
              <w:spacing w:line="240" w:lineRule="auto"/>
              <w:ind w:left="0" w:leftChars="0"/>
              <w:jc w:val="center"/>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非强制性</w:t>
            </w:r>
          </w:p>
        </w:tc>
        <w:tc>
          <w:tcPr>
            <w:tcW w:w="596"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kinsoku/>
              <w:wordWrap/>
              <w:overflowPunct/>
              <w:topLinePunct w:val="0"/>
              <w:autoSpaceDE/>
              <w:autoSpaceDN/>
              <w:bidi w:val="0"/>
              <w:adjustRightInd w:val="0"/>
              <w:snapToGrid w:val="0"/>
              <w:spacing w:line="240" w:lineRule="auto"/>
              <w:ind w:left="0" w:leftChars="0"/>
              <w:jc w:val="center"/>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重要项</w:t>
            </w:r>
          </w:p>
        </w:tc>
        <w:tc>
          <w:tcPr>
            <w:tcW w:w="446"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kinsoku/>
              <w:wordWrap/>
              <w:overflowPunct/>
              <w:topLinePunct w:val="0"/>
              <w:autoSpaceDE/>
              <w:autoSpaceDN/>
              <w:bidi w:val="0"/>
              <w:adjustRightInd w:val="0"/>
              <w:snapToGrid w:val="0"/>
              <w:spacing w:line="240" w:lineRule="auto"/>
              <w:ind w:left="0" w:leftChars="0"/>
              <w:jc w:val="center"/>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较重要项</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kinsoku/>
              <w:wordWrap/>
              <w:overflowPunct/>
              <w:topLinePunct w:val="0"/>
              <w:autoSpaceDE/>
              <w:autoSpaceDN/>
              <w:bidi w:val="0"/>
              <w:adjustRightInd w:val="0"/>
              <w:snapToGrid w:val="0"/>
              <w:spacing w:line="240" w:lineRule="auto"/>
              <w:ind w:left="0" w:leftChars="0"/>
              <w:jc w:val="center"/>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次要项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318"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w:t>
            </w:r>
          </w:p>
        </w:tc>
        <w:tc>
          <w:tcPr>
            <w:tcW w:w="1045"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尺寸偏差</w:t>
            </w:r>
          </w:p>
        </w:tc>
        <w:tc>
          <w:tcPr>
            <w:tcW w:w="112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21661-2020</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6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9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4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318"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2</w:t>
            </w:r>
          </w:p>
        </w:tc>
        <w:tc>
          <w:tcPr>
            <w:tcW w:w="1045"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跌落试验</w:t>
            </w:r>
          </w:p>
        </w:tc>
        <w:tc>
          <w:tcPr>
            <w:tcW w:w="112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6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9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4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318"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3</w:t>
            </w:r>
          </w:p>
        </w:tc>
        <w:tc>
          <w:tcPr>
            <w:tcW w:w="1045"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提吊试验</w:t>
            </w:r>
          </w:p>
        </w:tc>
        <w:tc>
          <w:tcPr>
            <w:tcW w:w="112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6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9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4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318"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4</w:t>
            </w:r>
          </w:p>
        </w:tc>
        <w:tc>
          <w:tcPr>
            <w:tcW w:w="1045"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漏水性</w:t>
            </w:r>
          </w:p>
        </w:tc>
        <w:tc>
          <w:tcPr>
            <w:tcW w:w="112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6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9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4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318"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5</w:t>
            </w:r>
          </w:p>
        </w:tc>
        <w:tc>
          <w:tcPr>
            <w:tcW w:w="1045"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封合强度</w:t>
            </w:r>
          </w:p>
        </w:tc>
        <w:tc>
          <w:tcPr>
            <w:tcW w:w="112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6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9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4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318"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6</w:t>
            </w:r>
          </w:p>
        </w:tc>
        <w:tc>
          <w:tcPr>
            <w:tcW w:w="1045"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落镖冲击</w:t>
            </w:r>
          </w:p>
        </w:tc>
        <w:tc>
          <w:tcPr>
            <w:tcW w:w="112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6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9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4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318"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kern w:val="0"/>
                <w:sz w:val="24"/>
                <w:szCs w:val="24"/>
              </w:rPr>
              <w:t>7</w:t>
            </w:r>
          </w:p>
        </w:tc>
        <w:tc>
          <w:tcPr>
            <w:tcW w:w="1045"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总迁移量</w:t>
            </w:r>
            <w:r>
              <w:rPr>
                <w:rFonts w:hint="eastAsia" w:ascii="仿宋" w:hAnsi="仿宋" w:eastAsia="仿宋" w:cs="仿宋"/>
                <w:b w:val="0"/>
                <w:bCs w:val="0"/>
                <w:color w:val="000000"/>
                <w:sz w:val="24"/>
                <w:szCs w:val="24"/>
                <w:vertAlign w:val="superscript"/>
              </w:rPr>
              <w:t>a</w:t>
            </w:r>
          </w:p>
        </w:tc>
        <w:tc>
          <w:tcPr>
            <w:tcW w:w="112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 4806.7-2016</w:t>
            </w: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6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59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4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318"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kern w:val="0"/>
                <w:sz w:val="24"/>
                <w:szCs w:val="24"/>
              </w:rPr>
              <w:t>8</w:t>
            </w:r>
          </w:p>
        </w:tc>
        <w:tc>
          <w:tcPr>
            <w:tcW w:w="1045"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高锰酸钾消耗量</w:t>
            </w:r>
            <w:r>
              <w:rPr>
                <w:rFonts w:hint="eastAsia" w:ascii="仿宋" w:hAnsi="仿宋" w:eastAsia="仿宋" w:cs="仿宋"/>
                <w:b w:val="0"/>
                <w:bCs w:val="0"/>
                <w:color w:val="000000"/>
                <w:sz w:val="24"/>
                <w:szCs w:val="24"/>
                <w:vertAlign w:val="superscript"/>
              </w:rPr>
              <w:t>a</w:t>
            </w:r>
          </w:p>
        </w:tc>
        <w:tc>
          <w:tcPr>
            <w:tcW w:w="112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6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59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4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318"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kern w:val="0"/>
                <w:sz w:val="24"/>
                <w:szCs w:val="24"/>
              </w:rPr>
              <w:t>9</w:t>
            </w:r>
          </w:p>
        </w:tc>
        <w:tc>
          <w:tcPr>
            <w:tcW w:w="1045"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重金属（以Pb计）</w:t>
            </w:r>
            <w:r>
              <w:rPr>
                <w:rFonts w:hint="eastAsia" w:ascii="仿宋" w:hAnsi="仿宋" w:eastAsia="仿宋" w:cs="仿宋"/>
                <w:b w:val="0"/>
                <w:bCs w:val="0"/>
                <w:color w:val="000000"/>
                <w:sz w:val="24"/>
                <w:szCs w:val="24"/>
                <w:vertAlign w:val="superscript"/>
              </w:rPr>
              <w:t>a</w:t>
            </w:r>
          </w:p>
        </w:tc>
        <w:tc>
          <w:tcPr>
            <w:tcW w:w="112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6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59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4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318"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kern w:val="0"/>
                <w:sz w:val="24"/>
                <w:szCs w:val="24"/>
              </w:rPr>
              <w:t>10</w:t>
            </w:r>
          </w:p>
        </w:tc>
        <w:tc>
          <w:tcPr>
            <w:tcW w:w="1045" w:type="pct"/>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脱色试验</w:t>
            </w:r>
            <w:r>
              <w:rPr>
                <w:rFonts w:hint="eastAsia" w:ascii="仿宋" w:hAnsi="仿宋" w:eastAsia="仿宋" w:cs="仿宋"/>
                <w:b w:val="0"/>
                <w:bCs w:val="0"/>
                <w:color w:val="000000"/>
                <w:sz w:val="24"/>
                <w:szCs w:val="24"/>
                <w:vertAlign w:val="superscript"/>
              </w:rPr>
              <w:t>a、b</w:t>
            </w:r>
          </w:p>
        </w:tc>
        <w:tc>
          <w:tcPr>
            <w:tcW w:w="112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485"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6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59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46"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12"/>
              <w:pageBreakBefore w:val="0"/>
              <w:tabs>
                <w:tab w:val="left" w:pos="2520"/>
              </w:tabs>
              <w:kinsoku/>
              <w:wordWrap/>
              <w:overflowPunct/>
              <w:topLinePunct w:val="0"/>
              <w:autoSpaceDE/>
              <w:autoSpaceDN/>
              <w:bidi w:val="0"/>
              <w:adjustRightInd w:val="0"/>
              <w:snapToGrid w:val="0"/>
              <w:spacing w:line="240" w:lineRule="auto"/>
              <w:ind w:left="0" w:leftChars="0"/>
              <w:jc w:val="center"/>
              <w:textAlignment w:val="auto"/>
              <w:rPr>
                <w:rFonts w:hint="eastAsia" w:ascii="仿宋" w:hAnsi="仿宋" w:eastAsia="仿宋" w:cs="仿宋"/>
                <w:b w:val="0"/>
                <w:bCs w:val="0"/>
                <w:color w:val="000000"/>
                <w:sz w:val="24"/>
                <w:szCs w:val="24"/>
              </w:rPr>
            </w:pPr>
          </w:p>
        </w:tc>
      </w:tr>
    </w:tbl>
    <w:p>
      <w:pPr>
        <w:pageBreakBefore w:val="0"/>
        <w:kinsoku/>
        <w:wordWrap/>
        <w:overflowPunct/>
        <w:topLinePunct w:val="0"/>
        <w:autoSpaceDE/>
        <w:autoSpaceDN/>
        <w:bidi w:val="0"/>
        <w:snapToGrid w:val="0"/>
        <w:spacing w:line="578" w:lineRule="exact"/>
        <w:ind w:left="0" w:leftChars="0" w:firstLine="547" w:firstLineChars="171"/>
        <w:jc w:val="left"/>
        <w:textAlignment w:val="auto"/>
        <w:rPr>
          <w:rFonts w:hint="eastAsia" w:ascii="仿宋" w:hAnsi="仿宋" w:eastAsia="仿宋" w:cs="仿宋"/>
        </w:rPr>
      </w:pPr>
      <w:r>
        <w:rPr>
          <w:rFonts w:hint="eastAsia" w:ascii="仿宋" w:hAnsi="仿宋" w:eastAsia="仿宋" w:cs="仿宋"/>
        </w:rPr>
        <w:t>注：a.仅针对与食品直接接触的塑料购物袋。</w:t>
      </w:r>
    </w:p>
    <w:p>
      <w:pPr>
        <w:pageBreakBefore w:val="0"/>
        <w:kinsoku/>
        <w:wordWrap/>
        <w:overflowPunct/>
        <w:topLinePunct w:val="0"/>
        <w:autoSpaceDE/>
        <w:autoSpaceDN/>
        <w:bidi w:val="0"/>
        <w:snapToGrid w:val="0"/>
        <w:spacing w:line="578" w:lineRule="exact"/>
        <w:ind w:left="0" w:leftChars="0" w:firstLine="547" w:firstLineChars="171"/>
        <w:jc w:val="left"/>
        <w:textAlignment w:val="auto"/>
        <w:rPr>
          <w:rFonts w:hint="eastAsia" w:ascii="仿宋" w:hAnsi="仿宋" w:eastAsia="仿宋" w:cs="仿宋"/>
        </w:rPr>
      </w:pPr>
      <w:r>
        <w:rPr>
          <w:rFonts w:hint="eastAsia" w:ascii="仿宋" w:hAnsi="仿宋" w:eastAsia="仿宋" w:cs="仿宋"/>
        </w:rPr>
        <w:t xml:space="preserve">    b.仅适用于添加了着色剂的产品。</w:t>
      </w:r>
    </w:p>
    <w:p>
      <w:pPr>
        <w:pageBreakBefore w:val="0"/>
        <w:kinsoku/>
        <w:wordWrap/>
        <w:overflowPunct/>
        <w:topLinePunct w:val="0"/>
        <w:autoSpaceDE/>
        <w:autoSpaceDN/>
        <w:bidi w:val="0"/>
        <w:snapToGrid w:val="0"/>
        <w:spacing w:line="578" w:lineRule="exact"/>
        <w:ind w:left="0" w:leftChars="0" w:firstLine="547" w:firstLineChars="171"/>
        <w:jc w:val="left"/>
        <w:textAlignment w:val="auto"/>
        <w:rPr>
          <w:rFonts w:hint="eastAsia" w:ascii="仿宋" w:hAnsi="仿宋" w:eastAsia="仿宋" w:cs="仿宋"/>
        </w:rPr>
      </w:pPr>
      <w:r>
        <w:rPr>
          <w:rFonts w:hint="eastAsia" w:ascii="仿宋" w:hAnsi="仿宋" w:eastAsia="仿宋" w:cs="仿宋"/>
        </w:rPr>
        <w:t>注：执行企业标准、团体标准、地方标准的产品，检验项目参照上述内容执行。</w:t>
      </w:r>
    </w:p>
    <w:p>
      <w:pPr>
        <w:pageBreakBefore w:val="0"/>
        <w:kinsoku/>
        <w:wordWrap/>
        <w:overflowPunct/>
        <w:topLinePunct w:val="0"/>
        <w:autoSpaceDE/>
        <w:autoSpaceDN/>
        <w:bidi w:val="0"/>
        <w:snapToGrid w:val="0"/>
        <w:spacing w:line="578" w:lineRule="exact"/>
        <w:ind w:left="0" w:leftChars="0" w:firstLine="547" w:firstLineChars="171"/>
        <w:jc w:val="left"/>
        <w:textAlignment w:val="auto"/>
        <w:rPr>
          <w:rFonts w:hint="eastAsia" w:ascii="仿宋" w:hAnsi="仿宋" w:eastAsia="仿宋" w:cs="仿宋"/>
        </w:rPr>
      </w:pPr>
      <w:r>
        <w:rPr>
          <w:rFonts w:hint="eastAsia" w:ascii="仿宋" w:hAnsi="仿宋" w:eastAsia="仿宋" w:cs="仿宋"/>
        </w:rPr>
        <w:t xml:space="preserve"> 凡是注日期的文件，其随后所有的修改单（不包括勘误的内容）或修订版不适用于本细则。凡是不注日期的文件，其最新版本适用于本细则。</w:t>
      </w:r>
    </w:p>
    <w:p>
      <w:pPr>
        <w:pageBreakBefore w:val="0"/>
        <w:kinsoku/>
        <w:wordWrap/>
        <w:overflowPunct/>
        <w:topLinePunct w:val="0"/>
        <w:autoSpaceDE/>
        <w:autoSpaceDN/>
        <w:bidi w:val="0"/>
        <w:spacing w:line="578" w:lineRule="exact"/>
        <w:ind w:left="0" w:leftChars="0" w:firstLine="640" w:firstLineChars="200"/>
        <w:jc w:val="left"/>
        <w:textAlignment w:val="auto"/>
        <w:rPr>
          <w:rFonts w:eastAsia="仿宋" w:cs="仿宋"/>
          <w:sz w:val="44"/>
          <w:szCs w:val="44"/>
        </w:rPr>
      </w:pPr>
      <w:r>
        <w:rPr>
          <w:rFonts w:hint="eastAsia" w:eastAsia="黑体" w:cs="黑体"/>
          <w:szCs w:val="32"/>
        </w:rPr>
        <w:t>三、判定规则</w:t>
      </w:r>
    </w:p>
    <w:p>
      <w:pPr>
        <w:pStyle w:val="2"/>
        <w:pageBreakBefore w:val="0"/>
        <w:kinsoku/>
        <w:wordWrap/>
        <w:overflowPunct/>
        <w:topLinePunct w:val="0"/>
        <w:autoSpaceDE/>
        <w:autoSpaceDN/>
        <w:bidi w:val="0"/>
        <w:spacing w:line="578" w:lineRule="exact"/>
        <w:ind w:left="0" w:leftChars="0"/>
        <w:jc w:val="left"/>
        <w:textAlignment w:val="auto"/>
        <w:rPr>
          <w:rFonts w:hint="eastAsia" w:ascii="楷体_GB2312" w:hAnsi="楷体_GB2312" w:eastAsia="楷体_GB2312" w:cs="楷体_GB2312"/>
          <w:b w:val="0"/>
          <w:bCs w:val="0"/>
          <w:kern w:val="2"/>
          <w:sz w:val="32"/>
          <w:szCs w:val="24"/>
          <w:lang w:val="en-US" w:eastAsia="zh-CN" w:bidi="ar-SA"/>
        </w:rPr>
      </w:pPr>
      <w:r>
        <w:rPr>
          <w:rFonts w:hint="eastAsia" w:ascii="楷体_GB2312" w:hAnsi="楷体_GB2312" w:eastAsia="楷体_GB2312" w:cs="楷体_GB2312"/>
          <w:b w:val="0"/>
          <w:bCs w:val="0"/>
          <w:kern w:val="2"/>
          <w:sz w:val="32"/>
          <w:szCs w:val="24"/>
          <w:lang w:val="en-US" w:eastAsia="zh-CN" w:bidi="ar-SA"/>
        </w:rPr>
        <w:t>（一）依据标准</w:t>
      </w:r>
    </w:p>
    <w:p>
      <w:pPr>
        <w:pStyle w:val="11"/>
        <w:pageBreakBefore w:val="0"/>
        <w:numPr>
          <w:ilvl w:val="0"/>
          <w:numId w:val="0"/>
        </w:numPr>
        <w:kinsoku/>
        <w:wordWrap/>
        <w:overflowPunct/>
        <w:topLinePunct w:val="0"/>
        <w:autoSpaceDE/>
        <w:autoSpaceDN/>
        <w:bidi w:val="0"/>
        <w:spacing w:line="578" w:lineRule="exact"/>
        <w:ind w:left="0" w:leftChars="0" w:firstLine="640" w:firstLineChars="200"/>
        <w:jc w:val="left"/>
        <w:textAlignment w:val="auto"/>
        <w:rPr>
          <w:rFonts w:hint="eastAsia" w:ascii="CESI仿宋-GB2312" w:hAnsi="CESI仿宋-GB2312" w:eastAsia="CESI仿宋-GB2312" w:cs="CESI仿宋-GB2312"/>
          <w:color w:val="000000"/>
          <w:lang w:val="en-US" w:eastAsia="zh-CN"/>
        </w:rPr>
      </w:pPr>
      <w:r>
        <w:rPr>
          <w:rFonts w:hint="eastAsia" w:ascii="CESI仿宋-GB2312" w:hAnsi="CESI仿宋-GB2312" w:eastAsia="CESI仿宋-GB2312" w:cs="CESI仿宋-GB2312"/>
          <w:color w:val="000000"/>
          <w:lang w:val="en-US" w:eastAsia="zh-CN"/>
        </w:rPr>
        <w:t>1、强制性标准：</w:t>
      </w:r>
    </w:p>
    <w:p>
      <w:pPr>
        <w:pageBreakBefore w:val="0"/>
        <w:kinsoku/>
        <w:wordWrap/>
        <w:overflowPunct/>
        <w:topLinePunct w:val="0"/>
        <w:autoSpaceDE/>
        <w:autoSpaceDN/>
        <w:bidi w:val="0"/>
        <w:snapToGrid w:val="0"/>
        <w:spacing w:line="578" w:lineRule="exact"/>
        <w:ind w:left="0" w:leftChars="0" w:firstLine="640" w:firstLineChars="200"/>
        <w:jc w:val="left"/>
        <w:textAlignment w:val="auto"/>
        <w:rPr>
          <w:rFonts w:hint="eastAsia" w:ascii="仿宋" w:hAnsi="仿宋" w:eastAsia="仿宋" w:cs="仿宋"/>
          <w:szCs w:val="21"/>
        </w:rPr>
      </w:pPr>
      <w:r>
        <w:rPr>
          <w:rFonts w:hint="eastAsia" w:ascii="仿宋" w:hAnsi="仿宋" w:eastAsia="仿宋" w:cs="仿宋"/>
          <w:szCs w:val="21"/>
        </w:rPr>
        <w:t>GB 4806.7-2016《食品安全国家标准 食品接触用塑料材料及制品》</w:t>
      </w:r>
    </w:p>
    <w:p>
      <w:pPr>
        <w:pageBreakBefore w:val="0"/>
        <w:kinsoku/>
        <w:wordWrap/>
        <w:overflowPunct/>
        <w:topLinePunct w:val="0"/>
        <w:autoSpaceDE/>
        <w:autoSpaceDN/>
        <w:bidi w:val="0"/>
        <w:snapToGrid w:val="0"/>
        <w:spacing w:line="578" w:lineRule="exact"/>
        <w:ind w:left="0" w:leftChars="0" w:firstLine="640" w:firstLineChars="200"/>
        <w:jc w:val="left"/>
        <w:textAlignment w:val="auto"/>
        <w:rPr>
          <w:rFonts w:hint="eastAsia" w:ascii="仿宋" w:hAnsi="仿宋" w:eastAsia="仿宋" w:cs="仿宋"/>
          <w:color w:val="000000"/>
          <w:lang w:val="en-US" w:eastAsia="zh-CN"/>
        </w:rPr>
      </w:pPr>
      <w:r>
        <w:rPr>
          <w:rFonts w:hint="eastAsia" w:ascii="仿宋" w:hAnsi="仿宋" w:eastAsia="仿宋" w:cs="仿宋"/>
          <w:color w:val="000000"/>
          <w:lang w:val="en-US" w:eastAsia="zh-CN"/>
        </w:rPr>
        <w:t>2、推荐性标准：</w:t>
      </w:r>
    </w:p>
    <w:p>
      <w:pPr>
        <w:pageBreakBefore w:val="0"/>
        <w:kinsoku/>
        <w:wordWrap/>
        <w:overflowPunct/>
        <w:topLinePunct w:val="0"/>
        <w:autoSpaceDE/>
        <w:autoSpaceDN/>
        <w:bidi w:val="0"/>
        <w:snapToGrid w:val="0"/>
        <w:spacing w:line="578" w:lineRule="exact"/>
        <w:ind w:left="0" w:leftChars="0" w:firstLine="640" w:firstLineChars="200"/>
        <w:jc w:val="left"/>
        <w:textAlignment w:val="auto"/>
        <w:rPr>
          <w:rFonts w:hint="eastAsia" w:ascii="仿宋" w:hAnsi="仿宋" w:eastAsia="仿宋" w:cs="仿宋"/>
          <w:szCs w:val="21"/>
        </w:rPr>
      </w:pPr>
      <w:r>
        <w:rPr>
          <w:rFonts w:hint="eastAsia" w:ascii="仿宋" w:hAnsi="仿宋" w:eastAsia="仿宋" w:cs="仿宋"/>
          <w:szCs w:val="21"/>
        </w:rPr>
        <w:t>GB/T 21661-2020《塑料购物袋》（适用于2020年12月31日及之后生产的产品）</w:t>
      </w:r>
    </w:p>
    <w:p>
      <w:pPr>
        <w:pageBreakBefore w:val="0"/>
        <w:kinsoku/>
        <w:wordWrap/>
        <w:overflowPunct/>
        <w:topLinePunct w:val="0"/>
        <w:autoSpaceDE/>
        <w:autoSpaceDN/>
        <w:bidi w:val="0"/>
        <w:spacing w:line="578" w:lineRule="exact"/>
        <w:ind w:left="0" w:leftChars="0" w:firstLine="640" w:firstLineChars="200"/>
        <w:jc w:val="left"/>
        <w:textAlignment w:val="auto"/>
        <w:rPr>
          <w:rFonts w:hint="eastAsia" w:ascii="仿宋" w:hAnsi="仿宋" w:eastAsia="仿宋" w:cs="仿宋"/>
          <w:color w:val="000000"/>
        </w:rPr>
      </w:pPr>
      <w:r>
        <w:rPr>
          <w:rFonts w:hint="eastAsia" w:ascii="仿宋" w:hAnsi="仿宋" w:eastAsia="仿宋" w:cs="仿宋"/>
          <w:color w:val="000000"/>
          <w:szCs w:val="32"/>
        </w:rPr>
        <w:t>现行有效的企业标准、团体标准、地方标准及产品明示质量要求。</w:t>
      </w:r>
    </w:p>
    <w:p>
      <w:pPr>
        <w:pStyle w:val="2"/>
        <w:pageBreakBefore w:val="0"/>
        <w:kinsoku/>
        <w:wordWrap/>
        <w:overflowPunct/>
        <w:topLinePunct w:val="0"/>
        <w:autoSpaceDE/>
        <w:autoSpaceDN/>
        <w:bidi w:val="0"/>
        <w:spacing w:line="578" w:lineRule="exact"/>
        <w:ind w:left="0" w:leftChars="0"/>
        <w:jc w:val="left"/>
        <w:textAlignment w:val="auto"/>
        <w:rPr>
          <w:rFonts w:hint="eastAsia" w:ascii="CESI楷体-GB2312" w:hAnsi="CESI楷体-GB2312" w:eastAsia="CESI楷体-GB2312" w:cs="CESI楷体-GB2312"/>
          <w:b/>
          <w:bCs/>
          <w:kern w:val="2"/>
          <w:sz w:val="32"/>
          <w:szCs w:val="24"/>
          <w:lang w:val="en-US" w:eastAsia="zh-CN" w:bidi="ar-SA"/>
        </w:rPr>
      </w:pPr>
      <w:r>
        <w:rPr>
          <w:rFonts w:hint="eastAsia" w:ascii="CESI楷体-GB2312" w:hAnsi="CESI楷体-GB2312" w:eastAsia="CESI楷体-GB2312" w:cs="CESI楷体-GB2312"/>
          <w:b/>
          <w:bCs/>
          <w:kern w:val="2"/>
          <w:sz w:val="32"/>
          <w:szCs w:val="24"/>
          <w:lang w:val="en-US" w:eastAsia="zh-CN" w:bidi="ar-SA"/>
        </w:rPr>
        <w:t xml:space="preserve"> </w:t>
      </w:r>
      <w:r>
        <w:rPr>
          <w:rFonts w:hint="eastAsia" w:ascii="楷体_GB2312" w:hAnsi="楷体_GB2312" w:eastAsia="楷体_GB2312" w:cs="楷体_GB2312"/>
          <w:b w:val="0"/>
          <w:bCs w:val="0"/>
          <w:kern w:val="2"/>
          <w:sz w:val="32"/>
          <w:szCs w:val="24"/>
          <w:lang w:val="en-US" w:eastAsia="zh-CN" w:bidi="ar-SA"/>
        </w:rPr>
        <w:t>(二）判定原则</w:t>
      </w:r>
    </w:p>
    <w:p>
      <w:pPr>
        <w:keepNext w:val="0"/>
        <w:keepLines w:val="0"/>
        <w:pageBreakBefore w:val="0"/>
        <w:kinsoku/>
        <w:wordWrap/>
        <w:overflowPunct/>
        <w:topLinePunct w:val="0"/>
        <w:bidi w:val="0"/>
        <w:snapToGrid w:val="0"/>
        <w:spacing w:line="580" w:lineRule="exact"/>
        <w:ind w:firstLine="640" w:firstLineChars="200"/>
        <w:jc w:val="left"/>
        <w:textAlignment w:val="auto"/>
        <w:rPr>
          <w:rFonts w:ascii="仿宋_GB2312"/>
          <w:kern w:val="0"/>
          <w:szCs w:val="32"/>
          <w:highlight w:val="none"/>
        </w:rPr>
      </w:pPr>
      <w:r>
        <w:rPr>
          <w:rFonts w:hint="eastAsia" w:ascii="仿宋_GB2312"/>
          <w:kern w:val="0"/>
          <w:szCs w:val="32"/>
          <w:highlight w:val="none"/>
        </w:rPr>
        <w:t>经检验，检验项目全部合格，</w:t>
      </w:r>
      <w:r>
        <w:rPr>
          <w:rFonts w:hint="eastAsia" w:ascii="仿宋_GB2312"/>
          <w:b w:val="0"/>
          <w:bCs/>
          <w:color w:val="auto"/>
          <w:kern w:val="0"/>
          <w:szCs w:val="32"/>
          <w:highlight w:val="none"/>
        </w:rPr>
        <w:t>判定为被抽查产品所检项目未发现不合格</w:t>
      </w:r>
      <w:r>
        <w:rPr>
          <w:rFonts w:hint="eastAsia" w:ascii="仿宋_GB2312"/>
          <w:kern w:val="0"/>
          <w:szCs w:val="32"/>
          <w:highlight w:val="none"/>
        </w:rPr>
        <w:t>；检验项目中任一项或一项以上不合格，判定为被抽查产品不合格。</w:t>
      </w:r>
    </w:p>
    <w:p>
      <w:pPr>
        <w:keepNext w:val="0"/>
        <w:keepLines w:val="0"/>
        <w:pageBreakBefore w:val="0"/>
        <w:widowControl/>
        <w:kinsoku/>
        <w:wordWrap/>
        <w:overflowPunct/>
        <w:topLinePunct w:val="0"/>
        <w:autoSpaceDE w:val="0"/>
        <w:autoSpaceDN w:val="0"/>
        <w:bidi w:val="0"/>
        <w:spacing w:line="580" w:lineRule="exact"/>
        <w:ind w:firstLine="640" w:firstLineChars="200"/>
        <w:jc w:val="left"/>
        <w:textAlignment w:val="auto"/>
        <w:rPr>
          <w:rFonts w:ascii="仿宋_GB2312"/>
          <w:kern w:val="0"/>
          <w:szCs w:val="32"/>
          <w:highlight w:val="none"/>
        </w:rPr>
      </w:pPr>
      <w:r>
        <w:rPr>
          <w:rFonts w:hint="eastAsia" w:ascii="仿宋_GB2312"/>
          <w:kern w:val="0"/>
          <w:szCs w:val="32"/>
          <w:highlight w:val="none"/>
        </w:rPr>
        <w:t>当被检样品明示的质量要求优于监督抽查实施细则中依据的标准要求时，应按被检样品明示的质量要求判定；</w:t>
      </w:r>
    </w:p>
    <w:p>
      <w:pPr>
        <w:keepNext w:val="0"/>
        <w:keepLines w:val="0"/>
        <w:pageBreakBefore w:val="0"/>
        <w:widowControl/>
        <w:kinsoku/>
        <w:wordWrap/>
        <w:overflowPunct/>
        <w:topLinePunct w:val="0"/>
        <w:autoSpaceDE w:val="0"/>
        <w:autoSpaceDN w:val="0"/>
        <w:bidi w:val="0"/>
        <w:spacing w:line="580" w:lineRule="exact"/>
        <w:ind w:firstLine="640" w:firstLineChars="200"/>
        <w:jc w:val="left"/>
        <w:textAlignment w:val="auto"/>
        <w:rPr>
          <w:rFonts w:ascii="仿宋_GB2312"/>
          <w:kern w:val="0"/>
          <w:szCs w:val="32"/>
          <w:highlight w:val="none"/>
        </w:rPr>
      </w:pPr>
      <w:r>
        <w:rPr>
          <w:rFonts w:hint="eastAsia" w:ascii="仿宋_GB2312"/>
          <w:kern w:val="0"/>
          <w:szCs w:val="32"/>
          <w:highlight w:val="none"/>
        </w:rPr>
        <w:t>当被检样品明示的质量要求劣于或不包含监督抽查实施细则中依据的强制性标准要求时，应按照强制性标准要求判定；</w:t>
      </w:r>
    </w:p>
    <w:p>
      <w:pPr>
        <w:keepNext w:val="0"/>
        <w:keepLines w:val="0"/>
        <w:pageBreakBefore w:val="0"/>
        <w:kinsoku/>
        <w:wordWrap/>
        <w:overflowPunct/>
        <w:topLinePunct w:val="0"/>
        <w:autoSpaceDE w:val="0"/>
        <w:autoSpaceDN w:val="0"/>
        <w:bidi w:val="0"/>
        <w:spacing w:line="580" w:lineRule="exact"/>
        <w:ind w:firstLine="640" w:firstLineChars="200"/>
        <w:jc w:val="left"/>
        <w:textAlignment w:val="auto"/>
        <w:rPr>
          <w:rFonts w:ascii="仿宋_GB2312"/>
          <w:kern w:val="0"/>
          <w:szCs w:val="32"/>
          <w:highlight w:val="none"/>
        </w:rPr>
      </w:pPr>
      <w:r>
        <w:rPr>
          <w:rFonts w:hint="eastAsia" w:ascii="仿宋_GB2312"/>
          <w:kern w:val="0"/>
          <w:szCs w:val="32"/>
          <w:highlight w:val="none"/>
        </w:rPr>
        <w:t>当被检样品明示的质量要求劣于或包含监督抽查实施细则中依据的推荐性标准要求时，应以被检样品明示的质量要求判定，如相应检验结果不符合相关推荐性标准要求时，应在检验报告中予以说明；</w:t>
      </w:r>
    </w:p>
    <w:p>
      <w:pPr>
        <w:keepNext w:val="0"/>
        <w:keepLines w:val="0"/>
        <w:pageBreakBefore w:val="0"/>
        <w:kinsoku/>
        <w:wordWrap/>
        <w:overflowPunct/>
        <w:topLinePunct w:val="0"/>
        <w:autoSpaceDE w:val="0"/>
        <w:autoSpaceDN w:val="0"/>
        <w:bidi w:val="0"/>
        <w:spacing w:line="580" w:lineRule="exact"/>
        <w:ind w:firstLine="640" w:firstLineChars="200"/>
        <w:jc w:val="left"/>
        <w:textAlignment w:val="auto"/>
        <w:rPr>
          <w:rFonts w:ascii="仿宋_GB2312"/>
          <w:kern w:val="0"/>
          <w:szCs w:val="32"/>
          <w:highlight w:val="none"/>
        </w:rPr>
      </w:pPr>
      <w:r>
        <w:rPr>
          <w:rFonts w:hint="eastAsia" w:ascii="仿宋_GB2312"/>
          <w:kern w:val="0"/>
          <w:szCs w:val="32"/>
          <w:highlight w:val="none"/>
        </w:rPr>
        <w:t>当被检样品明示的质量要求不包含监督抽查实施细则中依据的推荐性标准要求时，该指标不参与判定，但应在检验报告中作出说明；</w:t>
      </w:r>
    </w:p>
    <w:p>
      <w:pPr>
        <w:keepNext w:val="0"/>
        <w:keepLines w:val="0"/>
        <w:pageBreakBefore w:val="0"/>
        <w:kinsoku/>
        <w:wordWrap/>
        <w:overflowPunct/>
        <w:topLinePunct w:val="0"/>
        <w:autoSpaceDE w:val="0"/>
        <w:autoSpaceDN w:val="0"/>
        <w:bidi w:val="0"/>
        <w:spacing w:line="580" w:lineRule="exact"/>
        <w:ind w:firstLine="640" w:firstLineChars="200"/>
        <w:jc w:val="left"/>
        <w:textAlignment w:val="auto"/>
        <w:rPr>
          <w:rFonts w:ascii="仿宋_GB2312"/>
          <w:kern w:val="0"/>
          <w:szCs w:val="32"/>
          <w:highlight w:val="none"/>
        </w:rPr>
      </w:pPr>
      <w:r>
        <w:rPr>
          <w:rFonts w:hint="eastAsia" w:ascii="仿宋_GB2312"/>
          <w:kern w:val="0"/>
          <w:szCs w:val="32"/>
          <w:highlight w:val="none"/>
        </w:rPr>
        <w:t>当被检样品未能提供有效的企业标准时，按相关国家或行业标准进行判定；</w:t>
      </w:r>
    </w:p>
    <w:p>
      <w:pPr>
        <w:keepNext w:val="0"/>
        <w:keepLines w:val="0"/>
        <w:pageBreakBefore w:val="0"/>
        <w:kinsoku/>
        <w:wordWrap/>
        <w:overflowPunct/>
        <w:topLinePunct w:val="0"/>
        <w:autoSpaceDE w:val="0"/>
        <w:autoSpaceDN w:val="0"/>
        <w:bidi w:val="0"/>
        <w:spacing w:line="580" w:lineRule="exact"/>
        <w:ind w:firstLine="640" w:firstLineChars="200"/>
        <w:jc w:val="left"/>
        <w:textAlignment w:val="auto"/>
        <w:rPr>
          <w:rFonts w:ascii="仿宋_GB2312"/>
          <w:kern w:val="0"/>
          <w:szCs w:val="32"/>
          <w:highlight w:val="none"/>
        </w:rPr>
      </w:pPr>
      <w:r>
        <w:rPr>
          <w:rFonts w:hint="eastAsia" w:ascii="仿宋_GB2312"/>
          <w:kern w:val="0"/>
          <w:szCs w:val="32"/>
          <w:highlight w:val="none"/>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keepNext w:val="0"/>
        <w:keepLines w:val="0"/>
        <w:pageBreakBefore w:val="0"/>
        <w:kinsoku/>
        <w:wordWrap/>
        <w:overflowPunct/>
        <w:topLinePunct w:val="0"/>
        <w:autoSpaceDE w:val="0"/>
        <w:autoSpaceDN w:val="0"/>
        <w:bidi w:val="0"/>
        <w:spacing w:line="580" w:lineRule="exact"/>
        <w:ind w:firstLine="640" w:firstLineChars="200"/>
        <w:jc w:val="left"/>
        <w:textAlignment w:val="auto"/>
        <w:rPr>
          <w:rFonts w:ascii="仿宋_GB2312"/>
          <w:kern w:val="0"/>
          <w:szCs w:val="32"/>
          <w:highlight w:val="none"/>
        </w:rPr>
      </w:pPr>
      <w:r>
        <w:rPr>
          <w:rFonts w:hint="eastAsia" w:ascii="仿宋_GB2312"/>
          <w:kern w:val="0"/>
          <w:szCs w:val="32"/>
          <w:highlight w:val="none"/>
        </w:rPr>
        <w:t>按照产品质量相关法律法规的规定判定。</w:t>
      </w:r>
    </w:p>
    <w:p>
      <w:pPr>
        <w:keepNext w:val="0"/>
        <w:keepLines w:val="0"/>
        <w:pageBreakBefore w:val="0"/>
        <w:widowControl/>
        <w:kinsoku/>
        <w:wordWrap/>
        <w:overflowPunct/>
        <w:topLinePunct w:val="0"/>
        <w:autoSpaceDE w:val="0"/>
        <w:autoSpaceDN w:val="0"/>
        <w:bidi w:val="0"/>
        <w:spacing w:line="580" w:lineRule="exact"/>
        <w:ind w:firstLine="640" w:firstLineChars="200"/>
        <w:jc w:val="left"/>
        <w:textAlignment w:val="auto"/>
      </w:pPr>
      <w:r>
        <w:rPr>
          <w:rFonts w:hint="eastAsia" w:ascii="仿宋_GB2312"/>
          <w:kern w:val="0"/>
          <w:szCs w:val="32"/>
          <w:highlight w:val="none"/>
        </w:rPr>
        <w:t>检验中发现因样品失效或者其他原因致使检验无法进行的，检验人员应如实记录，并提供相关证明材料，报送组织监督抽查的市场监管部门。</w:t>
      </w:r>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 w:name="CESI楷体-GB2312">
    <w:altName w:val="宋体"/>
    <w:panose1 w:val="02000500000000000000"/>
    <w:charset w:val="86"/>
    <w:family w:val="auto"/>
    <w:pitch w:val="default"/>
    <w:sig w:usb0="00000000" w:usb1="00000000" w:usb2="00000012" w:usb3="00000000" w:csb0="0004000F"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Yjg2ZWFjYWE0OGY3MWIyMWQzODE4MGRhZmRjNDgifQ=="/>
  </w:docVars>
  <w:rsids>
    <w:rsidRoot w:val="1CB03ADB"/>
    <w:rsid w:val="0000274A"/>
    <w:rsid w:val="00080B45"/>
    <w:rsid w:val="000A14A8"/>
    <w:rsid w:val="00124879"/>
    <w:rsid w:val="00192409"/>
    <w:rsid w:val="001D16D8"/>
    <w:rsid w:val="001D5FC1"/>
    <w:rsid w:val="00212B84"/>
    <w:rsid w:val="00246256"/>
    <w:rsid w:val="002724DE"/>
    <w:rsid w:val="00335206"/>
    <w:rsid w:val="00342176"/>
    <w:rsid w:val="00373DCF"/>
    <w:rsid w:val="003B0813"/>
    <w:rsid w:val="003B2A4D"/>
    <w:rsid w:val="003C6E53"/>
    <w:rsid w:val="004805EF"/>
    <w:rsid w:val="004D3EDB"/>
    <w:rsid w:val="00502214"/>
    <w:rsid w:val="005462F5"/>
    <w:rsid w:val="00567951"/>
    <w:rsid w:val="00580ADD"/>
    <w:rsid w:val="0059343D"/>
    <w:rsid w:val="005F3C99"/>
    <w:rsid w:val="00621D06"/>
    <w:rsid w:val="00676C9F"/>
    <w:rsid w:val="006B2B11"/>
    <w:rsid w:val="00771A12"/>
    <w:rsid w:val="007D08B7"/>
    <w:rsid w:val="007F4291"/>
    <w:rsid w:val="0081385A"/>
    <w:rsid w:val="00827163"/>
    <w:rsid w:val="00896D4C"/>
    <w:rsid w:val="008A1EE8"/>
    <w:rsid w:val="008F073E"/>
    <w:rsid w:val="008F2077"/>
    <w:rsid w:val="00903E73"/>
    <w:rsid w:val="00916737"/>
    <w:rsid w:val="00A2577D"/>
    <w:rsid w:val="00A53ABD"/>
    <w:rsid w:val="00A83DB2"/>
    <w:rsid w:val="00A85699"/>
    <w:rsid w:val="00AD40E0"/>
    <w:rsid w:val="00B53BE9"/>
    <w:rsid w:val="00BA7662"/>
    <w:rsid w:val="00BE266F"/>
    <w:rsid w:val="00C852C1"/>
    <w:rsid w:val="00CA727A"/>
    <w:rsid w:val="00CC61AB"/>
    <w:rsid w:val="00CC7344"/>
    <w:rsid w:val="00D959C7"/>
    <w:rsid w:val="00DE47AB"/>
    <w:rsid w:val="00E33DCF"/>
    <w:rsid w:val="00E35225"/>
    <w:rsid w:val="00E66C92"/>
    <w:rsid w:val="00EA30C7"/>
    <w:rsid w:val="00EF7643"/>
    <w:rsid w:val="00F6328D"/>
    <w:rsid w:val="00F70B5E"/>
    <w:rsid w:val="00F71920"/>
    <w:rsid w:val="00FA4278"/>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55D35DB"/>
    <w:rsid w:val="362F7A57"/>
    <w:rsid w:val="38F16460"/>
    <w:rsid w:val="3EA63DA8"/>
    <w:rsid w:val="3F736EC6"/>
    <w:rsid w:val="41C40667"/>
    <w:rsid w:val="434F0216"/>
    <w:rsid w:val="4570602F"/>
    <w:rsid w:val="47390F89"/>
    <w:rsid w:val="499F5EBD"/>
    <w:rsid w:val="49C9475C"/>
    <w:rsid w:val="4A1B0A6F"/>
    <w:rsid w:val="4B10284A"/>
    <w:rsid w:val="4B5B1C0F"/>
    <w:rsid w:val="4BAA09C7"/>
    <w:rsid w:val="510F468F"/>
    <w:rsid w:val="53CD6333"/>
    <w:rsid w:val="572A45B5"/>
    <w:rsid w:val="57455456"/>
    <w:rsid w:val="582C61F0"/>
    <w:rsid w:val="5B3B30A1"/>
    <w:rsid w:val="5C722673"/>
    <w:rsid w:val="5C9E77E6"/>
    <w:rsid w:val="5E1878DE"/>
    <w:rsid w:val="5F2909A2"/>
    <w:rsid w:val="60957AA9"/>
    <w:rsid w:val="60CC0484"/>
    <w:rsid w:val="624E1047"/>
    <w:rsid w:val="62671E79"/>
    <w:rsid w:val="669037FA"/>
    <w:rsid w:val="6A3E7729"/>
    <w:rsid w:val="6F736536"/>
    <w:rsid w:val="6FFCB236"/>
    <w:rsid w:val="73F16EBA"/>
    <w:rsid w:val="7881476A"/>
    <w:rsid w:val="7A9B3937"/>
    <w:rsid w:val="7C546201"/>
    <w:rsid w:val="7CEC7AF9"/>
    <w:rsid w:val="7EC20718"/>
    <w:rsid w:val="9B3F6223"/>
    <w:rsid w:val="F5FA8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styleId="11">
    <w:name w:val="List Paragraph"/>
    <w:basedOn w:val="1"/>
    <w:unhideWhenUsed/>
    <w:qFormat/>
    <w:uiPriority w:val="99"/>
    <w:pPr>
      <w:ind w:firstLine="420" w:firstLineChars="200"/>
    </w:pPr>
  </w:style>
  <w:style w:type="paragraph" w:customStyle="1" w:styleId="12">
    <w:name w:val="Table Paragraph"/>
    <w:basedOn w:val="1"/>
    <w:qFormat/>
    <w:uiPriority w:val="99"/>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1471</Words>
  <Characters>1581</Characters>
  <Lines>17</Lines>
  <Paragraphs>4</Paragraphs>
  <TotalTime>1</TotalTime>
  <ScaleCrop>false</ScaleCrop>
  <LinksUpToDate>false</LinksUpToDate>
  <CharactersWithSpaces>1603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2022-02-28T22:37:00Z</dcterms:created>
  <dc:creator>HO(∩_∩)O</dc:creator>
  <cp:lastModifiedBy>刘赞</cp:lastModifiedBy>
  <dcterms:modified xsi:type="dcterms:W3CDTF">2023-05-10T03:23:32Z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6572AECE431C4E379079AE4F5BB2B20B_13</vt:lpwstr>
  </property>
</Properties>
</file>