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line="578" w:lineRule="exact"/>
        <w:jc w:val="center"/>
        <w:textAlignment w:val="auto"/>
        <w:rPr>
          <w:rFonts w:ascii="方正小标宋简体" w:hAnsi="方正小标宋简体" w:eastAsia="方正小标宋简体" w:cs="方正小标宋简体"/>
          <w:bCs/>
          <w:color w:val="000000"/>
          <w:sz w:val="44"/>
          <w:szCs w:val="44"/>
        </w:rPr>
      </w:pPr>
      <w:r>
        <w:rPr>
          <w:rFonts w:hint="eastAsia" w:ascii="方正小标宋简体" w:hAnsi="方正小标宋简体" w:eastAsia="方正小标宋简体" w:cs="方正小标宋简体"/>
          <w:spacing w:val="-1"/>
          <w:position w:val="1"/>
          <w:sz w:val="44"/>
          <w:szCs w:val="44"/>
        </w:rPr>
        <w:t>珠海市砂轮产品</w:t>
      </w:r>
      <w:r>
        <w:rPr>
          <w:rFonts w:hint="eastAsia" w:ascii="方正小标宋简体" w:hAnsi="方正小标宋简体" w:eastAsia="方正小标宋简体" w:cs="方正小标宋简体"/>
          <w:spacing w:val="-1"/>
          <w:position w:val="1"/>
          <w:sz w:val="44"/>
          <w:szCs w:val="44"/>
          <w:lang w:val="en-US" w:eastAsia="zh-CN"/>
        </w:rPr>
        <w:t>质量</w:t>
      </w:r>
      <w:r>
        <w:rPr>
          <w:rFonts w:hint="eastAsia" w:ascii="方正小标宋简体" w:hAnsi="方正小标宋简体" w:eastAsia="方正小标宋简体" w:cs="方正小标宋简体"/>
          <w:w w:val="99"/>
          <w:position w:val="1"/>
          <w:sz w:val="44"/>
          <w:szCs w:val="44"/>
        </w:rPr>
        <w:t>监督</w:t>
      </w:r>
      <w:r>
        <w:rPr>
          <w:rFonts w:hint="eastAsia" w:ascii="方正小标宋简体" w:hAnsi="方正小标宋简体" w:eastAsia="方正小标宋简体" w:cs="方正小标宋简体"/>
          <w:bCs/>
          <w:color w:val="000000"/>
          <w:sz w:val="44"/>
          <w:szCs w:val="44"/>
        </w:rPr>
        <w:t>抽查实施细则</w:t>
      </w:r>
    </w:p>
    <w:p>
      <w:pPr>
        <w:keepNext w:val="0"/>
        <w:keepLines w:val="0"/>
        <w:pageBreakBefore w:val="0"/>
        <w:kinsoku/>
        <w:wordWrap/>
        <w:overflowPunct/>
        <w:topLinePunct w:val="0"/>
        <w:bidi w:val="0"/>
        <w:spacing w:line="578" w:lineRule="exact"/>
        <w:ind w:firstLine="880" w:firstLineChars="200"/>
        <w:jc w:val="left"/>
        <w:textAlignment w:val="auto"/>
        <w:rPr>
          <w:rFonts w:eastAsia="方正小标宋简体" w:cs="方正小标宋简体"/>
          <w:color w:val="000000"/>
          <w:sz w:val="44"/>
          <w:szCs w:val="44"/>
        </w:rPr>
      </w:pPr>
    </w:p>
    <w:p>
      <w:pPr>
        <w:keepNext w:val="0"/>
        <w:keepLines w:val="0"/>
        <w:pageBreakBefore w:val="0"/>
        <w:kinsoku/>
        <w:wordWrap/>
        <w:overflowPunct/>
        <w:topLinePunct w:val="0"/>
        <w:bidi w:val="0"/>
        <w:spacing w:line="578" w:lineRule="exact"/>
        <w:ind w:firstLine="640" w:firstLineChars="200"/>
        <w:jc w:val="left"/>
        <w:textAlignment w:val="auto"/>
        <w:rPr>
          <w:rFonts w:ascii="黑体" w:hAnsi="黑体" w:eastAsia="黑体" w:cs="黑体"/>
          <w:szCs w:val="32"/>
        </w:rPr>
      </w:pPr>
      <w:r>
        <w:rPr>
          <w:rFonts w:hint="eastAsia" w:ascii="黑体" w:hAnsi="黑体" w:eastAsia="黑体" w:cs="黑体"/>
          <w:szCs w:val="32"/>
        </w:rPr>
        <w:t>一、抽样方法</w:t>
      </w:r>
    </w:p>
    <w:p>
      <w:pPr>
        <w:keepNext w:val="0"/>
        <w:keepLines w:val="0"/>
        <w:pageBreakBefore w:val="0"/>
        <w:widowControl/>
        <w:kinsoku/>
        <w:wordWrap/>
        <w:overflowPunct/>
        <w:topLinePunct w:val="0"/>
        <w:bidi w:val="0"/>
        <w:spacing w:line="578" w:lineRule="exact"/>
        <w:ind w:firstLine="640" w:firstLineChars="200"/>
        <w:jc w:val="left"/>
        <w:textAlignment w:val="auto"/>
        <w:rPr>
          <w:rFonts w:hint="eastAsia" w:ascii="仿宋" w:hAnsi="仿宋" w:eastAsia="仿宋" w:cs="仿宋"/>
          <w:b w:val="0"/>
          <w:bCs w:val="0"/>
          <w:color w:val="000000" w:themeColor="text1"/>
          <w:kern w:val="0"/>
          <w:sz w:val="32"/>
          <w:szCs w:val="32"/>
          <w14:textFill>
            <w14:solidFill>
              <w14:schemeClr w14:val="tx1"/>
            </w14:solidFill>
          </w14:textFill>
        </w:rPr>
      </w:pPr>
      <w:r>
        <w:rPr>
          <w:rFonts w:hint="eastAsia" w:ascii="仿宋" w:hAnsi="仿宋" w:eastAsia="仿宋" w:cs="仿宋"/>
          <w:b w:val="0"/>
          <w:bCs w:val="0"/>
          <w:color w:val="000000" w:themeColor="text1"/>
          <w:kern w:val="0"/>
          <w:sz w:val="32"/>
          <w:szCs w:val="32"/>
          <w14:textFill>
            <w14:solidFill>
              <w14:schemeClr w14:val="tx1"/>
            </w14:solidFill>
          </w14:textFill>
        </w:rPr>
        <w:t>以随机抽样的方式在被抽查市场主体的待销产品中抽取。</w:t>
      </w:r>
    </w:p>
    <w:p>
      <w:pPr>
        <w:keepNext w:val="0"/>
        <w:keepLines w:val="0"/>
        <w:pageBreakBefore w:val="0"/>
        <w:widowControl/>
        <w:kinsoku/>
        <w:wordWrap/>
        <w:overflowPunct/>
        <w:topLinePunct w:val="0"/>
        <w:bidi w:val="0"/>
        <w:spacing w:line="578" w:lineRule="exact"/>
        <w:ind w:firstLine="640" w:firstLineChars="200"/>
        <w:jc w:val="left"/>
        <w:textAlignment w:val="auto"/>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kern w:val="0"/>
          <w:sz w:val="32"/>
          <w:szCs w:val="32"/>
          <w14:textFill>
            <w14:solidFill>
              <w14:schemeClr w14:val="tx1"/>
            </w14:solidFill>
          </w14:textFill>
        </w:rPr>
        <w:t>随机数一般可使用随机数表等方法产生。</w:t>
      </w:r>
    </w:p>
    <w:p>
      <w:pPr>
        <w:keepNext w:val="0"/>
        <w:keepLines w:val="0"/>
        <w:pageBreakBefore w:val="0"/>
        <w:kinsoku/>
        <w:wordWrap/>
        <w:overflowPunct/>
        <w:topLinePunct w:val="0"/>
        <w:bidi w:val="0"/>
        <w:adjustRightInd w:val="0"/>
        <w:snapToGrid w:val="0"/>
        <w:spacing w:line="578" w:lineRule="exact"/>
        <w:ind w:firstLine="640" w:firstLineChars="200"/>
        <w:jc w:val="left"/>
        <w:textAlignment w:val="auto"/>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抽查数量：每款产品抽取2组样本，第1组用于检验，第2组用于备样。具体抽样数量和方法如下：</w:t>
      </w:r>
    </w:p>
    <w:p>
      <w:pPr>
        <w:keepNext w:val="0"/>
        <w:keepLines w:val="0"/>
        <w:pageBreakBefore w:val="0"/>
        <w:kinsoku/>
        <w:wordWrap/>
        <w:overflowPunct/>
        <w:topLinePunct w:val="0"/>
        <w:bidi w:val="0"/>
        <w:spacing w:line="578" w:lineRule="exact"/>
        <w:ind w:firstLine="640"/>
        <w:jc w:val="left"/>
        <w:textAlignment w:val="auto"/>
        <w:rPr>
          <w:rFonts w:hint="eastAsia" w:ascii="仿宋" w:hAnsi="仿宋" w:eastAsia="仿宋" w:cs="仿宋"/>
          <w:b w:val="0"/>
          <w:bCs w:val="0"/>
          <w:color w:val="000000" w:themeColor="text1"/>
          <w:kern w:val="0"/>
          <w:sz w:val="32"/>
          <w:szCs w:val="32"/>
          <w14:textFill>
            <w14:solidFill>
              <w14:schemeClr w14:val="tx1"/>
            </w14:solidFill>
          </w14:textFill>
        </w:rPr>
      </w:pPr>
      <w:r>
        <w:rPr>
          <w:rFonts w:hint="eastAsia" w:ascii="仿宋" w:hAnsi="仿宋" w:eastAsia="仿宋" w:cs="仿宋"/>
          <w:b w:val="0"/>
          <w:bCs w:val="0"/>
          <w:color w:val="000000" w:themeColor="text1"/>
          <w:kern w:val="0"/>
          <w:sz w:val="32"/>
          <w:szCs w:val="32"/>
          <w:lang w:eastAsia="zh-CN"/>
          <w14:textFill>
            <w14:solidFill>
              <w14:schemeClr w14:val="tx1"/>
            </w14:solidFill>
          </w14:textFill>
        </w:rPr>
        <w:t>（一）</w:t>
      </w:r>
      <w:r>
        <w:rPr>
          <w:rFonts w:hint="eastAsia" w:ascii="仿宋" w:hAnsi="仿宋" w:eastAsia="仿宋" w:cs="仿宋"/>
          <w:b w:val="0"/>
          <w:bCs w:val="0"/>
          <w:color w:val="000000" w:themeColor="text1"/>
          <w:kern w:val="0"/>
          <w:sz w:val="32"/>
          <w:szCs w:val="32"/>
          <w14:textFill>
            <w14:solidFill>
              <w14:schemeClr w14:val="tx1"/>
            </w14:solidFill>
          </w14:textFill>
        </w:rPr>
        <w:t>切割砂轮每款产品的抽样数量共20个，其中10个为检验样品，10个为备用样品。</w:t>
      </w:r>
    </w:p>
    <w:p>
      <w:pPr>
        <w:keepNext w:val="0"/>
        <w:keepLines w:val="0"/>
        <w:pageBreakBefore w:val="0"/>
        <w:kinsoku/>
        <w:wordWrap/>
        <w:overflowPunct/>
        <w:topLinePunct w:val="0"/>
        <w:bidi w:val="0"/>
        <w:spacing w:line="578" w:lineRule="exact"/>
        <w:ind w:firstLine="640"/>
        <w:jc w:val="left"/>
        <w:textAlignment w:val="auto"/>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kern w:val="0"/>
          <w:sz w:val="32"/>
          <w:szCs w:val="32"/>
          <w:lang w:eastAsia="zh-CN"/>
          <w14:textFill>
            <w14:solidFill>
              <w14:schemeClr w14:val="tx1"/>
            </w14:solidFill>
          </w14:textFill>
        </w:rPr>
        <w:t>（二）</w:t>
      </w:r>
      <w:r>
        <w:rPr>
          <w:rFonts w:hint="eastAsia" w:ascii="仿宋" w:hAnsi="仿宋" w:eastAsia="仿宋" w:cs="仿宋"/>
          <w:b w:val="0"/>
          <w:bCs w:val="0"/>
          <w:color w:val="000000" w:themeColor="text1"/>
          <w:kern w:val="0"/>
          <w:sz w:val="32"/>
          <w:szCs w:val="32"/>
          <w14:textFill>
            <w14:solidFill>
              <w14:schemeClr w14:val="tx1"/>
            </w14:solidFill>
          </w14:textFill>
        </w:rPr>
        <w:t>修磨用钹形砂轮每款产品的抽样数量共20个，其中10个为检验样品，10个为备用样品。</w:t>
      </w:r>
    </w:p>
    <w:p>
      <w:pPr>
        <w:pStyle w:val="13"/>
        <w:keepNext w:val="0"/>
        <w:keepLines w:val="0"/>
        <w:pageBreakBefore w:val="0"/>
        <w:kinsoku/>
        <w:wordWrap/>
        <w:overflowPunct/>
        <w:topLinePunct w:val="0"/>
        <w:bidi w:val="0"/>
        <w:spacing w:line="578" w:lineRule="exact"/>
        <w:ind w:firstLine="640"/>
        <w:jc w:val="left"/>
        <w:textAlignment w:val="auto"/>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抽取标称同一商标（或标称同一生产者）、同一型号规格的产品。抽样时，产品需确认以下信息：</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9"/>
        <w:gridCol w:w="2140"/>
        <w:gridCol w:w="4242"/>
        <w:gridCol w:w="1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blHeader/>
          <w:jc w:val="center"/>
        </w:trPr>
        <w:tc>
          <w:tcPr>
            <w:tcW w:w="507" w:type="pct"/>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color w:val="000000" w:themeColor="text1"/>
                <w:sz w:val="24"/>
                <w14:textFill>
                  <w14:solidFill>
                    <w14:schemeClr w14:val="tx1"/>
                  </w14:solidFill>
                </w14:textFill>
              </w:rPr>
            </w:pPr>
            <w:r>
              <w:rPr>
                <w:rFonts w:hint="eastAsia" w:ascii="黑体" w:hAnsi="黑体" w:eastAsia="黑体" w:cs="黑体"/>
                <w:color w:val="000000" w:themeColor="text1"/>
                <w:sz w:val="24"/>
                <w14:textFill>
                  <w14:solidFill>
                    <w14:schemeClr w14:val="tx1"/>
                  </w14:solidFill>
                </w14:textFill>
              </w:rPr>
              <w:t>序号</w:t>
            </w:r>
          </w:p>
        </w:tc>
        <w:tc>
          <w:tcPr>
            <w:tcW w:w="1181" w:type="pct"/>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color w:val="000000" w:themeColor="text1"/>
                <w:sz w:val="24"/>
                <w14:textFill>
                  <w14:solidFill>
                    <w14:schemeClr w14:val="tx1"/>
                  </w14:solidFill>
                </w14:textFill>
              </w:rPr>
            </w:pPr>
            <w:r>
              <w:rPr>
                <w:rFonts w:hint="eastAsia" w:ascii="黑体" w:hAnsi="黑体" w:eastAsia="黑体" w:cs="黑体"/>
                <w:color w:val="000000" w:themeColor="text1"/>
                <w:sz w:val="24"/>
                <w14:textFill>
                  <w14:solidFill>
                    <w14:schemeClr w14:val="tx1"/>
                  </w14:solidFill>
                </w14:textFill>
              </w:rPr>
              <w:t>产品名称</w:t>
            </w:r>
          </w:p>
        </w:tc>
        <w:tc>
          <w:tcPr>
            <w:tcW w:w="2341" w:type="pct"/>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color w:val="000000" w:themeColor="text1"/>
                <w:sz w:val="24"/>
                <w14:textFill>
                  <w14:solidFill>
                    <w14:schemeClr w14:val="tx1"/>
                  </w14:solidFill>
                </w14:textFill>
              </w:rPr>
            </w:pPr>
            <w:r>
              <w:rPr>
                <w:rFonts w:hint="eastAsia" w:ascii="黑体" w:hAnsi="黑体" w:eastAsia="黑体" w:cs="黑体"/>
                <w:color w:val="000000" w:themeColor="text1"/>
                <w:sz w:val="24"/>
                <w14:textFill>
                  <w14:solidFill>
                    <w14:schemeClr w14:val="tx1"/>
                  </w14:solidFill>
                </w14:textFill>
              </w:rPr>
              <w:t>应提供的其他产品信息</w:t>
            </w:r>
          </w:p>
        </w:tc>
        <w:tc>
          <w:tcPr>
            <w:tcW w:w="969" w:type="pct"/>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color w:val="000000" w:themeColor="text1"/>
                <w:sz w:val="24"/>
                <w14:textFill>
                  <w14:solidFill>
                    <w14:schemeClr w14:val="tx1"/>
                  </w14:solidFill>
                </w14:textFill>
              </w:rPr>
            </w:pPr>
            <w:r>
              <w:rPr>
                <w:rFonts w:hint="eastAsia" w:ascii="黑体" w:hAnsi="黑体" w:eastAsia="黑体" w:cs="黑体"/>
                <w:color w:val="000000" w:themeColor="text1"/>
                <w:sz w:val="24"/>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507" w:type="pct"/>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w:t>
            </w:r>
          </w:p>
        </w:tc>
        <w:tc>
          <w:tcPr>
            <w:tcW w:w="1181" w:type="pct"/>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切割砂轮</w:t>
            </w:r>
          </w:p>
        </w:tc>
        <w:tc>
          <w:tcPr>
            <w:tcW w:w="2341" w:type="pct"/>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外径、孔径、厚度、最高工作线速度</w:t>
            </w:r>
          </w:p>
        </w:tc>
        <w:tc>
          <w:tcPr>
            <w:tcW w:w="969" w:type="pct"/>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507" w:type="pct"/>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w:t>
            </w:r>
          </w:p>
        </w:tc>
        <w:tc>
          <w:tcPr>
            <w:tcW w:w="1181" w:type="pct"/>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修磨用钹形砂轮</w:t>
            </w:r>
          </w:p>
        </w:tc>
        <w:tc>
          <w:tcPr>
            <w:tcW w:w="2341" w:type="pct"/>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外径、孔径、厚度、最高工作线速度</w:t>
            </w:r>
          </w:p>
        </w:tc>
        <w:tc>
          <w:tcPr>
            <w:tcW w:w="969" w:type="pct"/>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r>
    </w:tbl>
    <w:p>
      <w:pPr>
        <w:keepNext w:val="0"/>
        <w:keepLines w:val="0"/>
        <w:pageBreakBefore w:val="0"/>
        <w:kinsoku/>
        <w:wordWrap/>
        <w:overflowPunct/>
        <w:topLinePunct w:val="0"/>
        <w:bidi w:val="0"/>
        <w:spacing w:line="578" w:lineRule="exact"/>
        <w:ind w:firstLine="640" w:firstLineChars="200"/>
        <w:jc w:val="left"/>
        <w:textAlignment w:val="auto"/>
        <w:rPr>
          <w:rFonts w:eastAsia="黑体" w:cs="黑体"/>
          <w:color w:val="000000"/>
        </w:rPr>
      </w:pPr>
      <w:r>
        <w:rPr>
          <w:rFonts w:hint="eastAsia" w:eastAsia="黑体" w:cs="黑体"/>
          <w:color w:val="000000"/>
          <w:lang w:val="en-US" w:eastAsia="zh-CN"/>
        </w:rPr>
        <w:t>二</w:t>
      </w:r>
      <w:r>
        <w:rPr>
          <w:rFonts w:hint="eastAsia" w:eastAsia="黑体" w:cs="黑体"/>
          <w:color w:val="000000"/>
        </w:rPr>
        <w:t>、主要检验项目及检验项目属性划分</w:t>
      </w:r>
    </w:p>
    <w:p>
      <w:pPr>
        <w:keepNext w:val="0"/>
        <w:keepLines w:val="0"/>
        <w:pageBreakBefore w:val="0"/>
        <w:kinsoku/>
        <w:wordWrap/>
        <w:overflowPunct/>
        <w:topLinePunct w:val="0"/>
        <w:bidi w:val="0"/>
        <w:spacing w:line="578" w:lineRule="exact"/>
        <w:ind w:firstLine="640" w:firstLineChars="200"/>
        <w:jc w:val="left"/>
        <w:textAlignment w:val="auto"/>
        <w:rPr>
          <w:rFonts w:hint="eastAsia" w:ascii="CESI楷体-GB2312" w:hAnsi="CESI楷体-GB2312" w:eastAsia="CESI楷体-GB2312" w:cs="CESI楷体-GB2312"/>
          <w:b/>
          <w:bCs/>
          <w:szCs w:val="32"/>
        </w:rPr>
      </w:pPr>
      <w:r>
        <w:rPr>
          <w:rFonts w:hint="eastAsia" w:ascii="楷体_GB2312" w:hAnsi="楷体_GB2312" w:eastAsia="楷体_GB2312" w:cs="楷体_GB2312"/>
          <w:b w:val="0"/>
          <w:bCs w:val="0"/>
          <w:szCs w:val="32"/>
          <w:lang w:eastAsia="zh-CN"/>
        </w:rPr>
        <w:t>（一）</w:t>
      </w:r>
      <w:r>
        <w:rPr>
          <w:rFonts w:hint="eastAsia" w:ascii="楷体_GB2312" w:hAnsi="楷体_GB2312" w:eastAsia="楷体_GB2312" w:cs="楷体_GB2312"/>
          <w:b w:val="0"/>
          <w:bCs w:val="0"/>
          <w:szCs w:val="32"/>
        </w:rPr>
        <w:t>切割砂轮</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1848"/>
        <w:gridCol w:w="1882"/>
        <w:gridCol w:w="909"/>
        <w:gridCol w:w="909"/>
        <w:gridCol w:w="909"/>
        <w:gridCol w:w="909"/>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blHeader/>
          <w:jc w:val="center"/>
        </w:trPr>
        <w:tc>
          <w:tcPr>
            <w:tcW w:w="42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color w:val="000000" w:themeColor="text1"/>
                <w:sz w:val="24"/>
                <w14:textFill>
                  <w14:solidFill>
                    <w14:schemeClr w14:val="tx1"/>
                  </w14:solidFill>
                </w14:textFill>
              </w:rPr>
            </w:pPr>
            <w:r>
              <w:rPr>
                <w:rFonts w:hint="eastAsia" w:ascii="黑体" w:hAnsi="黑体" w:eastAsia="黑体" w:cs="黑体"/>
                <w:color w:val="000000" w:themeColor="text1"/>
                <w:sz w:val="24"/>
                <w14:textFill>
                  <w14:solidFill>
                    <w14:schemeClr w14:val="tx1"/>
                  </w14:solidFill>
                </w14:textFill>
              </w:rPr>
              <w:t>序号</w:t>
            </w:r>
          </w:p>
        </w:tc>
        <w:tc>
          <w:tcPr>
            <w:tcW w:w="102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color w:val="000000" w:themeColor="text1"/>
                <w:sz w:val="24"/>
                <w14:textFill>
                  <w14:solidFill>
                    <w14:schemeClr w14:val="tx1"/>
                  </w14:solidFill>
                </w14:textFill>
              </w:rPr>
            </w:pPr>
            <w:r>
              <w:rPr>
                <w:rFonts w:hint="eastAsia" w:ascii="黑体" w:hAnsi="黑体" w:eastAsia="黑体" w:cs="黑体"/>
                <w:color w:val="000000" w:themeColor="text1"/>
                <w:sz w:val="24"/>
                <w14:textFill>
                  <w14:solidFill>
                    <w14:schemeClr w14:val="tx1"/>
                  </w14:solidFill>
                </w14:textFill>
              </w:rPr>
              <w:t>检验项目</w:t>
            </w:r>
          </w:p>
        </w:tc>
        <w:tc>
          <w:tcPr>
            <w:tcW w:w="103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color w:val="000000" w:themeColor="text1"/>
                <w:sz w:val="24"/>
                <w14:textFill>
                  <w14:solidFill>
                    <w14:schemeClr w14:val="tx1"/>
                  </w14:solidFill>
                </w14:textFill>
              </w:rPr>
            </w:pPr>
            <w:r>
              <w:rPr>
                <w:rFonts w:hint="eastAsia" w:ascii="黑体" w:hAnsi="黑体" w:eastAsia="黑体" w:cs="黑体"/>
                <w:color w:val="000000" w:themeColor="text1"/>
                <w:sz w:val="24"/>
                <w14:textFill>
                  <w14:solidFill>
                    <w14:schemeClr w14:val="tx1"/>
                  </w14:solidFill>
                </w14:textFill>
              </w:rPr>
              <w:t>检验方法</w:t>
            </w: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color w:val="000000" w:themeColor="text1"/>
                <w:sz w:val="24"/>
                <w14:textFill>
                  <w14:solidFill>
                    <w14:schemeClr w14:val="tx1"/>
                  </w14:solidFill>
                </w14:textFill>
              </w:rPr>
            </w:pPr>
            <w:r>
              <w:rPr>
                <w:rFonts w:hint="eastAsia" w:ascii="黑体" w:hAnsi="黑体" w:eastAsia="黑体" w:cs="黑体"/>
                <w:color w:val="000000" w:themeColor="text1"/>
                <w:sz w:val="24"/>
                <w14:textFill>
                  <w14:solidFill>
                    <w14:schemeClr w14:val="tx1"/>
                  </w14:solidFill>
                </w14:textFill>
              </w:rPr>
              <w:t>强制性</w:t>
            </w: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color w:val="000000" w:themeColor="text1"/>
                <w:sz w:val="24"/>
                <w14:textFill>
                  <w14:solidFill>
                    <w14:schemeClr w14:val="tx1"/>
                  </w14:solidFill>
                </w14:textFill>
              </w:rPr>
            </w:pPr>
            <w:r>
              <w:rPr>
                <w:rFonts w:hint="eastAsia" w:ascii="黑体" w:hAnsi="黑体" w:eastAsia="黑体" w:cs="黑体"/>
                <w:color w:val="000000" w:themeColor="text1"/>
                <w:sz w:val="24"/>
                <w14:textFill>
                  <w14:solidFill>
                    <w14:schemeClr w14:val="tx1"/>
                  </w14:solidFill>
                </w14:textFill>
              </w:rPr>
              <w:t>非强制性</w:t>
            </w: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color w:val="000000" w:themeColor="text1"/>
                <w:sz w:val="24"/>
                <w14:textFill>
                  <w14:solidFill>
                    <w14:schemeClr w14:val="tx1"/>
                  </w14:solidFill>
                </w14:textFill>
              </w:rPr>
            </w:pPr>
            <w:r>
              <w:rPr>
                <w:rFonts w:hint="eastAsia" w:ascii="黑体" w:hAnsi="黑体" w:eastAsia="黑体" w:cs="黑体"/>
                <w:color w:val="000000" w:themeColor="text1"/>
                <w:sz w:val="24"/>
                <w14:textFill>
                  <w14:solidFill>
                    <w14:schemeClr w14:val="tx1"/>
                  </w14:solidFill>
                </w14:textFill>
              </w:rPr>
              <w:t>重要项</w:t>
            </w: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color w:val="000000" w:themeColor="text1"/>
                <w:sz w:val="24"/>
                <w14:textFill>
                  <w14:solidFill>
                    <w14:schemeClr w14:val="tx1"/>
                  </w14:solidFill>
                </w14:textFill>
              </w:rPr>
            </w:pPr>
            <w:r>
              <w:rPr>
                <w:rFonts w:hint="eastAsia" w:ascii="黑体" w:hAnsi="黑体" w:eastAsia="黑体" w:cs="黑体"/>
                <w:color w:val="000000" w:themeColor="text1"/>
                <w:sz w:val="24"/>
                <w14:textFill>
                  <w14:solidFill>
                    <w14:schemeClr w14:val="tx1"/>
                  </w14:solidFill>
                </w14:textFill>
              </w:rPr>
              <w:t>较重要项</w:t>
            </w:r>
          </w:p>
        </w:tc>
        <w:tc>
          <w:tcPr>
            <w:tcW w:w="5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color w:val="000000" w:themeColor="text1"/>
                <w:sz w:val="24"/>
                <w14:textFill>
                  <w14:solidFill>
                    <w14:schemeClr w14:val="tx1"/>
                  </w14:solidFill>
                </w14:textFill>
              </w:rPr>
            </w:pPr>
            <w:r>
              <w:rPr>
                <w:rFonts w:hint="eastAsia" w:ascii="黑体" w:hAnsi="黑体" w:eastAsia="黑体" w:cs="黑体"/>
                <w:color w:val="000000" w:themeColor="text1"/>
                <w:sz w:val="24"/>
                <w14:textFill>
                  <w14:solidFill>
                    <w14:schemeClr w14:val="tx1"/>
                  </w14:solidFill>
                </w14:textFill>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2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w:t>
            </w:r>
          </w:p>
        </w:tc>
        <w:tc>
          <w:tcPr>
            <w:tcW w:w="102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外观</w:t>
            </w:r>
          </w:p>
        </w:tc>
        <w:tc>
          <w:tcPr>
            <w:tcW w:w="103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JB/T 4175-2016</w:t>
            </w: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c>
          <w:tcPr>
            <w:tcW w:w="5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2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w:t>
            </w:r>
          </w:p>
        </w:tc>
        <w:tc>
          <w:tcPr>
            <w:tcW w:w="102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外径极限偏差</w:t>
            </w:r>
          </w:p>
        </w:tc>
        <w:tc>
          <w:tcPr>
            <w:tcW w:w="103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JB/T 7992-2017</w:t>
            </w: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5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2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w:t>
            </w:r>
          </w:p>
        </w:tc>
        <w:tc>
          <w:tcPr>
            <w:tcW w:w="102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厚度极限偏差</w:t>
            </w:r>
          </w:p>
        </w:tc>
        <w:tc>
          <w:tcPr>
            <w:tcW w:w="103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JB/T 7992-2017</w:t>
            </w: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5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2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4</w:t>
            </w:r>
          </w:p>
        </w:tc>
        <w:tc>
          <w:tcPr>
            <w:tcW w:w="102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孔径极限偏差</w:t>
            </w:r>
          </w:p>
        </w:tc>
        <w:tc>
          <w:tcPr>
            <w:tcW w:w="103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JB/T 7992-2017</w:t>
            </w: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5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2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5</w:t>
            </w:r>
          </w:p>
        </w:tc>
        <w:tc>
          <w:tcPr>
            <w:tcW w:w="102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端面圆跳动</w:t>
            </w:r>
          </w:p>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公差</w:t>
            </w:r>
          </w:p>
        </w:tc>
        <w:tc>
          <w:tcPr>
            <w:tcW w:w="103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JB/T 7992-2017</w:t>
            </w: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5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2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6</w:t>
            </w:r>
          </w:p>
        </w:tc>
        <w:tc>
          <w:tcPr>
            <w:tcW w:w="102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径向圆跳动</w:t>
            </w:r>
          </w:p>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公差</w:t>
            </w:r>
          </w:p>
        </w:tc>
        <w:tc>
          <w:tcPr>
            <w:tcW w:w="103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JB/T 7992-2017</w:t>
            </w: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5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2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7</w:t>
            </w:r>
          </w:p>
        </w:tc>
        <w:tc>
          <w:tcPr>
            <w:tcW w:w="102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平面度公差</w:t>
            </w:r>
          </w:p>
        </w:tc>
        <w:tc>
          <w:tcPr>
            <w:tcW w:w="103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JB/T 7992-2017</w:t>
            </w: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5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2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8</w:t>
            </w:r>
          </w:p>
        </w:tc>
        <w:tc>
          <w:tcPr>
            <w:tcW w:w="102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不平衡量a</w:t>
            </w:r>
          </w:p>
        </w:tc>
        <w:tc>
          <w:tcPr>
            <w:tcW w:w="103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GB/T 2492-2017</w:t>
            </w: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5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2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9</w:t>
            </w:r>
          </w:p>
        </w:tc>
        <w:tc>
          <w:tcPr>
            <w:tcW w:w="102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安全要求</w:t>
            </w:r>
          </w:p>
        </w:tc>
        <w:tc>
          <w:tcPr>
            <w:tcW w:w="103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GB/T 2493-2013</w:t>
            </w: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c>
          <w:tcPr>
            <w:tcW w:w="50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5000" w:type="pct"/>
            <w:gridSpan w:val="8"/>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left"/>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注：a.仅适用于外径大于或等于125mm、且单重大于或等于80g、且最高工作线速度大于或等于16m/s的砂轮。</w:t>
            </w:r>
          </w:p>
        </w:tc>
      </w:tr>
    </w:tbl>
    <w:p>
      <w:pPr>
        <w:keepNext w:val="0"/>
        <w:keepLines w:val="0"/>
        <w:pageBreakBefore w:val="0"/>
        <w:kinsoku/>
        <w:wordWrap/>
        <w:overflowPunct/>
        <w:topLinePunct w:val="0"/>
        <w:bidi w:val="0"/>
        <w:spacing w:line="578" w:lineRule="exact"/>
        <w:ind w:firstLine="640" w:firstLineChars="200"/>
        <w:jc w:val="left"/>
        <w:textAlignment w:val="auto"/>
        <w:rPr>
          <w:rFonts w:hint="eastAsia" w:ascii="楷体_GB2312" w:hAnsi="楷体_GB2312" w:eastAsia="楷体_GB2312" w:cs="楷体_GB2312"/>
          <w:b w:val="0"/>
          <w:bCs w:val="0"/>
          <w:szCs w:val="32"/>
          <w:lang w:eastAsia="zh-CN"/>
        </w:rPr>
      </w:pPr>
      <w:r>
        <w:rPr>
          <w:rFonts w:hint="eastAsia" w:ascii="楷体_GB2312" w:hAnsi="楷体_GB2312" w:eastAsia="楷体_GB2312" w:cs="楷体_GB2312"/>
          <w:b w:val="0"/>
          <w:bCs w:val="0"/>
          <w:szCs w:val="32"/>
          <w:lang w:eastAsia="zh-CN"/>
        </w:rPr>
        <w:t>2.修磨用钹形砂轮</w:t>
      </w:r>
    </w:p>
    <w:tbl>
      <w:tblPr>
        <w:tblStyle w:val="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
        <w:gridCol w:w="1828"/>
        <w:gridCol w:w="1913"/>
        <w:gridCol w:w="907"/>
        <w:gridCol w:w="907"/>
        <w:gridCol w:w="907"/>
        <w:gridCol w:w="907"/>
        <w:gridCol w:w="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blHeader/>
        </w:trPr>
        <w:tc>
          <w:tcPr>
            <w:tcW w:w="42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color w:val="000000" w:themeColor="text1"/>
                <w:sz w:val="24"/>
                <w14:textFill>
                  <w14:solidFill>
                    <w14:schemeClr w14:val="tx1"/>
                  </w14:solidFill>
                </w14:textFill>
              </w:rPr>
            </w:pPr>
            <w:r>
              <w:rPr>
                <w:rFonts w:hint="eastAsia" w:ascii="黑体" w:hAnsi="黑体" w:eastAsia="黑体" w:cs="黑体"/>
                <w:color w:val="000000" w:themeColor="text1"/>
                <w:sz w:val="24"/>
                <w14:textFill>
                  <w14:solidFill>
                    <w14:schemeClr w14:val="tx1"/>
                  </w14:solidFill>
                </w14:textFill>
              </w:rPr>
              <w:t>序号</w:t>
            </w:r>
          </w:p>
        </w:tc>
        <w:tc>
          <w:tcPr>
            <w:tcW w:w="100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color w:val="000000" w:themeColor="text1"/>
                <w:sz w:val="24"/>
                <w14:textFill>
                  <w14:solidFill>
                    <w14:schemeClr w14:val="tx1"/>
                  </w14:solidFill>
                </w14:textFill>
              </w:rPr>
            </w:pPr>
            <w:r>
              <w:rPr>
                <w:rFonts w:hint="eastAsia" w:ascii="黑体" w:hAnsi="黑体" w:eastAsia="黑体" w:cs="黑体"/>
                <w:color w:val="000000" w:themeColor="text1"/>
                <w:sz w:val="24"/>
                <w14:textFill>
                  <w14:solidFill>
                    <w14:schemeClr w14:val="tx1"/>
                  </w14:solidFill>
                </w14:textFill>
              </w:rPr>
              <w:t>检验项目</w:t>
            </w:r>
          </w:p>
        </w:tc>
        <w:tc>
          <w:tcPr>
            <w:tcW w:w="105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color w:val="000000" w:themeColor="text1"/>
                <w:sz w:val="24"/>
                <w14:textFill>
                  <w14:solidFill>
                    <w14:schemeClr w14:val="tx1"/>
                  </w14:solidFill>
                </w14:textFill>
              </w:rPr>
            </w:pPr>
            <w:r>
              <w:rPr>
                <w:rFonts w:hint="eastAsia" w:ascii="黑体" w:hAnsi="黑体" w:eastAsia="黑体" w:cs="黑体"/>
                <w:color w:val="000000" w:themeColor="text1"/>
                <w:sz w:val="24"/>
                <w14:textFill>
                  <w14:solidFill>
                    <w14:schemeClr w14:val="tx1"/>
                  </w14:solidFill>
                </w14:textFill>
              </w:rPr>
              <w:t>检验方法</w:t>
            </w: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color w:val="000000" w:themeColor="text1"/>
                <w:sz w:val="24"/>
                <w14:textFill>
                  <w14:solidFill>
                    <w14:schemeClr w14:val="tx1"/>
                  </w14:solidFill>
                </w14:textFill>
              </w:rPr>
            </w:pPr>
            <w:r>
              <w:rPr>
                <w:rFonts w:hint="eastAsia" w:ascii="黑体" w:hAnsi="黑体" w:eastAsia="黑体" w:cs="黑体"/>
                <w:color w:val="000000" w:themeColor="text1"/>
                <w:sz w:val="24"/>
                <w14:textFill>
                  <w14:solidFill>
                    <w14:schemeClr w14:val="tx1"/>
                  </w14:solidFill>
                </w14:textFill>
              </w:rPr>
              <w:t>强制性</w:t>
            </w: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color w:val="000000" w:themeColor="text1"/>
                <w:sz w:val="24"/>
                <w14:textFill>
                  <w14:solidFill>
                    <w14:schemeClr w14:val="tx1"/>
                  </w14:solidFill>
                </w14:textFill>
              </w:rPr>
            </w:pPr>
            <w:r>
              <w:rPr>
                <w:rFonts w:hint="eastAsia" w:ascii="黑体" w:hAnsi="黑体" w:eastAsia="黑体" w:cs="黑体"/>
                <w:color w:val="000000" w:themeColor="text1"/>
                <w:sz w:val="24"/>
                <w14:textFill>
                  <w14:solidFill>
                    <w14:schemeClr w14:val="tx1"/>
                  </w14:solidFill>
                </w14:textFill>
              </w:rPr>
              <w:t>非强制性</w:t>
            </w: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color w:val="000000" w:themeColor="text1"/>
                <w:sz w:val="24"/>
                <w14:textFill>
                  <w14:solidFill>
                    <w14:schemeClr w14:val="tx1"/>
                  </w14:solidFill>
                </w14:textFill>
              </w:rPr>
            </w:pPr>
            <w:r>
              <w:rPr>
                <w:rFonts w:hint="eastAsia" w:ascii="黑体" w:hAnsi="黑体" w:eastAsia="黑体" w:cs="黑体"/>
                <w:color w:val="000000" w:themeColor="text1"/>
                <w:sz w:val="24"/>
                <w14:textFill>
                  <w14:solidFill>
                    <w14:schemeClr w14:val="tx1"/>
                  </w14:solidFill>
                </w14:textFill>
              </w:rPr>
              <w:t>重要项</w:t>
            </w: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color w:val="000000" w:themeColor="text1"/>
                <w:sz w:val="24"/>
                <w14:textFill>
                  <w14:solidFill>
                    <w14:schemeClr w14:val="tx1"/>
                  </w14:solidFill>
                </w14:textFill>
              </w:rPr>
            </w:pPr>
            <w:r>
              <w:rPr>
                <w:rFonts w:hint="eastAsia" w:ascii="黑体" w:hAnsi="黑体" w:eastAsia="黑体" w:cs="黑体"/>
                <w:color w:val="000000" w:themeColor="text1"/>
                <w:sz w:val="24"/>
                <w14:textFill>
                  <w14:solidFill>
                    <w14:schemeClr w14:val="tx1"/>
                  </w14:solidFill>
                </w14:textFill>
              </w:rPr>
              <w:t>较重要项</w:t>
            </w: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黑体" w:hAnsi="黑体" w:eastAsia="黑体" w:cs="黑体"/>
                <w:color w:val="000000" w:themeColor="text1"/>
                <w:sz w:val="24"/>
                <w14:textFill>
                  <w14:solidFill>
                    <w14:schemeClr w14:val="tx1"/>
                  </w14:solidFill>
                </w14:textFill>
              </w:rPr>
            </w:pPr>
            <w:r>
              <w:rPr>
                <w:rFonts w:hint="eastAsia" w:ascii="黑体" w:hAnsi="黑体" w:eastAsia="黑体" w:cs="黑体"/>
                <w:color w:val="000000" w:themeColor="text1"/>
                <w:sz w:val="24"/>
                <w14:textFill>
                  <w14:solidFill>
                    <w14:schemeClr w14:val="tx1"/>
                  </w14:solidFill>
                </w14:textFill>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2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w:t>
            </w:r>
          </w:p>
        </w:tc>
        <w:tc>
          <w:tcPr>
            <w:tcW w:w="100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外观</w:t>
            </w:r>
          </w:p>
        </w:tc>
        <w:tc>
          <w:tcPr>
            <w:tcW w:w="105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JB/T 3715-2016</w:t>
            </w: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2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w:t>
            </w:r>
          </w:p>
        </w:tc>
        <w:tc>
          <w:tcPr>
            <w:tcW w:w="100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外径极限偏差</w:t>
            </w:r>
          </w:p>
        </w:tc>
        <w:tc>
          <w:tcPr>
            <w:tcW w:w="105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JB/T 7992-2017</w:t>
            </w: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2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w:t>
            </w:r>
          </w:p>
        </w:tc>
        <w:tc>
          <w:tcPr>
            <w:tcW w:w="100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厚度极限偏差</w:t>
            </w:r>
          </w:p>
        </w:tc>
        <w:tc>
          <w:tcPr>
            <w:tcW w:w="105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JB/T 7992-2017</w:t>
            </w: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2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4</w:t>
            </w:r>
          </w:p>
        </w:tc>
        <w:tc>
          <w:tcPr>
            <w:tcW w:w="100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孔径极限偏差</w:t>
            </w:r>
          </w:p>
        </w:tc>
        <w:tc>
          <w:tcPr>
            <w:tcW w:w="105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JB/T 7992-2017</w:t>
            </w: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2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5</w:t>
            </w:r>
          </w:p>
        </w:tc>
        <w:tc>
          <w:tcPr>
            <w:tcW w:w="100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端面圆跳动</w:t>
            </w:r>
          </w:p>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公差</w:t>
            </w:r>
          </w:p>
        </w:tc>
        <w:tc>
          <w:tcPr>
            <w:tcW w:w="105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JB/T 7992-2017</w:t>
            </w: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2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6</w:t>
            </w:r>
          </w:p>
        </w:tc>
        <w:tc>
          <w:tcPr>
            <w:tcW w:w="100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径向圆跳动</w:t>
            </w:r>
          </w:p>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公差</w:t>
            </w:r>
          </w:p>
        </w:tc>
        <w:tc>
          <w:tcPr>
            <w:tcW w:w="105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JB/T 7992-2017</w:t>
            </w: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2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7</w:t>
            </w:r>
          </w:p>
        </w:tc>
        <w:tc>
          <w:tcPr>
            <w:tcW w:w="100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平面度公差</w:t>
            </w:r>
          </w:p>
        </w:tc>
        <w:tc>
          <w:tcPr>
            <w:tcW w:w="105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JB/T 7992-2017</w:t>
            </w: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2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8</w:t>
            </w:r>
          </w:p>
        </w:tc>
        <w:tc>
          <w:tcPr>
            <w:tcW w:w="100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不平衡量a</w:t>
            </w:r>
          </w:p>
        </w:tc>
        <w:tc>
          <w:tcPr>
            <w:tcW w:w="105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GB/T 2492-2017</w:t>
            </w: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42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9</w:t>
            </w:r>
          </w:p>
        </w:tc>
        <w:tc>
          <w:tcPr>
            <w:tcW w:w="100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安全要求</w:t>
            </w:r>
          </w:p>
        </w:tc>
        <w:tc>
          <w:tcPr>
            <w:tcW w:w="105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GB/T 2493-2013</w:t>
            </w: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50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c>
          <w:tcPr>
            <w:tcW w:w="50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5000" w:type="pct"/>
            <w:gridSpan w:val="8"/>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bidi w:val="0"/>
              <w:adjustRightInd w:val="0"/>
              <w:snapToGrid w:val="0"/>
              <w:spacing w:line="240" w:lineRule="auto"/>
              <w:jc w:val="left"/>
              <w:textAlignment w:val="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注：a.仅适用于外径大于或等于125mm、且单重大于或等于80g、且最高工作线速度大于或等于16m/s的砂轮。</w:t>
            </w:r>
          </w:p>
        </w:tc>
      </w:tr>
    </w:tbl>
    <w:p>
      <w:pPr>
        <w:keepNext w:val="0"/>
        <w:keepLines w:val="0"/>
        <w:pageBreakBefore w:val="0"/>
        <w:kinsoku/>
        <w:wordWrap/>
        <w:overflowPunct/>
        <w:topLinePunct w:val="0"/>
        <w:bidi w:val="0"/>
        <w:spacing w:line="578" w:lineRule="exact"/>
        <w:ind w:firstLine="640" w:firstLineChars="200"/>
        <w:jc w:val="left"/>
        <w:textAlignment w:val="auto"/>
        <w:rPr>
          <w:rFonts w:hint="eastAsia" w:ascii="仿宋" w:hAnsi="仿宋" w:eastAsia="仿宋" w:cs="仿宋"/>
          <w:szCs w:val="32"/>
        </w:rPr>
      </w:pPr>
      <w:r>
        <w:rPr>
          <w:rFonts w:hint="eastAsia" w:ascii="仿宋" w:hAnsi="仿宋" w:eastAsia="仿宋" w:cs="仿宋"/>
          <w:szCs w:val="32"/>
        </w:rPr>
        <w:t>注：执行企业标准、团体标准、地方标准的产品，检验项目参照上述内容执行。</w:t>
      </w:r>
    </w:p>
    <w:p>
      <w:pPr>
        <w:keepNext w:val="0"/>
        <w:keepLines w:val="0"/>
        <w:pageBreakBefore w:val="0"/>
        <w:kinsoku/>
        <w:wordWrap/>
        <w:overflowPunct/>
        <w:topLinePunct w:val="0"/>
        <w:bidi w:val="0"/>
        <w:spacing w:line="578"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sz w:val="32"/>
          <w:szCs w:val="32"/>
        </w:rPr>
        <w:t xml:space="preserve"> 凡是注日期的文件，其随后所有的修改单（不包括勘误的内容）或修订版不适用于本细则。凡是不注日期的文件，其最新版本适用于本细则。</w:t>
      </w:r>
    </w:p>
    <w:p>
      <w:pPr>
        <w:keepNext w:val="0"/>
        <w:keepLines w:val="0"/>
        <w:pageBreakBefore w:val="0"/>
        <w:kinsoku/>
        <w:wordWrap/>
        <w:overflowPunct/>
        <w:topLinePunct w:val="0"/>
        <w:bidi w:val="0"/>
        <w:adjustRightInd w:val="0"/>
        <w:snapToGrid w:val="0"/>
        <w:spacing w:line="578" w:lineRule="exact"/>
        <w:ind w:firstLine="640" w:firstLineChars="200"/>
        <w:jc w:val="left"/>
        <w:textAlignment w:val="auto"/>
        <w:rPr>
          <w:rFonts w:eastAsia="黑体"/>
          <w:szCs w:val="32"/>
        </w:rPr>
      </w:pPr>
      <w:r>
        <w:rPr>
          <w:rFonts w:eastAsia="黑体"/>
          <w:szCs w:val="32"/>
        </w:rPr>
        <w:t>三、判定规则</w:t>
      </w:r>
    </w:p>
    <w:p>
      <w:pPr>
        <w:keepNext w:val="0"/>
        <w:keepLines w:val="0"/>
        <w:pageBreakBefore w:val="0"/>
        <w:kinsoku/>
        <w:wordWrap/>
        <w:overflowPunct/>
        <w:topLinePunct w:val="0"/>
        <w:bidi w:val="0"/>
        <w:adjustRightInd w:val="0"/>
        <w:snapToGrid w:val="0"/>
        <w:spacing w:line="578" w:lineRule="exact"/>
        <w:ind w:firstLine="640" w:firstLineChars="200"/>
        <w:jc w:val="left"/>
        <w:textAlignment w:val="auto"/>
        <w:rPr>
          <w:rFonts w:hint="eastAsia" w:ascii="CESI楷体-GB2312" w:hAnsi="CESI楷体-GB2312" w:eastAsia="CESI楷体-GB2312" w:cs="CESI楷体-GB2312"/>
          <w:b/>
          <w:bCs/>
          <w:szCs w:val="32"/>
        </w:rPr>
      </w:pPr>
      <w:r>
        <w:rPr>
          <w:rFonts w:hint="eastAsia" w:ascii="楷体_GB2312" w:hAnsi="楷体_GB2312" w:eastAsia="楷体_GB2312" w:cs="楷体_GB2312"/>
          <w:b w:val="0"/>
          <w:bCs w:val="0"/>
          <w:szCs w:val="32"/>
          <w:lang w:eastAsia="zh-CN"/>
        </w:rPr>
        <w:t>（一）依据标准</w:t>
      </w:r>
    </w:p>
    <w:p>
      <w:pPr>
        <w:keepNext w:val="0"/>
        <w:keepLines w:val="0"/>
        <w:pageBreakBefore w:val="0"/>
        <w:kinsoku/>
        <w:wordWrap/>
        <w:overflowPunct/>
        <w:topLinePunct w:val="0"/>
        <w:bidi w:val="0"/>
        <w:spacing w:line="578" w:lineRule="exact"/>
        <w:ind w:firstLine="640" w:firstLineChars="200"/>
        <w:jc w:val="left"/>
        <w:textAlignment w:val="auto"/>
        <w:rPr>
          <w:rFonts w:hint="eastAsia" w:ascii="仿宋" w:hAnsi="仿宋" w:eastAsia="仿宋" w:cs="仿宋"/>
          <w:szCs w:val="21"/>
        </w:rPr>
      </w:pPr>
      <w:r>
        <w:rPr>
          <w:rFonts w:hint="eastAsia" w:ascii="仿宋" w:hAnsi="仿宋" w:eastAsia="仿宋" w:cs="仿宋"/>
          <w:szCs w:val="21"/>
        </w:rPr>
        <w:t>JB/T 3715-2016《固结磨具 修磨用钹形砂轮》</w:t>
      </w:r>
    </w:p>
    <w:p>
      <w:pPr>
        <w:keepNext w:val="0"/>
        <w:keepLines w:val="0"/>
        <w:pageBreakBefore w:val="0"/>
        <w:kinsoku/>
        <w:wordWrap/>
        <w:overflowPunct/>
        <w:topLinePunct w:val="0"/>
        <w:bidi w:val="0"/>
        <w:spacing w:line="578" w:lineRule="exact"/>
        <w:ind w:firstLine="640" w:firstLineChars="200"/>
        <w:jc w:val="left"/>
        <w:textAlignment w:val="auto"/>
        <w:rPr>
          <w:rFonts w:hint="eastAsia" w:ascii="仿宋" w:hAnsi="仿宋" w:eastAsia="仿宋" w:cs="仿宋"/>
          <w:szCs w:val="21"/>
        </w:rPr>
      </w:pPr>
      <w:r>
        <w:rPr>
          <w:rFonts w:hint="eastAsia" w:ascii="仿宋" w:hAnsi="仿宋" w:eastAsia="仿宋" w:cs="仿宋"/>
          <w:szCs w:val="21"/>
        </w:rPr>
        <w:t>JB/T 4175-2016《固结磨具 纤维增强树脂切割砂轮》</w:t>
      </w:r>
    </w:p>
    <w:p>
      <w:pPr>
        <w:keepNext w:val="0"/>
        <w:keepLines w:val="0"/>
        <w:pageBreakBefore w:val="0"/>
        <w:kinsoku/>
        <w:wordWrap/>
        <w:overflowPunct/>
        <w:topLinePunct w:val="0"/>
        <w:bidi w:val="0"/>
        <w:spacing w:line="578" w:lineRule="exact"/>
        <w:ind w:firstLine="640" w:firstLineChars="200"/>
        <w:jc w:val="left"/>
        <w:textAlignment w:val="auto"/>
        <w:rPr>
          <w:rFonts w:hint="eastAsia" w:ascii="仿宋" w:hAnsi="仿宋" w:eastAsia="仿宋" w:cs="仿宋"/>
          <w:color w:val="000000"/>
        </w:rPr>
      </w:pPr>
      <w:r>
        <w:rPr>
          <w:rFonts w:hint="eastAsia" w:ascii="仿宋" w:hAnsi="仿宋" w:eastAsia="仿宋" w:cs="仿宋"/>
          <w:szCs w:val="21"/>
        </w:rPr>
        <w:t>现行有效的企业标准、团体标准、地方标准及产品明示质量要求。</w:t>
      </w:r>
    </w:p>
    <w:p>
      <w:pPr>
        <w:keepNext w:val="0"/>
        <w:keepLines w:val="0"/>
        <w:pageBreakBefore w:val="0"/>
        <w:kinsoku/>
        <w:wordWrap/>
        <w:overflowPunct/>
        <w:topLinePunct w:val="0"/>
        <w:bidi w:val="0"/>
        <w:spacing w:line="578" w:lineRule="exact"/>
        <w:ind w:firstLine="640" w:firstLineChars="200"/>
        <w:jc w:val="left"/>
        <w:textAlignment w:val="auto"/>
        <w:rPr>
          <w:rFonts w:hint="eastAsia" w:ascii="楷体_GB2312" w:hAnsi="楷体_GB2312" w:eastAsia="楷体_GB2312" w:cs="楷体_GB2312"/>
          <w:b w:val="0"/>
          <w:bCs w:val="0"/>
          <w:szCs w:val="32"/>
          <w:lang w:eastAsia="zh-CN"/>
        </w:rPr>
      </w:pPr>
      <w:r>
        <w:rPr>
          <w:rFonts w:hint="eastAsia" w:ascii="楷体_GB2312" w:hAnsi="楷体_GB2312" w:eastAsia="楷体_GB2312" w:cs="楷体_GB2312"/>
          <w:b w:val="0"/>
          <w:bCs w:val="0"/>
          <w:szCs w:val="32"/>
          <w:lang w:eastAsia="zh-CN"/>
        </w:rPr>
        <w:t>（二）判定原则</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经检验，检验项目全部合格，判定为抽取的样本所检项目未检出不合格；检验项目中任一项或一项以上不合格，判定为被抽查产品不合格。</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当被检样品明示的质量要求优于监督抽查实施细则中依据的标准要求时，应按被检样品明示的质量要求判定；</w:t>
      </w:r>
    </w:p>
    <w:p>
      <w:pPr>
        <w:widowControl/>
        <w:spacing w:line="578" w:lineRule="exact"/>
        <w:ind w:firstLine="640" w:firstLineChars="200"/>
        <w:jc w:val="left"/>
        <w:rPr>
          <w:rFonts w:hint="eastAsia" w:ascii="仿宋" w:hAnsi="仿宋" w:eastAsia="仿宋" w:cs="仿宋"/>
          <w:kern w:val="0"/>
          <w:szCs w:val="32"/>
        </w:rPr>
      </w:pPr>
      <w:bookmarkStart w:id="0" w:name="_GoBack"/>
      <w:bookmarkEnd w:id="0"/>
      <w:r>
        <w:rPr>
          <w:rFonts w:hint="eastAsia" w:ascii="仿宋" w:hAnsi="仿宋" w:eastAsia="仿宋" w:cs="仿宋"/>
          <w:kern w:val="0"/>
          <w:szCs w:val="32"/>
        </w:rPr>
        <w:t>当被检样品明示的质量要求劣于或包含监督抽查实施细则中依据的推荐性标准要求时，应以被检样品明示的质量要求判定，如相应检验结果不符合相关推荐性标准要求时，应在检验报告中予以说明；</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当被检样品明示的质量要求不包含监督抽查实施细则中依据的推荐性标准要求时，该指标不参与判定，但应在检验报告中作出说明；</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当被检样品未能提供有效的企业标准时，按相关国家或行业标准进行判定；</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按照产品质量相关法律法规的规定判定。</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检验中发现因样品失效或者其他原因致使检验无法进行的，检验人员应如实记录，并提供相关证明材料，报送组织监督抽查的市场监管部门。</w:t>
      </w:r>
    </w:p>
    <w:p>
      <w:pPr>
        <w:keepNext w:val="0"/>
        <w:keepLines w:val="0"/>
        <w:pageBreakBefore w:val="0"/>
        <w:kinsoku/>
        <w:wordWrap/>
        <w:overflowPunct/>
        <w:topLinePunct w:val="0"/>
        <w:bidi w:val="0"/>
        <w:spacing w:line="578" w:lineRule="exact"/>
        <w:jc w:val="left"/>
        <w:textAlignment w:val="auto"/>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ESI楷体-GB2312">
    <w:altName w:val="宋体"/>
    <w:panose1 w:val="02000500000000000000"/>
    <w:charset w:val="86"/>
    <w:family w:val="auto"/>
    <w:pitch w:val="default"/>
    <w:sig w:usb0="00000000" w:usb1="00000000" w:usb2="00000012" w:usb3="00000000" w:csb0="0004000F"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kYjg2ZWFjYWE0OGY3MWIyMWQzODE4MGRhZmRjNDgifQ=="/>
  </w:docVars>
  <w:rsids>
    <w:rsidRoot w:val="1CB03ADB"/>
    <w:rsid w:val="0000274A"/>
    <w:rsid w:val="00080B45"/>
    <w:rsid w:val="000A14A8"/>
    <w:rsid w:val="00124879"/>
    <w:rsid w:val="00192409"/>
    <w:rsid w:val="001D16D8"/>
    <w:rsid w:val="001D5FC1"/>
    <w:rsid w:val="00212B84"/>
    <w:rsid w:val="00246256"/>
    <w:rsid w:val="002724DE"/>
    <w:rsid w:val="00335206"/>
    <w:rsid w:val="00342176"/>
    <w:rsid w:val="00373DCF"/>
    <w:rsid w:val="003B0813"/>
    <w:rsid w:val="003B2A4D"/>
    <w:rsid w:val="003C6E53"/>
    <w:rsid w:val="00400D54"/>
    <w:rsid w:val="004805EF"/>
    <w:rsid w:val="004D3EDB"/>
    <w:rsid w:val="00502214"/>
    <w:rsid w:val="005462F5"/>
    <w:rsid w:val="00567951"/>
    <w:rsid w:val="00580ADD"/>
    <w:rsid w:val="0059343D"/>
    <w:rsid w:val="0059775C"/>
    <w:rsid w:val="005F3C99"/>
    <w:rsid w:val="00621D06"/>
    <w:rsid w:val="00676C9F"/>
    <w:rsid w:val="006B2B11"/>
    <w:rsid w:val="007034B0"/>
    <w:rsid w:val="00771A12"/>
    <w:rsid w:val="007D08B7"/>
    <w:rsid w:val="0081385A"/>
    <w:rsid w:val="00827163"/>
    <w:rsid w:val="00896D4C"/>
    <w:rsid w:val="008A1EE8"/>
    <w:rsid w:val="008F073E"/>
    <w:rsid w:val="008F2077"/>
    <w:rsid w:val="00903E73"/>
    <w:rsid w:val="00916737"/>
    <w:rsid w:val="00A2577D"/>
    <w:rsid w:val="00A53ABD"/>
    <w:rsid w:val="00A83DB2"/>
    <w:rsid w:val="00A85699"/>
    <w:rsid w:val="00AD40E0"/>
    <w:rsid w:val="00B53BE9"/>
    <w:rsid w:val="00BA7662"/>
    <w:rsid w:val="00BE266F"/>
    <w:rsid w:val="00C852C1"/>
    <w:rsid w:val="00CA727A"/>
    <w:rsid w:val="00CC61AB"/>
    <w:rsid w:val="00CC7344"/>
    <w:rsid w:val="00D959C7"/>
    <w:rsid w:val="00DE47AB"/>
    <w:rsid w:val="00E33DCF"/>
    <w:rsid w:val="00E35225"/>
    <w:rsid w:val="00E66C92"/>
    <w:rsid w:val="00EA30C7"/>
    <w:rsid w:val="00EF7643"/>
    <w:rsid w:val="00F6328D"/>
    <w:rsid w:val="00F70B5E"/>
    <w:rsid w:val="00F71920"/>
    <w:rsid w:val="00FA4278"/>
    <w:rsid w:val="04C96CB1"/>
    <w:rsid w:val="04F40430"/>
    <w:rsid w:val="0679257F"/>
    <w:rsid w:val="0A661326"/>
    <w:rsid w:val="0BFE0085"/>
    <w:rsid w:val="113347F3"/>
    <w:rsid w:val="14A811C1"/>
    <w:rsid w:val="14B22FC0"/>
    <w:rsid w:val="14C94D0F"/>
    <w:rsid w:val="14DC4A04"/>
    <w:rsid w:val="18815DFF"/>
    <w:rsid w:val="1B0B03E1"/>
    <w:rsid w:val="1CB03ADB"/>
    <w:rsid w:val="1E2462E4"/>
    <w:rsid w:val="20EC42E8"/>
    <w:rsid w:val="2A160954"/>
    <w:rsid w:val="2C8B1EB6"/>
    <w:rsid w:val="2E22383C"/>
    <w:rsid w:val="2F9F2AED"/>
    <w:rsid w:val="362F7A57"/>
    <w:rsid w:val="367C3671"/>
    <w:rsid w:val="38F16460"/>
    <w:rsid w:val="3EA63DA8"/>
    <w:rsid w:val="3F736EC6"/>
    <w:rsid w:val="41C40667"/>
    <w:rsid w:val="433914E0"/>
    <w:rsid w:val="434F0216"/>
    <w:rsid w:val="4570602F"/>
    <w:rsid w:val="47390F89"/>
    <w:rsid w:val="499F5EBD"/>
    <w:rsid w:val="49C9475C"/>
    <w:rsid w:val="4B10284A"/>
    <w:rsid w:val="4B5B1C0F"/>
    <w:rsid w:val="4BAA09C7"/>
    <w:rsid w:val="510F468F"/>
    <w:rsid w:val="51B1050D"/>
    <w:rsid w:val="53CD6333"/>
    <w:rsid w:val="572A45B5"/>
    <w:rsid w:val="57455456"/>
    <w:rsid w:val="582C61F0"/>
    <w:rsid w:val="5B3B30A1"/>
    <w:rsid w:val="5C722673"/>
    <w:rsid w:val="5C9E77E6"/>
    <w:rsid w:val="5F2909A2"/>
    <w:rsid w:val="60957AA9"/>
    <w:rsid w:val="60CC0484"/>
    <w:rsid w:val="624E1047"/>
    <w:rsid w:val="62671E79"/>
    <w:rsid w:val="669037FA"/>
    <w:rsid w:val="6A3E7729"/>
    <w:rsid w:val="6F683635"/>
    <w:rsid w:val="6F736536"/>
    <w:rsid w:val="7881476A"/>
    <w:rsid w:val="78FF3D48"/>
    <w:rsid w:val="7A9B3937"/>
    <w:rsid w:val="7AFFB672"/>
    <w:rsid w:val="7C546201"/>
    <w:rsid w:val="7CD3AF26"/>
    <w:rsid w:val="7CEC7AF9"/>
    <w:rsid w:val="7EC20718"/>
    <w:rsid w:val="7F3BC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qFormat/>
    <w:uiPriority w:val="0"/>
    <w:rPr>
      <w:sz w:val="18"/>
      <w:szCs w:val="18"/>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rFonts w:eastAsia="仿宋_GB2312"/>
      <w:kern w:val="2"/>
      <w:sz w:val="18"/>
      <w:szCs w:val="18"/>
    </w:rPr>
  </w:style>
  <w:style w:type="character" w:customStyle="1" w:styleId="9">
    <w:name w:val="页脚 Char"/>
    <w:basedOn w:val="7"/>
    <w:link w:val="4"/>
    <w:qFormat/>
    <w:uiPriority w:val="0"/>
    <w:rPr>
      <w:rFonts w:eastAsia="仿宋_GB2312"/>
      <w:kern w:val="2"/>
      <w:sz w:val="18"/>
      <w:szCs w:val="18"/>
    </w:rPr>
  </w:style>
  <w:style w:type="character" w:customStyle="1" w:styleId="10">
    <w:name w:val="批注框文本 Char"/>
    <w:basedOn w:val="7"/>
    <w:link w:val="3"/>
    <w:qFormat/>
    <w:uiPriority w:val="0"/>
    <w:rPr>
      <w:rFonts w:eastAsia="仿宋_GB2312"/>
      <w:kern w:val="2"/>
      <w:sz w:val="18"/>
      <w:szCs w:val="18"/>
    </w:rPr>
  </w:style>
  <w:style w:type="paragraph" w:styleId="11">
    <w:name w:val="List Paragraph"/>
    <w:basedOn w:val="1"/>
    <w:unhideWhenUsed/>
    <w:qFormat/>
    <w:uiPriority w:val="99"/>
    <w:pPr>
      <w:ind w:firstLine="420" w:firstLineChars="200"/>
    </w:pPr>
  </w:style>
  <w:style w:type="paragraph" w:customStyle="1" w:styleId="12">
    <w:name w:val="Table Paragraph"/>
    <w:basedOn w:val="1"/>
    <w:qFormat/>
    <w:uiPriority w:val="99"/>
    <w:rPr>
      <w:rFonts w:ascii="Calibri" w:hAnsi="Calibri"/>
    </w:r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1561</Words>
  <Characters>1827</Characters>
  <Lines>19</Lines>
  <Paragraphs>5</Paragraphs>
  <TotalTime>3</TotalTime>
  <ScaleCrop>false</ScaleCrop>
  <LinksUpToDate>false</LinksUpToDate>
  <CharactersWithSpaces>1859</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2022-02-28T22:49:00Z</dcterms:created>
  <dc:creator>HO(∩_∩)O</dc:creator>
  <cp:lastModifiedBy>刘赞</cp:lastModifiedBy>
  <dcterms:modified xsi:type="dcterms:W3CDTF">2023-05-10T03:24:00Z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22426AB24BBA4BEC9F85E72B0D4CEBB4_13</vt:lpwstr>
  </property>
</Properties>
</file>