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hint="eastAsia" w:eastAsia="方正小标宋简体" w:cs="方正小标宋简体"/>
          <w:bCs/>
          <w:color w:val="000000"/>
          <w:sz w:val="44"/>
          <w:szCs w:val="44"/>
        </w:rPr>
      </w:pPr>
      <w:r>
        <w:rPr>
          <w:rFonts w:hint="eastAsia" w:eastAsia="方正小标宋简体" w:cs="方正小标宋简体"/>
          <w:bCs/>
          <w:color w:val="000000"/>
          <w:sz w:val="44"/>
          <w:szCs w:val="44"/>
        </w:rPr>
        <w:t>珠海市延长线插座（带电源适配器）产品</w:t>
      </w:r>
    </w:p>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质量监督抽查实施细则</w:t>
      </w:r>
    </w:p>
    <w:p>
      <w:pPr>
        <w:spacing w:line="520" w:lineRule="exact"/>
        <w:ind w:firstLine="880" w:firstLineChars="200"/>
        <w:jc w:val="left"/>
        <w:rPr>
          <w:rFonts w:eastAsia="方正小标宋简体" w:cs="方正小标宋简体"/>
          <w:color w:val="000000"/>
          <w:sz w:val="44"/>
          <w:szCs w:val="44"/>
        </w:rPr>
      </w:pPr>
    </w:p>
    <w:p>
      <w:pPr>
        <w:spacing w:line="590" w:lineRule="exact"/>
        <w:ind w:firstLine="640" w:firstLineChars="200"/>
        <w:jc w:val="left"/>
        <w:rPr>
          <w:rFonts w:ascii="黑体" w:hAnsi="黑体" w:eastAsia="黑体" w:cs="黑体"/>
          <w:color w:val="000000"/>
          <w:szCs w:val="32"/>
        </w:rPr>
      </w:pPr>
      <w:r>
        <w:rPr>
          <w:rFonts w:hint="eastAsia" w:ascii="黑体" w:hAnsi="黑体" w:eastAsia="黑体" w:cs="黑体"/>
          <w:color w:val="000000"/>
          <w:szCs w:val="32"/>
        </w:rPr>
        <w:t>一、抽样方法</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widowControl/>
        <w:spacing w:line="600" w:lineRule="exact"/>
        <w:ind w:firstLine="640" w:firstLineChars="200"/>
        <w:jc w:val="left"/>
        <w:rPr>
          <w:kern w:val="0"/>
          <w:szCs w:val="32"/>
        </w:rPr>
      </w:pPr>
      <w:r>
        <w:rPr>
          <w:rFonts w:hint="eastAsia" w:ascii="仿宋" w:hAnsi="仿宋" w:eastAsia="仿宋" w:cs="仿宋"/>
          <w:kern w:val="0"/>
          <w:szCs w:val="32"/>
        </w:rPr>
        <w:t>抽查数量：每款产品抽取2组样本，第1组用于检验，第2组用于备样。具体抽样数量和方法如下：</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3599"/>
        <w:gridCol w:w="2030"/>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426" w:type="pct"/>
            <w:tcBorders>
              <w:top w:val="single" w:color="auto" w:sz="4" w:space="0"/>
              <w:left w:val="single" w:color="auto" w:sz="4" w:space="0"/>
              <w:bottom w:val="single" w:color="auto" w:sz="4" w:space="0"/>
              <w:right w:val="single" w:color="auto" w:sz="4" w:space="0"/>
            </w:tcBorders>
            <w:shd w:val="clear" w:color="auto" w:fill="DDD9C4" w:themeFill="background2" w:themeFillShade="E6"/>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序号</w:t>
            </w:r>
          </w:p>
        </w:tc>
        <w:tc>
          <w:tcPr>
            <w:tcW w:w="1986" w:type="pct"/>
            <w:tcBorders>
              <w:top w:val="single" w:color="auto" w:sz="4" w:space="0"/>
              <w:left w:val="single" w:color="auto" w:sz="4" w:space="0"/>
              <w:bottom w:val="single" w:color="auto" w:sz="4" w:space="0"/>
              <w:right w:val="single" w:color="auto" w:sz="4" w:space="0"/>
            </w:tcBorders>
            <w:shd w:val="clear" w:color="auto" w:fill="DDD9C4" w:themeFill="background2" w:themeFillShade="E6"/>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产品名称</w:t>
            </w:r>
          </w:p>
        </w:tc>
        <w:tc>
          <w:tcPr>
            <w:tcW w:w="1120" w:type="pct"/>
            <w:tcBorders>
              <w:top w:val="single" w:color="auto" w:sz="4" w:space="0"/>
              <w:left w:val="single" w:color="auto" w:sz="4" w:space="0"/>
              <w:bottom w:val="single" w:color="auto" w:sz="4" w:space="0"/>
              <w:right w:val="single" w:color="auto" w:sz="4" w:space="0"/>
            </w:tcBorders>
            <w:shd w:val="clear" w:color="auto" w:fill="DDD9C4" w:themeFill="background2" w:themeFillShade="E6"/>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第1组数量</w:t>
            </w:r>
          </w:p>
        </w:tc>
        <w:tc>
          <w:tcPr>
            <w:tcW w:w="1465" w:type="pct"/>
            <w:tcBorders>
              <w:top w:val="single" w:color="auto" w:sz="4" w:space="0"/>
              <w:left w:val="single" w:color="auto" w:sz="4" w:space="0"/>
              <w:bottom w:val="single" w:color="auto" w:sz="4" w:space="0"/>
              <w:right w:val="single" w:color="auto" w:sz="4" w:space="0"/>
            </w:tcBorders>
            <w:shd w:val="clear" w:color="auto" w:fill="DDD9C4" w:themeFill="background2" w:themeFillShade="E6"/>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1</w:t>
            </w:r>
          </w:p>
        </w:tc>
        <w:tc>
          <w:tcPr>
            <w:tcW w:w="198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延长线插座（带电源适配器）</w:t>
            </w:r>
          </w:p>
        </w:tc>
        <w:tc>
          <w:tcPr>
            <w:tcW w:w="1120"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5只</w:t>
            </w:r>
          </w:p>
        </w:tc>
        <w:tc>
          <w:tcPr>
            <w:tcW w:w="1465"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3只</w:t>
            </w:r>
          </w:p>
        </w:tc>
      </w:tr>
    </w:tbl>
    <w:p>
      <w:pPr>
        <w:spacing w:line="590" w:lineRule="exact"/>
        <w:ind w:firstLine="640" w:firstLineChars="200"/>
        <w:jc w:val="left"/>
        <w:rPr>
          <w:rFonts w:hint="eastAsia" w:eastAsia="黑体" w:cs="黑体"/>
          <w:color w:val="000000"/>
          <w:szCs w:val="32"/>
        </w:rPr>
      </w:pPr>
      <w:r>
        <w:rPr>
          <w:rFonts w:hint="eastAsia" w:eastAsia="黑体" w:cs="黑体"/>
          <w:color w:val="000000"/>
          <w:szCs w:val="32"/>
        </w:rPr>
        <w:t>二、主要检验项目及检验项目属性划分</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3"/>
        <w:gridCol w:w="1661"/>
        <w:gridCol w:w="2719"/>
        <w:gridCol w:w="814"/>
        <w:gridCol w:w="814"/>
        <w:gridCol w:w="816"/>
        <w:gridCol w:w="814"/>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trPr>
        <w:tc>
          <w:tcPr>
            <w:tcW w:w="333"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序号</w:t>
            </w:r>
          </w:p>
        </w:tc>
        <w:tc>
          <w:tcPr>
            <w:tcW w:w="916"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检验项目</w:t>
            </w:r>
          </w:p>
        </w:tc>
        <w:tc>
          <w:tcPr>
            <w:tcW w:w="1500"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检验方法</w:t>
            </w:r>
          </w:p>
        </w:tc>
        <w:tc>
          <w:tcPr>
            <w:tcW w:w="449"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强制性</w:t>
            </w:r>
          </w:p>
        </w:tc>
        <w:tc>
          <w:tcPr>
            <w:tcW w:w="449"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非强制性</w:t>
            </w:r>
          </w:p>
        </w:tc>
        <w:tc>
          <w:tcPr>
            <w:tcW w:w="450"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重要项</w:t>
            </w:r>
          </w:p>
        </w:tc>
        <w:tc>
          <w:tcPr>
            <w:tcW w:w="449"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较重要项</w:t>
            </w:r>
          </w:p>
        </w:tc>
        <w:tc>
          <w:tcPr>
            <w:tcW w:w="450"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3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1</w:t>
            </w:r>
          </w:p>
        </w:tc>
        <w:tc>
          <w:tcPr>
            <w:tcW w:w="9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标志</w:t>
            </w:r>
          </w:p>
        </w:tc>
        <w:tc>
          <w:tcPr>
            <w:tcW w:w="150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GB/T 2099.1-2021</w:t>
            </w:r>
            <w:r>
              <w:rPr>
                <w:rFonts w:hint="eastAsia" w:ascii="仿宋" w:hAnsi="仿宋" w:eastAsia="仿宋" w:cs="仿宋"/>
                <w:sz w:val="24"/>
              </w:rPr>
              <w:t>、</w:t>
            </w:r>
          </w:p>
          <w:p>
            <w:pPr>
              <w:adjustRightInd w:val="0"/>
              <w:snapToGrid w:val="0"/>
              <w:spacing w:line="360" w:lineRule="exact"/>
              <w:jc w:val="center"/>
              <w:rPr>
                <w:rFonts w:ascii="仿宋" w:hAnsi="仿宋" w:eastAsia="仿宋" w:cs="仿宋"/>
                <w:sz w:val="24"/>
              </w:rPr>
            </w:pPr>
            <w:r>
              <w:rPr>
                <w:rFonts w:ascii="仿宋" w:hAnsi="仿宋" w:eastAsia="仿宋" w:cs="仿宋"/>
                <w:sz w:val="24"/>
              </w:rPr>
              <w:t>GB/T 2099.7-2015</w:t>
            </w:r>
            <w:r>
              <w:rPr>
                <w:rFonts w:hint="eastAsia" w:ascii="仿宋" w:hAnsi="仿宋" w:eastAsia="仿宋" w:cs="仿宋"/>
                <w:sz w:val="24"/>
              </w:rPr>
              <w:t>条款</w:t>
            </w:r>
            <w:r>
              <w:rPr>
                <w:rFonts w:ascii="仿宋" w:hAnsi="仿宋" w:eastAsia="仿宋" w:cs="仿宋"/>
                <w:sz w:val="24"/>
              </w:rPr>
              <w:t>8</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3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2</w:t>
            </w:r>
          </w:p>
        </w:tc>
        <w:tc>
          <w:tcPr>
            <w:tcW w:w="9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尺寸检查</w:t>
            </w:r>
          </w:p>
        </w:tc>
        <w:tc>
          <w:tcPr>
            <w:tcW w:w="150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GB/T 2099.1-2021</w:t>
            </w:r>
            <w:r>
              <w:rPr>
                <w:rFonts w:hint="eastAsia" w:ascii="仿宋" w:hAnsi="仿宋" w:eastAsia="仿宋" w:cs="仿宋"/>
                <w:sz w:val="24"/>
              </w:rPr>
              <w:t>、</w:t>
            </w:r>
          </w:p>
          <w:p>
            <w:pPr>
              <w:adjustRightInd w:val="0"/>
              <w:snapToGrid w:val="0"/>
              <w:spacing w:line="360" w:lineRule="exact"/>
              <w:jc w:val="center"/>
              <w:rPr>
                <w:rFonts w:ascii="仿宋" w:hAnsi="仿宋" w:eastAsia="仿宋" w:cs="仿宋"/>
                <w:sz w:val="24"/>
              </w:rPr>
            </w:pPr>
            <w:r>
              <w:rPr>
                <w:rFonts w:ascii="仿宋" w:hAnsi="仿宋" w:eastAsia="仿宋" w:cs="仿宋"/>
                <w:sz w:val="24"/>
              </w:rPr>
              <w:t>GB/T 2099.7-2015</w:t>
            </w:r>
            <w:r>
              <w:rPr>
                <w:rFonts w:hint="eastAsia" w:ascii="仿宋" w:hAnsi="仿宋" w:eastAsia="仿宋" w:cs="仿宋"/>
                <w:sz w:val="24"/>
              </w:rPr>
              <w:t>条款</w:t>
            </w:r>
            <w:r>
              <w:rPr>
                <w:rFonts w:ascii="仿宋" w:hAnsi="仿宋" w:eastAsia="仿宋" w:cs="仿宋"/>
                <w:sz w:val="24"/>
              </w:rPr>
              <w:t>9</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3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3</w:t>
            </w:r>
          </w:p>
        </w:tc>
        <w:tc>
          <w:tcPr>
            <w:tcW w:w="9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防触电保护</w:t>
            </w:r>
          </w:p>
        </w:tc>
        <w:tc>
          <w:tcPr>
            <w:tcW w:w="150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GB/T 2099.1-2021</w:t>
            </w:r>
            <w:r>
              <w:rPr>
                <w:rFonts w:hint="eastAsia" w:ascii="仿宋" w:hAnsi="仿宋" w:eastAsia="仿宋" w:cs="仿宋"/>
                <w:sz w:val="24"/>
              </w:rPr>
              <w:t>、</w:t>
            </w:r>
          </w:p>
          <w:p>
            <w:pPr>
              <w:adjustRightInd w:val="0"/>
              <w:snapToGrid w:val="0"/>
              <w:spacing w:line="360" w:lineRule="exact"/>
              <w:jc w:val="center"/>
              <w:rPr>
                <w:rFonts w:ascii="仿宋" w:hAnsi="仿宋" w:eastAsia="仿宋" w:cs="仿宋"/>
                <w:sz w:val="24"/>
              </w:rPr>
            </w:pPr>
            <w:r>
              <w:rPr>
                <w:rFonts w:ascii="仿宋" w:hAnsi="仿宋" w:eastAsia="仿宋" w:cs="仿宋"/>
                <w:sz w:val="24"/>
              </w:rPr>
              <w:t>GB/T 2099.7-2015</w:t>
            </w:r>
            <w:r>
              <w:rPr>
                <w:rFonts w:hint="eastAsia" w:ascii="仿宋" w:hAnsi="仿宋" w:eastAsia="仿宋" w:cs="仿宋"/>
                <w:sz w:val="24"/>
              </w:rPr>
              <w:t>条款</w:t>
            </w:r>
            <w:r>
              <w:rPr>
                <w:rFonts w:ascii="仿宋" w:hAnsi="仿宋" w:eastAsia="仿宋" w:cs="仿宋"/>
                <w:sz w:val="24"/>
              </w:rPr>
              <w:t>10</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50"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3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4</w:t>
            </w:r>
          </w:p>
        </w:tc>
        <w:tc>
          <w:tcPr>
            <w:tcW w:w="9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接地措施</w:t>
            </w:r>
          </w:p>
        </w:tc>
        <w:tc>
          <w:tcPr>
            <w:tcW w:w="150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GB/T 2099.1-2021</w:t>
            </w:r>
            <w:r>
              <w:rPr>
                <w:rFonts w:hint="eastAsia" w:ascii="仿宋" w:hAnsi="仿宋" w:eastAsia="仿宋" w:cs="仿宋"/>
                <w:sz w:val="24"/>
              </w:rPr>
              <w:t>、</w:t>
            </w:r>
          </w:p>
          <w:p>
            <w:pPr>
              <w:adjustRightInd w:val="0"/>
              <w:snapToGrid w:val="0"/>
              <w:spacing w:line="360" w:lineRule="exact"/>
              <w:jc w:val="center"/>
              <w:rPr>
                <w:rFonts w:ascii="仿宋" w:hAnsi="仿宋" w:eastAsia="仿宋" w:cs="仿宋"/>
                <w:sz w:val="24"/>
              </w:rPr>
            </w:pPr>
            <w:r>
              <w:rPr>
                <w:rFonts w:ascii="仿宋" w:hAnsi="仿宋" w:eastAsia="仿宋" w:cs="仿宋"/>
                <w:sz w:val="24"/>
              </w:rPr>
              <w:t>GB/T 2099.7-2015</w:t>
            </w:r>
            <w:r>
              <w:rPr>
                <w:rFonts w:hint="eastAsia" w:ascii="仿宋" w:hAnsi="仿宋" w:eastAsia="仿宋" w:cs="仿宋"/>
                <w:sz w:val="24"/>
              </w:rPr>
              <w:t>条款</w:t>
            </w:r>
            <w:r>
              <w:rPr>
                <w:rFonts w:ascii="仿宋" w:hAnsi="仿宋" w:eastAsia="仿宋" w:cs="仿宋"/>
                <w:sz w:val="24"/>
              </w:rPr>
              <w:t>11</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50"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3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5</w:t>
            </w:r>
          </w:p>
        </w:tc>
        <w:tc>
          <w:tcPr>
            <w:tcW w:w="9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延长线插座的结构</w:t>
            </w:r>
          </w:p>
        </w:tc>
        <w:tc>
          <w:tcPr>
            <w:tcW w:w="150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GB/T 2099.1-2021</w:t>
            </w:r>
            <w:r>
              <w:rPr>
                <w:rFonts w:hint="eastAsia" w:ascii="仿宋" w:hAnsi="仿宋" w:eastAsia="仿宋" w:cs="仿宋"/>
                <w:sz w:val="24"/>
              </w:rPr>
              <w:t>、</w:t>
            </w:r>
          </w:p>
          <w:p>
            <w:pPr>
              <w:adjustRightInd w:val="0"/>
              <w:snapToGrid w:val="0"/>
              <w:spacing w:line="360" w:lineRule="exact"/>
              <w:jc w:val="center"/>
              <w:rPr>
                <w:rFonts w:ascii="仿宋" w:hAnsi="仿宋" w:eastAsia="仿宋" w:cs="仿宋"/>
                <w:sz w:val="24"/>
              </w:rPr>
            </w:pPr>
            <w:r>
              <w:rPr>
                <w:rFonts w:ascii="仿宋" w:hAnsi="仿宋" w:eastAsia="仿宋" w:cs="仿宋"/>
                <w:sz w:val="24"/>
              </w:rPr>
              <w:t>GB/T 2099.7-2015</w:t>
            </w:r>
            <w:r>
              <w:rPr>
                <w:rFonts w:hint="eastAsia" w:ascii="仿宋" w:hAnsi="仿宋" w:eastAsia="仿宋" w:cs="仿宋"/>
                <w:sz w:val="24"/>
              </w:rPr>
              <w:t>条款</w:t>
            </w:r>
            <w:r>
              <w:rPr>
                <w:rFonts w:ascii="仿宋" w:hAnsi="仿宋" w:eastAsia="仿宋" w:cs="仿宋"/>
                <w:sz w:val="24"/>
              </w:rPr>
              <w:t>14</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3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6</w:t>
            </w:r>
          </w:p>
        </w:tc>
        <w:tc>
          <w:tcPr>
            <w:tcW w:w="9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绝缘电阻和电气强度</w:t>
            </w:r>
          </w:p>
        </w:tc>
        <w:tc>
          <w:tcPr>
            <w:tcW w:w="150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GB/T 2099.1-2021</w:t>
            </w:r>
            <w:r>
              <w:rPr>
                <w:rFonts w:hint="eastAsia" w:ascii="仿宋" w:hAnsi="仿宋" w:eastAsia="仿宋" w:cs="仿宋"/>
                <w:sz w:val="24"/>
              </w:rPr>
              <w:t>、</w:t>
            </w:r>
          </w:p>
          <w:p>
            <w:pPr>
              <w:adjustRightInd w:val="0"/>
              <w:snapToGrid w:val="0"/>
              <w:spacing w:line="360" w:lineRule="exact"/>
              <w:jc w:val="center"/>
              <w:rPr>
                <w:rFonts w:ascii="仿宋" w:hAnsi="仿宋" w:eastAsia="仿宋" w:cs="仿宋"/>
                <w:sz w:val="24"/>
              </w:rPr>
            </w:pPr>
            <w:r>
              <w:rPr>
                <w:rFonts w:ascii="仿宋" w:hAnsi="仿宋" w:eastAsia="仿宋" w:cs="仿宋"/>
                <w:sz w:val="24"/>
              </w:rPr>
              <w:t>GB/T 2099.7-2015</w:t>
            </w:r>
            <w:r>
              <w:rPr>
                <w:rFonts w:hint="eastAsia" w:ascii="仿宋" w:hAnsi="仿宋" w:eastAsia="仿宋" w:cs="仿宋"/>
                <w:sz w:val="24"/>
              </w:rPr>
              <w:t>条款</w:t>
            </w:r>
            <w:r>
              <w:rPr>
                <w:rFonts w:ascii="仿宋" w:hAnsi="仿宋" w:eastAsia="仿宋" w:cs="仿宋"/>
                <w:sz w:val="24"/>
              </w:rPr>
              <w:t>17</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50"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3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7</w:t>
            </w:r>
          </w:p>
        </w:tc>
        <w:tc>
          <w:tcPr>
            <w:tcW w:w="9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温升</w:t>
            </w:r>
          </w:p>
        </w:tc>
        <w:tc>
          <w:tcPr>
            <w:tcW w:w="150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GB/T 2099.1-2021</w:t>
            </w:r>
            <w:r>
              <w:rPr>
                <w:rFonts w:hint="eastAsia" w:ascii="仿宋" w:hAnsi="仿宋" w:eastAsia="仿宋" w:cs="仿宋"/>
                <w:sz w:val="24"/>
              </w:rPr>
              <w:t>、</w:t>
            </w:r>
          </w:p>
          <w:p>
            <w:pPr>
              <w:adjustRightInd w:val="0"/>
              <w:snapToGrid w:val="0"/>
              <w:spacing w:line="360" w:lineRule="exact"/>
              <w:jc w:val="center"/>
              <w:rPr>
                <w:rFonts w:ascii="仿宋" w:hAnsi="仿宋" w:eastAsia="仿宋" w:cs="仿宋"/>
                <w:sz w:val="24"/>
              </w:rPr>
            </w:pPr>
            <w:r>
              <w:rPr>
                <w:rFonts w:ascii="仿宋" w:hAnsi="仿宋" w:eastAsia="仿宋" w:cs="仿宋"/>
                <w:sz w:val="24"/>
              </w:rPr>
              <w:t>GB/T 2099.7-2015</w:t>
            </w:r>
            <w:r>
              <w:rPr>
                <w:rFonts w:hint="eastAsia" w:ascii="仿宋" w:hAnsi="仿宋" w:eastAsia="仿宋" w:cs="仿宋"/>
                <w:sz w:val="24"/>
              </w:rPr>
              <w:t>条款</w:t>
            </w:r>
            <w:r>
              <w:rPr>
                <w:rFonts w:ascii="仿宋" w:hAnsi="仿宋" w:eastAsia="仿宋" w:cs="仿宋"/>
                <w:sz w:val="24"/>
              </w:rPr>
              <w:t>19</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50"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3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8</w:t>
            </w:r>
          </w:p>
        </w:tc>
        <w:tc>
          <w:tcPr>
            <w:tcW w:w="9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拔出插头所需的力</w:t>
            </w:r>
          </w:p>
        </w:tc>
        <w:tc>
          <w:tcPr>
            <w:tcW w:w="150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GB/T 2099.1-2021</w:t>
            </w:r>
            <w:r>
              <w:rPr>
                <w:rFonts w:hint="eastAsia" w:ascii="仿宋" w:hAnsi="仿宋" w:eastAsia="仿宋" w:cs="仿宋"/>
                <w:sz w:val="24"/>
              </w:rPr>
              <w:t>、</w:t>
            </w:r>
          </w:p>
          <w:p>
            <w:pPr>
              <w:adjustRightInd w:val="0"/>
              <w:snapToGrid w:val="0"/>
              <w:spacing w:line="360" w:lineRule="exact"/>
              <w:jc w:val="center"/>
              <w:rPr>
                <w:rFonts w:ascii="仿宋" w:hAnsi="仿宋" w:eastAsia="仿宋" w:cs="仿宋"/>
                <w:sz w:val="24"/>
              </w:rPr>
            </w:pPr>
            <w:r>
              <w:rPr>
                <w:rFonts w:ascii="仿宋" w:hAnsi="仿宋" w:eastAsia="仿宋" w:cs="仿宋"/>
                <w:sz w:val="24"/>
              </w:rPr>
              <w:t>GB/T 2099.7-2015</w:t>
            </w:r>
            <w:r>
              <w:rPr>
                <w:rFonts w:hint="eastAsia" w:ascii="仿宋" w:hAnsi="仿宋" w:eastAsia="仿宋" w:cs="仿宋"/>
                <w:sz w:val="24"/>
              </w:rPr>
              <w:t>条款</w:t>
            </w:r>
            <w:r>
              <w:rPr>
                <w:rFonts w:ascii="仿宋" w:hAnsi="仿宋" w:eastAsia="仿宋" w:cs="仿宋"/>
                <w:sz w:val="24"/>
              </w:rPr>
              <w:t>22</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3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9</w:t>
            </w:r>
          </w:p>
        </w:tc>
        <w:tc>
          <w:tcPr>
            <w:tcW w:w="9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弯曲试验</w:t>
            </w:r>
          </w:p>
        </w:tc>
        <w:tc>
          <w:tcPr>
            <w:tcW w:w="150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GB/T 2099.1-2021</w:t>
            </w:r>
            <w:r>
              <w:rPr>
                <w:rFonts w:hint="eastAsia" w:ascii="仿宋" w:hAnsi="仿宋" w:eastAsia="仿宋" w:cs="仿宋"/>
                <w:sz w:val="24"/>
              </w:rPr>
              <w:t>、</w:t>
            </w:r>
          </w:p>
          <w:p>
            <w:pPr>
              <w:adjustRightInd w:val="0"/>
              <w:snapToGrid w:val="0"/>
              <w:spacing w:line="360" w:lineRule="exact"/>
              <w:jc w:val="center"/>
              <w:rPr>
                <w:rFonts w:ascii="仿宋" w:hAnsi="仿宋" w:eastAsia="仿宋" w:cs="仿宋"/>
                <w:sz w:val="24"/>
              </w:rPr>
            </w:pPr>
            <w:r>
              <w:rPr>
                <w:rFonts w:ascii="仿宋" w:hAnsi="仿宋" w:eastAsia="仿宋" w:cs="仿宋"/>
                <w:sz w:val="24"/>
              </w:rPr>
              <w:t>GB/T 2099.7-2015</w:t>
            </w:r>
            <w:r>
              <w:rPr>
                <w:rFonts w:hint="eastAsia" w:ascii="仿宋" w:hAnsi="仿宋" w:eastAsia="仿宋" w:cs="仿宋"/>
                <w:sz w:val="24"/>
              </w:rPr>
              <w:t>条款</w:t>
            </w:r>
            <w:r>
              <w:rPr>
                <w:rFonts w:ascii="仿宋" w:hAnsi="仿宋" w:eastAsia="仿宋" w:cs="仿宋"/>
                <w:sz w:val="24"/>
              </w:rPr>
              <w:t>23.4</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3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10</w:t>
            </w:r>
          </w:p>
        </w:tc>
        <w:tc>
          <w:tcPr>
            <w:tcW w:w="9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耐热</w:t>
            </w:r>
          </w:p>
        </w:tc>
        <w:tc>
          <w:tcPr>
            <w:tcW w:w="150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GB/T 2099.1-2021</w:t>
            </w:r>
            <w:r>
              <w:rPr>
                <w:rFonts w:hint="eastAsia" w:ascii="仿宋" w:hAnsi="仿宋" w:eastAsia="仿宋" w:cs="仿宋"/>
                <w:sz w:val="24"/>
              </w:rPr>
              <w:t>、</w:t>
            </w:r>
          </w:p>
          <w:p>
            <w:pPr>
              <w:adjustRightInd w:val="0"/>
              <w:snapToGrid w:val="0"/>
              <w:spacing w:line="360" w:lineRule="exact"/>
              <w:jc w:val="center"/>
              <w:rPr>
                <w:rFonts w:ascii="仿宋" w:hAnsi="仿宋" w:eastAsia="仿宋" w:cs="仿宋"/>
                <w:sz w:val="24"/>
              </w:rPr>
            </w:pPr>
            <w:r>
              <w:rPr>
                <w:rFonts w:ascii="仿宋" w:hAnsi="仿宋" w:eastAsia="仿宋" w:cs="仿宋"/>
                <w:sz w:val="24"/>
              </w:rPr>
              <w:t>GB/T 2099.7-2015</w:t>
            </w:r>
            <w:r>
              <w:rPr>
                <w:rFonts w:hint="eastAsia" w:ascii="仿宋" w:hAnsi="仿宋" w:eastAsia="仿宋" w:cs="仿宋"/>
                <w:sz w:val="24"/>
              </w:rPr>
              <w:t>条款</w:t>
            </w:r>
            <w:r>
              <w:rPr>
                <w:rFonts w:ascii="仿宋" w:hAnsi="仿宋" w:eastAsia="仿宋" w:cs="仿宋"/>
                <w:sz w:val="24"/>
              </w:rPr>
              <w:t>25</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3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11</w:t>
            </w:r>
          </w:p>
        </w:tc>
        <w:tc>
          <w:tcPr>
            <w:tcW w:w="9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爬电距离、电气间隙和通过密封胶的距离</w:t>
            </w:r>
          </w:p>
        </w:tc>
        <w:tc>
          <w:tcPr>
            <w:tcW w:w="150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GB/T 2099.1-2021</w:t>
            </w:r>
            <w:r>
              <w:rPr>
                <w:rFonts w:hint="eastAsia" w:ascii="仿宋" w:hAnsi="仿宋" w:eastAsia="仿宋" w:cs="仿宋"/>
                <w:sz w:val="24"/>
              </w:rPr>
              <w:t>、</w:t>
            </w:r>
          </w:p>
          <w:p>
            <w:pPr>
              <w:adjustRightInd w:val="0"/>
              <w:snapToGrid w:val="0"/>
              <w:spacing w:line="360" w:lineRule="exact"/>
              <w:jc w:val="center"/>
              <w:rPr>
                <w:rFonts w:ascii="仿宋" w:hAnsi="仿宋" w:eastAsia="仿宋" w:cs="仿宋"/>
                <w:sz w:val="24"/>
              </w:rPr>
            </w:pPr>
            <w:r>
              <w:rPr>
                <w:rFonts w:ascii="仿宋" w:hAnsi="仿宋" w:eastAsia="仿宋" w:cs="仿宋"/>
                <w:sz w:val="24"/>
              </w:rPr>
              <w:t>GB/T 2099.7-2015</w:t>
            </w:r>
            <w:r>
              <w:rPr>
                <w:rFonts w:hint="eastAsia" w:ascii="仿宋" w:hAnsi="仿宋" w:eastAsia="仿宋" w:cs="仿宋"/>
                <w:sz w:val="24"/>
              </w:rPr>
              <w:t>条款</w:t>
            </w:r>
            <w:r>
              <w:rPr>
                <w:rFonts w:ascii="仿宋" w:hAnsi="仿宋" w:eastAsia="仿宋" w:cs="仿宋"/>
                <w:sz w:val="24"/>
              </w:rPr>
              <w:t>27</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3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12</w:t>
            </w:r>
          </w:p>
        </w:tc>
        <w:tc>
          <w:tcPr>
            <w:tcW w:w="9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hint="eastAsia" w:ascii="仿宋" w:hAnsi="仿宋" w:eastAsia="仿宋" w:cs="仿宋"/>
                <w:sz w:val="24"/>
              </w:rPr>
              <w:t>绝缘材料的耐非正常热、耐燃和耐电痕化</w:t>
            </w:r>
          </w:p>
        </w:tc>
        <w:tc>
          <w:tcPr>
            <w:tcW w:w="150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GB/T 2099.1-2021</w:t>
            </w:r>
            <w:r>
              <w:rPr>
                <w:rFonts w:hint="eastAsia" w:ascii="仿宋" w:hAnsi="仿宋" w:eastAsia="仿宋" w:cs="仿宋"/>
                <w:sz w:val="24"/>
              </w:rPr>
              <w:t>、</w:t>
            </w:r>
          </w:p>
          <w:p>
            <w:pPr>
              <w:adjustRightInd w:val="0"/>
              <w:snapToGrid w:val="0"/>
              <w:spacing w:line="360" w:lineRule="exact"/>
              <w:jc w:val="center"/>
              <w:rPr>
                <w:rFonts w:ascii="仿宋" w:hAnsi="仿宋" w:eastAsia="仿宋" w:cs="仿宋"/>
                <w:sz w:val="24"/>
              </w:rPr>
            </w:pPr>
            <w:r>
              <w:rPr>
                <w:rFonts w:ascii="仿宋" w:hAnsi="仿宋" w:eastAsia="仿宋" w:cs="仿宋"/>
                <w:sz w:val="24"/>
              </w:rPr>
              <w:t>GB/T 2099.7-2015</w:t>
            </w:r>
            <w:r>
              <w:rPr>
                <w:rFonts w:hint="eastAsia" w:ascii="仿宋" w:hAnsi="仿宋" w:eastAsia="仿宋" w:cs="仿宋"/>
                <w:sz w:val="24"/>
              </w:rPr>
              <w:t>条款</w:t>
            </w:r>
            <w:r>
              <w:rPr>
                <w:rFonts w:ascii="仿宋" w:hAnsi="仿宋" w:eastAsia="仿宋" w:cs="仿宋"/>
                <w:sz w:val="24"/>
              </w:rPr>
              <w:t>28</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r>
              <w:rPr>
                <w:rFonts w:ascii="仿宋" w:hAnsi="仿宋" w:eastAsia="仿宋" w:cs="仿宋"/>
                <w:sz w:val="24"/>
              </w:rPr>
              <w:t>●</w:t>
            </w:r>
          </w:p>
        </w:tc>
        <w:tc>
          <w:tcPr>
            <w:tcW w:w="4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c>
          <w:tcPr>
            <w:tcW w:w="45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sz w:val="24"/>
              </w:rPr>
            </w:pPr>
          </w:p>
        </w:tc>
      </w:tr>
    </w:tbl>
    <w:p>
      <w:pPr>
        <w:widowControl/>
        <w:spacing w:line="600" w:lineRule="exact"/>
        <w:ind w:firstLine="640" w:firstLineChars="200"/>
        <w:jc w:val="left"/>
        <w:rPr>
          <w:rFonts w:hint="eastAsia" w:ascii="楷体_GB2312" w:hAnsi="楷体_GB2312" w:eastAsia="楷体_GB2312" w:cs="楷体_GB2312"/>
          <w:color w:val="333333"/>
          <w:kern w:val="0"/>
          <w:szCs w:val="32"/>
        </w:rPr>
      </w:pPr>
      <w:r>
        <w:rPr>
          <w:rFonts w:hint="eastAsia" w:ascii="楷体_GB2312" w:hAnsi="楷体_GB2312" w:eastAsia="楷体_GB2312" w:cs="楷体_GB2312"/>
          <w:color w:val="333333"/>
          <w:kern w:val="0"/>
          <w:szCs w:val="32"/>
        </w:rPr>
        <w:t>执行GB 4943.1-2011</w:t>
      </w:r>
    </w:p>
    <w:tbl>
      <w:tblPr>
        <w:tblStyle w:val="4"/>
        <w:tblW w:w="5035" w:type="pct"/>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587"/>
        <w:gridCol w:w="2721"/>
        <w:gridCol w:w="813"/>
        <w:gridCol w:w="813"/>
        <w:gridCol w:w="814"/>
        <w:gridCol w:w="813"/>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410"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序号</w:t>
            </w:r>
          </w:p>
        </w:tc>
        <w:tc>
          <w:tcPr>
            <w:tcW w:w="869"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490"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检验方法</w:t>
            </w:r>
          </w:p>
        </w:tc>
        <w:tc>
          <w:tcPr>
            <w:tcW w:w="445"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强制性</w:t>
            </w:r>
          </w:p>
        </w:tc>
        <w:tc>
          <w:tcPr>
            <w:tcW w:w="445" w:type="pct"/>
            <w:tcBorders>
              <w:top w:val="single" w:color="auto" w:sz="4" w:space="0"/>
              <w:left w:val="single" w:color="auto" w:sz="4" w:space="0"/>
              <w:bottom w:val="single" w:color="auto" w:sz="4" w:space="0"/>
              <w:right w:val="single" w:color="auto" w:sz="4" w:space="0"/>
            </w:tcBorders>
            <w:shd w:val="clear" w:color="auto" w:fill="EEECE1"/>
            <w:vAlign w:val="center"/>
          </w:tcPr>
          <w:p>
            <w:pPr>
              <w:widowControl/>
              <w:adjustRightInd w:val="0"/>
              <w:snapToGrid w:val="0"/>
              <w:jc w:val="center"/>
              <w:rPr>
                <w:rFonts w:hint="eastAsia" w:ascii="黑体" w:hAnsi="黑体" w:eastAsia="黑体" w:cs="黑体"/>
                <w:sz w:val="24"/>
              </w:rPr>
            </w:pPr>
            <w:r>
              <w:rPr>
                <w:rFonts w:hint="eastAsia" w:ascii="黑体" w:hAnsi="黑体" w:eastAsia="黑体" w:cs="黑体"/>
                <w:sz w:val="24"/>
              </w:rPr>
              <w:t>非强制性</w:t>
            </w:r>
          </w:p>
        </w:tc>
        <w:tc>
          <w:tcPr>
            <w:tcW w:w="446"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重要项</w:t>
            </w:r>
          </w:p>
        </w:tc>
        <w:tc>
          <w:tcPr>
            <w:tcW w:w="445"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较重要项</w:t>
            </w:r>
          </w:p>
        </w:tc>
        <w:tc>
          <w:tcPr>
            <w:tcW w:w="446"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4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13</w:t>
            </w:r>
          </w:p>
        </w:tc>
        <w:tc>
          <w:tcPr>
            <w:tcW w:w="8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标记和说明</w:t>
            </w:r>
          </w:p>
        </w:tc>
        <w:tc>
          <w:tcPr>
            <w:tcW w:w="149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4943.1-2011条款1.7</w:t>
            </w:r>
          </w:p>
        </w:tc>
        <w:tc>
          <w:tcPr>
            <w:tcW w:w="44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45"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44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4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4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14</w:t>
            </w:r>
          </w:p>
        </w:tc>
        <w:tc>
          <w:tcPr>
            <w:tcW w:w="8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输入电流</w:t>
            </w:r>
          </w:p>
        </w:tc>
        <w:tc>
          <w:tcPr>
            <w:tcW w:w="149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4943.1-2011条款1.6.2</w:t>
            </w:r>
          </w:p>
        </w:tc>
        <w:tc>
          <w:tcPr>
            <w:tcW w:w="44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45"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45"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sz w:val="24"/>
              </w:rPr>
            </w:pPr>
          </w:p>
        </w:tc>
        <w:tc>
          <w:tcPr>
            <w:tcW w:w="44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4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15</w:t>
            </w:r>
          </w:p>
        </w:tc>
        <w:tc>
          <w:tcPr>
            <w:tcW w:w="8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电击和能量危险的防护</w:t>
            </w:r>
          </w:p>
        </w:tc>
        <w:tc>
          <w:tcPr>
            <w:tcW w:w="149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4943.1-2011条款2.1</w:t>
            </w:r>
          </w:p>
        </w:tc>
        <w:tc>
          <w:tcPr>
            <w:tcW w:w="44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45"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45"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sz w:val="24"/>
              </w:rPr>
            </w:pPr>
          </w:p>
        </w:tc>
        <w:tc>
          <w:tcPr>
            <w:tcW w:w="44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4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16</w:t>
            </w:r>
          </w:p>
        </w:tc>
        <w:tc>
          <w:tcPr>
            <w:tcW w:w="8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电气绝缘</w:t>
            </w:r>
          </w:p>
        </w:tc>
        <w:tc>
          <w:tcPr>
            <w:tcW w:w="149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4943.1-2011条款2.9</w:t>
            </w:r>
          </w:p>
        </w:tc>
        <w:tc>
          <w:tcPr>
            <w:tcW w:w="44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45"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45"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sz w:val="24"/>
              </w:rPr>
            </w:pPr>
          </w:p>
        </w:tc>
        <w:tc>
          <w:tcPr>
            <w:tcW w:w="44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4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17</w:t>
            </w:r>
          </w:p>
        </w:tc>
        <w:tc>
          <w:tcPr>
            <w:tcW w:w="8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接触电流</w:t>
            </w:r>
          </w:p>
        </w:tc>
        <w:tc>
          <w:tcPr>
            <w:tcW w:w="149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4943.1-2011条款5.1</w:t>
            </w:r>
          </w:p>
        </w:tc>
        <w:tc>
          <w:tcPr>
            <w:tcW w:w="44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45"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45"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sz w:val="24"/>
              </w:rPr>
            </w:pPr>
          </w:p>
        </w:tc>
        <w:tc>
          <w:tcPr>
            <w:tcW w:w="44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4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18</w:t>
            </w:r>
          </w:p>
        </w:tc>
        <w:tc>
          <w:tcPr>
            <w:tcW w:w="8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电气间隙与爬电距离</w:t>
            </w:r>
          </w:p>
        </w:tc>
        <w:tc>
          <w:tcPr>
            <w:tcW w:w="149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4943.1-2011条款2.10</w:t>
            </w:r>
          </w:p>
        </w:tc>
        <w:tc>
          <w:tcPr>
            <w:tcW w:w="44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45"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45"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sz w:val="24"/>
              </w:rPr>
            </w:pPr>
          </w:p>
        </w:tc>
        <w:tc>
          <w:tcPr>
            <w:tcW w:w="44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4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19</w:t>
            </w:r>
          </w:p>
        </w:tc>
        <w:tc>
          <w:tcPr>
            <w:tcW w:w="8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布线、连接和供电</w:t>
            </w:r>
          </w:p>
        </w:tc>
        <w:tc>
          <w:tcPr>
            <w:tcW w:w="149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4943.1-2011条款3</w:t>
            </w:r>
          </w:p>
        </w:tc>
        <w:tc>
          <w:tcPr>
            <w:tcW w:w="44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45"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45"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sz w:val="24"/>
              </w:rPr>
            </w:pPr>
          </w:p>
        </w:tc>
        <w:tc>
          <w:tcPr>
            <w:tcW w:w="44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bl>
    <w:p>
      <w:pPr>
        <w:widowControl/>
        <w:spacing w:line="600" w:lineRule="exact"/>
        <w:ind w:firstLine="640" w:firstLineChars="200"/>
        <w:jc w:val="left"/>
        <w:rPr>
          <w:rFonts w:hint="default" w:ascii="楷体_GB2312" w:hAnsi="楷体_GB2312" w:eastAsia="楷体_GB2312" w:cs="楷体_GB2312"/>
          <w:color w:val="333333"/>
          <w:kern w:val="0"/>
          <w:szCs w:val="32"/>
          <w:lang w:val="en-US" w:eastAsia="zh-CN"/>
        </w:rPr>
      </w:pPr>
      <w:r>
        <w:rPr>
          <w:rFonts w:hint="eastAsia" w:ascii="楷体_GB2312" w:hAnsi="楷体_GB2312" w:eastAsia="楷体_GB2312" w:cs="楷体_GB2312"/>
          <w:color w:val="333333"/>
          <w:kern w:val="0"/>
          <w:szCs w:val="32"/>
        </w:rPr>
        <w:t>执行GB 4943.1-20</w:t>
      </w:r>
      <w:r>
        <w:rPr>
          <w:rFonts w:hint="eastAsia" w:ascii="楷体_GB2312" w:hAnsi="楷体_GB2312" w:eastAsia="楷体_GB2312" w:cs="楷体_GB2312"/>
          <w:color w:val="333333"/>
          <w:kern w:val="0"/>
          <w:szCs w:val="32"/>
          <w:lang w:val="en-US" w:eastAsia="zh-CN"/>
        </w:rPr>
        <w:t>22</w:t>
      </w:r>
    </w:p>
    <w:tbl>
      <w:tblPr>
        <w:tblStyle w:val="4"/>
        <w:tblW w:w="50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1"/>
        <w:gridCol w:w="1661"/>
        <w:gridCol w:w="2720"/>
        <w:gridCol w:w="812"/>
        <w:gridCol w:w="812"/>
        <w:gridCol w:w="814"/>
        <w:gridCol w:w="815"/>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序号</w:t>
            </w:r>
          </w:p>
        </w:tc>
        <w:tc>
          <w:tcPr>
            <w:tcW w:w="902"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477"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检验方法</w:t>
            </w:r>
          </w:p>
        </w:tc>
        <w:tc>
          <w:tcPr>
            <w:tcW w:w="441"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强制性</w:t>
            </w:r>
          </w:p>
        </w:tc>
        <w:tc>
          <w:tcPr>
            <w:tcW w:w="441" w:type="pct"/>
            <w:tcBorders>
              <w:top w:val="single" w:color="auto" w:sz="4" w:space="0"/>
              <w:left w:val="single" w:color="auto" w:sz="4" w:space="0"/>
              <w:bottom w:val="single" w:color="auto" w:sz="4" w:space="0"/>
              <w:right w:val="single" w:color="auto" w:sz="4" w:space="0"/>
            </w:tcBorders>
            <w:shd w:val="clear" w:color="auto" w:fill="EEECE1"/>
            <w:vAlign w:val="center"/>
          </w:tcPr>
          <w:p>
            <w:pPr>
              <w:widowControl/>
              <w:adjustRightInd w:val="0"/>
              <w:snapToGrid w:val="0"/>
              <w:jc w:val="center"/>
              <w:rPr>
                <w:rFonts w:hint="eastAsia" w:ascii="黑体" w:hAnsi="黑体" w:eastAsia="黑体" w:cs="黑体"/>
                <w:sz w:val="24"/>
              </w:rPr>
            </w:pPr>
            <w:r>
              <w:rPr>
                <w:rFonts w:hint="eastAsia" w:ascii="黑体" w:hAnsi="黑体" w:eastAsia="黑体" w:cs="黑体"/>
                <w:sz w:val="24"/>
              </w:rPr>
              <w:t>非强制性</w:t>
            </w:r>
          </w:p>
        </w:tc>
        <w:tc>
          <w:tcPr>
            <w:tcW w:w="442"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重要项</w:t>
            </w:r>
          </w:p>
        </w:tc>
        <w:tc>
          <w:tcPr>
            <w:tcW w:w="442"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较重要项</w:t>
            </w:r>
          </w:p>
        </w:tc>
        <w:tc>
          <w:tcPr>
            <w:tcW w:w="443"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13</w:t>
            </w:r>
          </w:p>
        </w:tc>
        <w:tc>
          <w:tcPr>
            <w:tcW w:w="90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标记和说明</w:t>
            </w:r>
          </w:p>
        </w:tc>
        <w:tc>
          <w:tcPr>
            <w:tcW w:w="1477"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rFonts w:hint="eastAsia" w:ascii="仿宋" w:hAnsi="仿宋" w:eastAsia="仿宋" w:cs="仿宋"/>
                <w:sz w:val="24"/>
              </w:rPr>
            </w:pPr>
            <w:r>
              <w:rPr>
                <w:rFonts w:hint="eastAsia" w:ascii="仿宋" w:hAnsi="仿宋" w:eastAsia="仿宋" w:cs="仿宋"/>
                <w:sz w:val="24"/>
              </w:rPr>
              <w:t>GB 4943.1—2022</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1"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exact"/>
              <w:jc w:val="center"/>
              <w:rPr>
                <w:rFonts w:hint="eastAsia" w:ascii="仿宋" w:hAnsi="仿宋" w:eastAsia="仿宋" w:cs="仿宋"/>
                <w:sz w:val="24"/>
              </w:rPr>
            </w:pP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3"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14</w:t>
            </w:r>
          </w:p>
        </w:tc>
        <w:tc>
          <w:tcPr>
            <w:tcW w:w="90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电能量源的分级和限值</w:t>
            </w:r>
          </w:p>
        </w:tc>
        <w:tc>
          <w:tcPr>
            <w:tcW w:w="1477"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rFonts w:hint="eastAsia" w:ascii="仿宋" w:hAnsi="仿宋" w:eastAsia="仿宋" w:cs="仿宋"/>
                <w:sz w:val="24"/>
              </w:rPr>
            </w:pPr>
            <w:r>
              <w:rPr>
                <w:rFonts w:hint="eastAsia" w:ascii="仿宋" w:hAnsi="仿宋" w:eastAsia="仿宋" w:cs="仿宋"/>
                <w:sz w:val="24"/>
              </w:rPr>
              <w:t>GB 4943.1—2022</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1"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exact"/>
              <w:jc w:val="center"/>
              <w:rPr>
                <w:rFonts w:hint="eastAsia" w:ascii="仿宋" w:hAnsi="仿宋" w:eastAsia="仿宋" w:cs="仿宋"/>
                <w:sz w:val="24"/>
              </w:rPr>
            </w:pP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15</w:t>
            </w:r>
          </w:p>
        </w:tc>
        <w:tc>
          <w:tcPr>
            <w:tcW w:w="90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电能量源的防护</w:t>
            </w:r>
          </w:p>
        </w:tc>
        <w:tc>
          <w:tcPr>
            <w:tcW w:w="1477"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rFonts w:hint="eastAsia" w:ascii="仿宋" w:hAnsi="仿宋" w:eastAsia="仿宋" w:cs="仿宋"/>
                <w:sz w:val="24"/>
              </w:rPr>
            </w:pPr>
            <w:r>
              <w:rPr>
                <w:rFonts w:hint="eastAsia" w:ascii="仿宋" w:hAnsi="仿宋" w:eastAsia="仿宋" w:cs="仿宋"/>
                <w:sz w:val="24"/>
              </w:rPr>
              <w:t>GB 4943.1—2022</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1"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exact"/>
              <w:jc w:val="center"/>
              <w:rPr>
                <w:rFonts w:hint="eastAsia" w:ascii="仿宋" w:hAnsi="仿宋" w:eastAsia="仿宋" w:cs="仿宋"/>
                <w:sz w:val="24"/>
              </w:rPr>
            </w:pP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16</w:t>
            </w:r>
          </w:p>
        </w:tc>
        <w:tc>
          <w:tcPr>
            <w:tcW w:w="90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电气间隙</w:t>
            </w:r>
          </w:p>
        </w:tc>
        <w:tc>
          <w:tcPr>
            <w:tcW w:w="1477"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rFonts w:hint="eastAsia" w:ascii="仿宋" w:hAnsi="仿宋" w:eastAsia="仿宋" w:cs="仿宋"/>
                <w:sz w:val="24"/>
              </w:rPr>
            </w:pPr>
            <w:r>
              <w:rPr>
                <w:rFonts w:hint="eastAsia" w:ascii="仿宋" w:hAnsi="仿宋" w:eastAsia="仿宋" w:cs="仿宋"/>
                <w:sz w:val="24"/>
              </w:rPr>
              <w:t>GB 4943.1—2022</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1"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exact"/>
              <w:jc w:val="center"/>
              <w:rPr>
                <w:rFonts w:hint="eastAsia" w:ascii="仿宋" w:hAnsi="仿宋" w:eastAsia="仿宋" w:cs="仿宋"/>
                <w:sz w:val="24"/>
              </w:rPr>
            </w:pP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17</w:t>
            </w:r>
          </w:p>
        </w:tc>
        <w:tc>
          <w:tcPr>
            <w:tcW w:w="90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爬电距离</w:t>
            </w:r>
          </w:p>
        </w:tc>
        <w:tc>
          <w:tcPr>
            <w:tcW w:w="1477"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rFonts w:hint="eastAsia" w:ascii="仿宋" w:hAnsi="仿宋" w:eastAsia="仿宋" w:cs="仿宋"/>
                <w:sz w:val="24"/>
              </w:rPr>
            </w:pPr>
            <w:r>
              <w:rPr>
                <w:rFonts w:hint="eastAsia" w:ascii="仿宋" w:hAnsi="仿宋" w:eastAsia="仿宋" w:cs="仿宋"/>
                <w:sz w:val="24"/>
              </w:rPr>
              <w:t>GB 4943.1—2022</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1"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exact"/>
              <w:jc w:val="center"/>
              <w:rPr>
                <w:rFonts w:hint="eastAsia" w:ascii="仿宋" w:hAnsi="仿宋" w:eastAsia="仿宋" w:cs="仿宋"/>
                <w:sz w:val="24"/>
              </w:rPr>
            </w:pP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18</w:t>
            </w:r>
          </w:p>
        </w:tc>
        <w:tc>
          <w:tcPr>
            <w:tcW w:w="90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作为附加安全防护一部分的内部导线的绝缘</w:t>
            </w:r>
          </w:p>
        </w:tc>
        <w:tc>
          <w:tcPr>
            <w:tcW w:w="1477"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rFonts w:hint="eastAsia" w:ascii="仿宋" w:hAnsi="仿宋" w:eastAsia="仿宋" w:cs="仿宋"/>
                <w:sz w:val="24"/>
              </w:rPr>
            </w:pPr>
            <w:r>
              <w:rPr>
                <w:rFonts w:hint="eastAsia" w:ascii="仿宋" w:hAnsi="仿宋" w:eastAsia="仿宋" w:cs="仿宋"/>
                <w:sz w:val="24"/>
              </w:rPr>
              <w:t>GB 4943.1—2022</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1"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exact"/>
              <w:jc w:val="center"/>
              <w:rPr>
                <w:rFonts w:hint="eastAsia" w:ascii="仿宋" w:hAnsi="仿宋" w:eastAsia="仿宋" w:cs="仿宋"/>
                <w:sz w:val="24"/>
              </w:rPr>
            </w:pP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19</w:t>
            </w:r>
          </w:p>
        </w:tc>
        <w:tc>
          <w:tcPr>
            <w:tcW w:w="90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抗电强度试验</w:t>
            </w:r>
          </w:p>
        </w:tc>
        <w:tc>
          <w:tcPr>
            <w:tcW w:w="1477"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rFonts w:hint="eastAsia" w:ascii="仿宋" w:hAnsi="仿宋" w:eastAsia="仿宋" w:cs="仿宋"/>
                <w:sz w:val="24"/>
              </w:rPr>
            </w:pPr>
            <w:r>
              <w:rPr>
                <w:rFonts w:hint="eastAsia" w:ascii="仿宋" w:hAnsi="仿宋" w:eastAsia="仿宋" w:cs="仿宋"/>
                <w:sz w:val="24"/>
              </w:rPr>
              <w:t>GB 4943.1—2022</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1"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exact"/>
              <w:jc w:val="center"/>
              <w:rPr>
                <w:rFonts w:hint="eastAsia" w:ascii="仿宋" w:hAnsi="仿宋" w:eastAsia="仿宋" w:cs="仿宋"/>
                <w:sz w:val="24"/>
              </w:rPr>
            </w:pP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20</w:t>
            </w:r>
          </w:p>
        </w:tc>
        <w:tc>
          <w:tcPr>
            <w:tcW w:w="90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断开连接器后电容器的放电</w:t>
            </w:r>
          </w:p>
        </w:tc>
        <w:tc>
          <w:tcPr>
            <w:tcW w:w="1477"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rFonts w:hint="eastAsia" w:ascii="仿宋" w:hAnsi="仿宋" w:eastAsia="仿宋" w:cs="仿宋"/>
                <w:sz w:val="24"/>
              </w:rPr>
            </w:pPr>
            <w:r>
              <w:rPr>
                <w:rFonts w:hint="eastAsia" w:ascii="仿宋" w:hAnsi="仿宋" w:eastAsia="仿宋" w:cs="仿宋"/>
                <w:sz w:val="24"/>
              </w:rPr>
              <w:t>GB 4943.1—2022</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1"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exact"/>
              <w:jc w:val="center"/>
              <w:rPr>
                <w:rFonts w:hint="eastAsia" w:ascii="仿宋" w:hAnsi="仿宋" w:eastAsia="仿宋" w:cs="仿宋"/>
                <w:sz w:val="24"/>
              </w:rPr>
            </w:pP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21</w:t>
            </w:r>
          </w:p>
        </w:tc>
        <w:tc>
          <w:tcPr>
            <w:tcW w:w="90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保护连接系统的电阻</w:t>
            </w:r>
          </w:p>
        </w:tc>
        <w:tc>
          <w:tcPr>
            <w:tcW w:w="1477"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rFonts w:hint="eastAsia" w:ascii="仿宋" w:hAnsi="仿宋" w:eastAsia="仿宋" w:cs="仿宋"/>
                <w:sz w:val="24"/>
              </w:rPr>
            </w:pPr>
            <w:r>
              <w:rPr>
                <w:rFonts w:hint="eastAsia" w:ascii="仿宋" w:hAnsi="仿宋" w:eastAsia="仿宋" w:cs="仿宋"/>
                <w:sz w:val="24"/>
              </w:rPr>
              <w:t>GB 4943.1—2022</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1"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exact"/>
              <w:jc w:val="center"/>
              <w:rPr>
                <w:rFonts w:hint="eastAsia" w:ascii="仿宋" w:hAnsi="仿宋" w:eastAsia="仿宋" w:cs="仿宋"/>
                <w:sz w:val="24"/>
              </w:rPr>
            </w:pP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22</w:t>
            </w:r>
          </w:p>
        </w:tc>
        <w:tc>
          <w:tcPr>
            <w:tcW w:w="90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预期的接触电压、接触电流和保护导体电流</w:t>
            </w:r>
          </w:p>
        </w:tc>
        <w:tc>
          <w:tcPr>
            <w:tcW w:w="1477"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rFonts w:hint="eastAsia" w:ascii="仿宋" w:hAnsi="仿宋" w:eastAsia="仿宋" w:cs="仿宋"/>
                <w:sz w:val="24"/>
              </w:rPr>
            </w:pPr>
            <w:r>
              <w:rPr>
                <w:rFonts w:hint="eastAsia" w:ascii="仿宋" w:hAnsi="仿宋" w:eastAsia="仿宋" w:cs="仿宋"/>
                <w:sz w:val="24"/>
              </w:rPr>
              <w:t>GB 4943.1—2022</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1"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exact"/>
              <w:jc w:val="center"/>
              <w:rPr>
                <w:rFonts w:hint="eastAsia" w:ascii="仿宋" w:hAnsi="仿宋" w:eastAsia="仿宋" w:cs="仿宋"/>
                <w:sz w:val="24"/>
              </w:rPr>
            </w:pP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注：由于执行标准GB/T 2099.1-2021于2021年10月11日发布，2022年11月01日实施，故生产日期在2022年11月01日以前的用GB/T 2099.1-2008标准；在2022年11月01日以后的用GB/T 2099.1-2021标准。（2021年10月11日～2022年11月01日之间的如果使用说明书、证书明示的标准版本GB/T 2099.1-2021的，按GB/T 2099.1-2021进行检验。）</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由于执行标准GB 4943.1-2022于2022年07月19日发布，2023年08月01日实施，故生产日期在2023年08月01日以前的用GB 4943.1-2011标准；在2023年08月01日以后的用GB 4943.1-2022标准。（2022年07月19日～2023年08月01日之间的如果使用说明书、证书明示的标准版本为GB 4943.1-2022的，按GB 4943.1-2022进行检验。）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凡是注日期的文件，其随后所有的修改单（不包括勘误的内容）或修订版不适用于本细则。凡是不注日期的文件，其最新版本适用于本细则。</w:t>
      </w:r>
    </w:p>
    <w:p>
      <w:pPr>
        <w:spacing w:line="600" w:lineRule="exact"/>
        <w:ind w:firstLine="640" w:firstLineChars="200"/>
        <w:jc w:val="left"/>
        <w:rPr>
          <w:rFonts w:eastAsia="黑体" w:cs="黑体"/>
          <w:szCs w:val="32"/>
        </w:rPr>
      </w:pPr>
      <w:r>
        <w:rPr>
          <w:rFonts w:hint="eastAsia" w:eastAsia="黑体" w:cs="黑体"/>
          <w:szCs w:val="32"/>
        </w:rPr>
        <w:t>三、判定规则</w:t>
      </w:r>
    </w:p>
    <w:p>
      <w:pPr>
        <w:spacing w:line="590" w:lineRule="exact"/>
        <w:ind w:firstLine="624" w:firstLineChars="200"/>
        <w:jc w:val="left"/>
        <w:rPr>
          <w:rFonts w:hint="eastAsia" w:ascii="楷体_GB2312" w:hAnsi="楷体_GB2312" w:eastAsia="楷体_GB2312" w:cs="楷体_GB2312"/>
          <w:color w:val="000000"/>
          <w:spacing w:val="-4"/>
          <w:szCs w:val="32"/>
        </w:rPr>
      </w:pPr>
      <w:r>
        <w:rPr>
          <w:rFonts w:hint="eastAsia" w:ascii="楷体_GB2312" w:hAnsi="楷体_GB2312" w:eastAsia="楷体_GB2312" w:cs="楷体_GB2312"/>
          <w:color w:val="000000"/>
          <w:spacing w:val="-4"/>
          <w:szCs w:val="32"/>
        </w:rPr>
        <w:t>（一）依据标准</w:t>
      </w:r>
    </w:p>
    <w:p>
      <w:pPr>
        <w:spacing w:line="59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1.强制性标准:</w:t>
      </w:r>
    </w:p>
    <w:p>
      <w:pPr>
        <w:spacing w:line="600" w:lineRule="exact"/>
        <w:ind w:firstLine="640" w:firstLineChars="200"/>
        <w:jc w:val="left"/>
        <w:rPr>
          <w:rFonts w:hint="eastAsia" w:ascii="仿宋" w:hAnsi="仿宋" w:eastAsia="仿宋" w:cs="仿宋"/>
          <w:color w:val="000000"/>
          <w:szCs w:val="32"/>
        </w:rPr>
      </w:pPr>
      <w:r>
        <w:rPr>
          <w:rFonts w:hint="eastAsia" w:ascii="仿宋" w:hAnsi="仿宋" w:eastAsia="仿宋" w:cs="仿宋"/>
          <w:color w:val="000000"/>
          <w:szCs w:val="32"/>
        </w:rPr>
        <w:t>GB 4943.1-2011《信息技术设备 安全 第1部分：通用要求》</w:t>
      </w:r>
    </w:p>
    <w:p>
      <w:pPr>
        <w:spacing w:line="600" w:lineRule="exact"/>
        <w:ind w:firstLine="640" w:firstLineChars="200"/>
        <w:jc w:val="left"/>
        <w:rPr>
          <w:rFonts w:hint="eastAsia" w:ascii="仿宋" w:hAnsi="仿宋" w:eastAsia="仿宋" w:cs="仿宋"/>
          <w:color w:val="000000"/>
          <w:szCs w:val="32"/>
        </w:rPr>
      </w:pPr>
      <w:r>
        <w:rPr>
          <w:rFonts w:hint="eastAsia" w:ascii="仿宋" w:hAnsi="仿宋" w:eastAsia="仿宋" w:cs="仿宋"/>
          <w:color w:val="000000"/>
          <w:szCs w:val="32"/>
        </w:rPr>
        <w:t>GB 4943.1-2022 《音视频、信息技术和通信技术设备 第1部分：安全要求》</w:t>
      </w:r>
    </w:p>
    <w:p>
      <w:pPr>
        <w:widowControl/>
        <w:autoSpaceDN w:val="0"/>
        <w:spacing w:line="59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2.推荐性标准:</w:t>
      </w:r>
    </w:p>
    <w:p>
      <w:pPr>
        <w:spacing w:line="600" w:lineRule="exact"/>
        <w:ind w:firstLine="640" w:firstLineChars="200"/>
        <w:jc w:val="left"/>
        <w:rPr>
          <w:rFonts w:hint="eastAsia" w:ascii="仿宋" w:hAnsi="仿宋" w:eastAsia="仿宋" w:cs="仿宋"/>
          <w:color w:val="000000"/>
          <w:szCs w:val="32"/>
        </w:rPr>
      </w:pPr>
      <w:r>
        <w:rPr>
          <w:rFonts w:hint="eastAsia" w:ascii="仿宋" w:hAnsi="仿宋" w:eastAsia="仿宋" w:cs="仿宋"/>
          <w:color w:val="000000"/>
          <w:szCs w:val="32"/>
        </w:rPr>
        <w:t>GB/T 2099.1-2021 《家用和类似用途插头插座第1部分：通用要求》</w:t>
      </w:r>
    </w:p>
    <w:p>
      <w:pPr>
        <w:spacing w:line="600" w:lineRule="exact"/>
        <w:ind w:firstLine="640" w:firstLineChars="200"/>
        <w:jc w:val="left"/>
        <w:rPr>
          <w:rFonts w:hint="eastAsia" w:ascii="仿宋" w:hAnsi="仿宋" w:eastAsia="仿宋" w:cs="仿宋"/>
          <w:color w:val="000000"/>
          <w:szCs w:val="32"/>
        </w:rPr>
      </w:pPr>
      <w:r>
        <w:rPr>
          <w:rFonts w:hint="eastAsia" w:ascii="仿宋" w:hAnsi="仿宋" w:eastAsia="仿宋" w:cs="仿宋"/>
          <w:color w:val="000000"/>
          <w:szCs w:val="32"/>
        </w:rPr>
        <w:t>GB/T 2099.7-2015《家用和类似用途插头插座第2-7部分：延长线插座的特殊要求》</w:t>
      </w:r>
    </w:p>
    <w:p>
      <w:pPr>
        <w:spacing w:line="590" w:lineRule="exact"/>
        <w:ind w:firstLine="640" w:firstLineChars="200"/>
        <w:jc w:val="left"/>
        <w:rPr>
          <w:rFonts w:hint="eastAsia" w:ascii="仿宋" w:hAnsi="仿宋" w:eastAsia="仿宋" w:cs="仿宋"/>
        </w:rPr>
      </w:pPr>
      <w:r>
        <w:rPr>
          <w:rFonts w:hint="eastAsia" w:ascii="仿宋" w:hAnsi="仿宋" w:eastAsia="仿宋" w:cs="仿宋"/>
        </w:rPr>
        <w:t>现行有效的企业标准、团体标准、地方标准及产品明示质量要求。</w:t>
      </w:r>
    </w:p>
    <w:p>
      <w:pPr>
        <w:spacing w:line="590" w:lineRule="exact"/>
        <w:ind w:firstLine="624" w:firstLineChars="200"/>
        <w:jc w:val="left"/>
        <w:rPr>
          <w:rFonts w:hint="eastAsia" w:ascii="楷体_GB2312" w:hAnsi="楷体_GB2312" w:eastAsia="楷体_GB2312" w:cs="楷体_GB2312"/>
          <w:color w:val="000000"/>
          <w:spacing w:val="-4"/>
          <w:szCs w:val="32"/>
        </w:rPr>
      </w:pPr>
      <w:r>
        <w:rPr>
          <w:rFonts w:hint="eastAsia" w:ascii="楷体_GB2312" w:hAnsi="楷体_GB2312" w:eastAsia="楷体_GB2312" w:cs="楷体_GB2312"/>
          <w:color w:val="000000"/>
          <w:spacing w:val="-4"/>
          <w:szCs w:val="32"/>
        </w:rPr>
        <w:t>（二）判定原则</w:t>
      </w:r>
    </w:p>
    <w:p>
      <w:pPr>
        <w:spacing w:line="590" w:lineRule="exact"/>
        <w:ind w:firstLine="640" w:firstLineChars="200"/>
        <w:jc w:val="left"/>
        <w:rPr>
          <w:rFonts w:hint="eastAsia" w:ascii="仿宋" w:hAnsi="仿宋" w:eastAsia="仿宋" w:cs="仿宋"/>
        </w:rPr>
      </w:pPr>
      <w:r>
        <w:rPr>
          <w:rFonts w:hint="eastAsia" w:ascii="仿宋" w:hAnsi="仿宋" w:eastAsia="仿宋" w:cs="仿宋"/>
        </w:rPr>
        <w:t>经检验，检验项目全部合格，判定为抽取的样本所检项目未检出不合格；检验项目中任一项或一项以上不合格，判定为被抽查产品不合格。</w:t>
      </w:r>
    </w:p>
    <w:p>
      <w:pPr>
        <w:spacing w:line="590" w:lineRule="exact"/>
        <w:ind w:firstLine="640" w:firstLineChars="200"/>
        <w:jc w:val="left"/>
        <w:rPr>
          <w:rFonts w:hint="eastAsia" w:ascii="仿宋" w:hAnsi="仿宋" w:eastAsia="仿宋" w:cs="仿宋"/>
        </w:rPr>
      </w:pPr>
      <w:r>
        <w:rPr>
          <w:rFonts w:hint="eastAsia" w:ascii="仿宋" w:hAnsi="仿宋" w:eastAsia="仿宋" w:cs="仿宋"/>
        </w:rPr>
        <w:t>当被检样品明示的质量要求优于监督抽查实施细则中依据的标准要求时，应按被检样品明示的质量要求判定；</w:t>
      </w:r>
    </w:p>
    <w:p>
      <w:pPr>
        <w:spacing w:line="590" w:lineRule="exact"/>
        <w:ind w:firstLine="640" w:firstLineChars="200"/>
        <w:jc w:val="left"/>
        <w:rPr>
          <w:rFonts w:hint="eastAsia" w:ascii="仿宋" w:hAnsi="仿宋" w:eastAsia="仿宋" w:cs="仿宋"/>
        </w:rPr>
      </w:pPr>
      <w:r>
        <w:rPr>
          <w:rFonts w:hint="eastAsia" w:ascii="仿宋" w:hAnsi="仿宋" w:eastAsia="仿宋" w:cs="仿宋"/>
        </w:rPr>
        <w:t>当被检样品明示的质量要求劣于或不包含监督抽查实施细则中依据的强制性标准要求时，应按照强制性标准要求判定；</w:t>
      </w:r>
    </w:p>
    <w:p>
      <w:pPr>
        <w:spacing w:line="590" w:lineRule="exact"/>
        <w:ind w:firstLine="640" w:firstLineChars="200"/>
        <w:jc w:val="left"/>
        <w:rPr>
          <w:rFonts w:hint="eastAsia" w:ascii="仿宋" w:hAnsi="仿宋" w:eastAsia="仿宋" w:cs="仿宋"/>
        </w:rPr>
      </w:pPr>
      <w:r>
        <w:rPr>
          <w:rFonts w:hint="eastAsia" w:ascii="仿宋" w:hAnsi="仿宋" w:eastAsia="仿宋" w:cs="仿宋"/>
        </w:rPr>
        <w:t>当被检样品明示的质量要求劣于或包含监督抽查实施细则中依据的推荐性标准要求时，应以被检样品明示的质量要求判定，如相应检验结果不符合相关推荐性标准要求时，应在检验报告中予以说明；</w:t>
      </w:r>
    </w:p>
    <w:p>
      <w:pPr>
        <w:spacing w:line="590" w:lineRule="exact"/>
        <w:ind w:firstLine="640" w:firstLineChars="200"/>
        <w:jc w:val="left"/>
        <w:rPr>
          <w:rFonts w:hint="eastAsia" w:ascii="仿宋" w:hAnsi="仿宋" w:eastAsia="仿宋" w:cs="仿宋"/>
        </w:rPr>
      </w:pPr>
      <w:r>
        <w:rPr>
          <w:rFonts w:hint="eastAsia" w:ascii="仿宋" w:hAnsi="仿宋" w:eastAsia="仿宋" w:cs="仿宋"/>
        </w:rPr>
        <w:t>当被检样品明示的质量要求不包含监督抽查实施细则中依据的推荐性标准要求时，该指标不参与判定，但应在检验报告中作出说明；</w:t>
      </w:r>
    </w:p>
    <w:p>
      <w:pPr>
        <w:spacing w:line="590" w:lineRule="exact"/>
        <w:ind w:firstLine="640" w:firstLineChars="200"/>
        <w:jc w:val="left"/>
        <w:rPr>
          <w:rFonts w:hint="eastAsia" w:ascii="仿宋" w:hAnsi="仿宋" w:eastAsia="仿宋" w:cs="仿宋"/>
        </w:rPr>
      </w:pPr>
      <w:r>
        <w:rPr>
          <w:rFonts w:hint="eastAsia" w:ascii="仿宋" w:hAnsi="仿宋" w:eastAsia="仿宋" w:cs="仿宋"/>
        </w:rPr>
        <w:t>当被检样品未能提供有效的企业标准时，按相关国家或行业标准进行判定；</w:t>
      </w:r>
    </w:p>
    <w:p>
      <w:pPr>
        <w:spacing w:line="590" w:lineRule="exact"/>
        <w:ind w:firstLine="640" w:firstLineChars="200"/>
        <w:jc w:val="left"/>
        <w:rPr>
          <w:rFonts w:hint="eastAsia" w:ascii="仿宋" w:hAnsi="仿宋" w:eastAsia="仿宋" w:cs="仿宋"/>
        </w:rPr>
      </w:pPr>
      <w:r>
        <w:rPr>
          <w:rFonts w:hint="eastAsia" w:ascii="仿宋" w:hAnsi="仿宋" w:eastAsia="仿宋" w:cs="仿宋"/>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spacing w:line="590" w:lineRule="exact"/>
        <w:ind w:firstLine="640" w:firstLineChars="200"/>
        <w:jc w:val="left"/>
        <w:rPr>
          <w:rFonts w:hint="eastAsia" w:ascii="仿宋" w:hAnsi="仿宋" w:eastAsia="仿宋" w:cs="仿宋"/>
        </w:rPr>
      </w:pPr>
      <w:r>
        <w:rPr>
          <w:rFonts w:hint="eastAsia" w:ascii="仿宋" w:hAnsi="仿宋" w:eastAsia="仿宋" w:cs="仿宋"/>
        </w:rPr>
        <w:t>按照产品质量相关法律法规的规定判定。</w:t>
      </w:r>
    </w:p>
    <w:p>
      <w:pPr>
        <w:spacing w:line="590" w:lineRule="exact"/>
        <w:ind w:firstLine="640" w:firstLineChars="200"/>
        <w:jc w:val="left"/>
        <w:rPr>
          <w:rFonts w:hint="eastAsia" w:ascii="仿宋" w:hAnsi="仿宋" w:eastAsia="仿宋" w:cs="仿宋"/>
        </w:rPr>
      </w:pPr>
      <w:r>
        <w:rPr>
          <w:rFonts w:hint="eastAsia" w:ascii="仿宋" w:hAnsi="仿宋" w:eastAsia="仿宋" w:cs="仿宋"/>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1DCF"/>
    <w:rsid w:val="00092B83"/>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044B"/>
    <w:rsid w:val="00103144"/>
    <w:rsid w:val="00104BE7"/>
    <w:rsid w:val="001109E2"/>
    <w:rsid w:val="00113A36"/>
    <w:rsid w:val="001162B5"/>
    <w:rsid w:val="00132F01"/>
    <w:rsid w:val="0013531B"/>
    <w:rsid w:val="00140E48"/>
    <w:rsid w:val="00142CE7"/>
    <w:rsid w:val="00146A23"/>
    <w:rsid w:val="00154109"/>
    <w:rsid w:val="001625EA"/>
    <w:rsid w:val="00165386"/>
    <w:rsid w:val="00165F2E"/>
    <w:rsid w:val="00173D51"/>
    <w:rsid w:val="0017504F"/>
    <w:rsid w:val="00175B8A"/>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0"/>
    <w:rsid w:val="001E2D66"/>
    <w:rsid w:val="001E3304"/>
    <w:rsid w:val="001F6AB3"/>
    <w:rsid w:val="00201951"/>
    <w:rsid w:val="00201EA6"/>
    <w:rsid w:val="00204C03"/>
    <w:rsid w:val="00205495"/>
    <w:rsid w:val="00207E59"/>
    <w:rsid w:val="00213EDD"/>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3092"/>
    <w:rsid w:val="002D4A4A"/>
    <w:rsid w:val="002D797E"/>
    <w:rsid w:val="002E3DC4"/>
    <w:rsid w:val="002F00EC"/>
    <w:rsid w:val="002F327D"/>
    <w:rsid w:val="002F5E35"/>
    <w:rsid w:val="00302710"/>
    <w:rsid w:val="003052D5"/>
    <w:rsid w:val="003056E2"/>
    <w:rsid w:val="003064A0"/>
    <w:rsid w:val="003072E7"/>
    <w:rsid w:val="003129BF"/>
    <w:rsid w:val="00317122"/>
    <w:rsid w:val="00324DC2"/>
    <w:rsid w:val="003257CC"/>
    <w:rsid w:val="00331E2F"/>
    <w:rsid w:val="00342025"/>
    <w:rsid w:val="00342B64"/>
    <w:rsid w:val="00347461"/>
    <w:rsid w:val="00352CEF"/>
    <w:rsid w:val="00357BCA"/>
    <w:rsid w:val="00360DB7"/>
    <w:rsid w:val="003622FD"/>
    <w:rsid w:val="00362FCB"/>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0D4C"/>
    <w:rsid w:val="00463941"/>
    <w:rsid w:val="004649FC"/>
    <w:rsid w:val="004749A8"/>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4C4C"/>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3E8E"/>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2C18"/>
    <w:rsid w:val="006A4C0C"/>
    <w:rsid w:val="006A5EFA"/>
    <w:rsid w:val="006B4B4B"/>
    <w:rsid w:val="006C3911"/>
    <w:rsid w:val="006C3F72"/>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6CD5"/>
    <w:rsid w:val="008A09FC"/>
    <w:rsid w:val="008A6916"/>
    <w:rsid w:val="008A6E54"/>
    <w:rsid w:val="008A7590"/>
    <w:rsid w:val="008B025B"/>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4777"/>
    <w:rsid w:val="00A5778A"/>
    <w:rsid w:val="00A62152"/>
    <w:rsid w:val="00A62D5D"/>
    <w:rsid w:val="00A62ECE"/>
    <w:rsid w:val="00A80EA2"/>
    <w:rsid w:val="00A85FFB"/>
    <w:rsid w:val="00A90A7A"/>
    <w:rsid w:val="00AA3349"/>
    <w:rsid w:val="00AA3658"/>
    <w:rsid w:val="00AB100C"/>
    <w:rsid w:val="00AB3B0B"/>
    <w:rsid w:val="00AB5E64"/>
    <w:rsid w:val="00AB7747"/>
    <w:rsid w:val="00AC5A64"/>
    <w:rsid w:val="00AC68FE"/>
    <w:rsid w:val="00AE26C3"/>
    <w:rsid w:val="00AE3F23"/>
    <w:rsid w:val="00AF108A"/>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4BF5"/>
    <w:rsid w:val="00BC333C"/>
    <w:rsid w:val="00BC351D"/>
    <w:rsid w:val="00BD0C33"/>
    <w:rsid w:val="00BD12B3"/>
    <w:rsid w:val="00BE3BFF"/>
    <w:rsid w:val="00BF15F4"/>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173B"/>
    <w:rsid w:val="00C52055"/>
    <w:rsid w:val="00C527FB"/>
    <w:rsid w:val="00C60628"/>
    <w:rsid w:val="00C6448B"/>
    <w:rsid w:val="00C64778"/>
    <w:rsid w:val="00C6597D"/>
    <w:rsid w:val="00C65A28"/>
    <w:rsid w:val="00C65AD9"/>
    <w:rsid w:val="00C70629"/>
    <w:rsid w:val="00C83498"/>
    <w:rsid w:val="00C93ACF"/>
    <w:rsid w:val="00C950EE"/>
    <w:rsid w:val="00CA1718"/>
    <w:rsid w:val="00CA425B"/>
    <w:rsid w:val="00CA61B5"/>
    <w:rsid w:val="00CC5C02"/>
    <w:rsid w:val="00CC78CE"/>
    <w:rsid w:val="00CD6080"/>
    <w:rsid w:val="00CD6B1C"/>
    <w:rsid w:val="00CD7BCE"/>
    <w:rsid w:val="00CE2578"/>
    <w:rsid w:val="00CE6144"/>
    <w:rsid w:val="00CF52EF"/>
    <w:rsid w:val="00CF5DED"/>
    <w:rsid w:val="00D00951"/>
    <w:rsid w:val="00D00FDA"/>
    <w:rsid w:val="00D05E56"/>
    <w:rsid w:val="00D06748"/>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32BDD"/>
    <w:rsid w:val="00E41E6B"/>
    <w:rsid w:val="00E43544"/>
    <w:rsid w:val="00E44C75"/>
    <w:rsid w:val="00E454F0"/>
    <w:rsid w:val="00E55F0E"/>
    <w:rsid w:val="00E56533"/>
    <w:rsid w:val="00E5688B"/>
    <w:rsid w:val="00E62ECC"/>
    <w:rsid w:val="00E66771"/>
    <w:rsid w:val="00E66BD9"/>
    <w:rsid w:val="00E70A02"/>
    <w:rsid w:val="00E74027"/>
    <w:rsid w:val="00E7643F"/>
    <w:rsid w:val="00E83E15"/>
    <w:rsid w:val="00E85157"/>
    <w:rsid w:val="00E86DCD"/>
    <w:rsid w:val="00E94934"/>
    <w:rsid w:val="00E971ED"/>
    <w:rsid w:val="00EA119B"/>
    <w:rsid w:val="00EA33FA"/>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F00FE3"/>
    <w:rsid w:val="00F12796"/>
    <w:rsid w:val="00F12AC2"/>
    <w:rsid w:val="00F15589"/>
    <w:rsid w:val="00F16768"/>
    <w:rsid w:val="00F21AC6"/>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A27"/>
    <w:rsid w:val="00F96542"/>
    <w:rsid w:val="00FA3326"/>
    <w:rsid w:val="00FA4329"/>
    <w:rsid w:val="00FA5D05"/>
    <w:rsid w:val="00FB2698"/>
    <w:rsid w:val="00FB466B"/>
    <w:rsid w:val="00FC0BE1"/>
    <w:rsid w:val="00FC4942"/>
    <w:rsid w:val="00FD6C34"/>
    <w:rsid w:val="00FE3526"/>
    <w:rsid w:val="00FF317F"/>
    <w:rsid w:val="00FF59F8"/>
    <w:rsid w:val="4024077D"/>
    <w:rsid w:val="590F6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0"/>
      <w:sz w:val="21"/>
      <w:szCs w:val="22"/>
      <w:lang w:val="en-US" w:eastAsia="zh-CN" w:bidi="ar-SA"/>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437</Words>
  <Characters>2494</Characters>
  <Lines>20</Lines>
  <Paragraphs>5</Paragraphs>
  <TotalTime>22</TotalTime>
  <ScaleCrop>false</ScaleCrop>
  <LinksUpToDate>false</LinksUpToDate>
  <CharactersWithSpaces>2926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2022-02-28T10:35:00Z</dcterms:created>
  <dc:creator>微软用户</dc:creator>
  <cp:lastModifiedBy>刘赞</cp:lastModifiedBy>
  <dcterms:modified xsi:type="dcterms:W3CDTF">2023-05-10T09:42:56Z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0AD5F587AB204A7F859EAF034F1D8E47</vt:lpwstr>
  </property>
</Properties>
</file>