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cs="方正小标宋简体"/>
          <w:b w:val="0"/>
          <w:bCs w:val="0"/>
          <w:color w:val="000000"/>
          <w:w w:val="100"/>
          <w:position w:val="0"/>
          <w:sz w:val="44"/>
          <w:szCs w:val="44"/>
        </w:rPr>
      </w:pPr>
      <w:r>
        <w:rPr>
          <w:rFonts w:hint="eastAsia" w:eastAsia="方正小标宋简体" w:cs="方正小标宋简体"/>
          <w:b w:val="0"/>
          <w:bCs w:val="0"/>
          <w:w w:val="100"/>
          <w:position w:val="0"/>
          <w:sz w:val="44"/>
          <w:szCs w:val="44"/>
        </w:rPr>
        <w:t>珠海市服装（休闲服装、衬衫、内衣、功能性服装）产品质量监督</w:t>
      </w:r>
      <w:r>
        <w:rPr>
          <w:rFonts w:hint="eastAsia" w:eastAsia="方正小标宋简体" w:cs="方正小标宋简体"/>
          <w:b w:val="0"/>
          <w:bCs w:val="0"/>
          <w:color w:val="000000"/>
          <w:w w:val="100"/>
          <w:position w:val="0"/>
          <w:sz w:val="44"/>
          <w:szCs w:val="44"/>
        </w:rPr>
        <w:t>抽查实施细则</w:t>
      </w:r>
    </w:p>
    <w:p>
      <w:pPr>
        <w:spacing w:line="590" w:lineRule="exact"/>
        <w:ind w:firstLine="880" w:firstLineChars="200"/>
        <w:jc w:val="left"/>
        <w:rPr>
          <w:rFonts w:eastAsia="方正小标宋简体" w:cs="方正小标宋简体"/>
          <w:b w:val="0"/>
          <w:bCs w:val="0"/>
          <w:color w:val="000000"/>
          <w:sz w:val="44"/>
          <w:szCs w:val="44"/>
        </w:rPr>
      </w:pPr>
    </w:p>
    <w:p>
      <w:pPr>
        <w:spacing w:line="590" w:lineRule="exact"/>
        <w:ind w:firstLine="640" w:firstLineChars="200"/>
        <w:jc w:val="left"/>
        <w:rPr>
          <w:rFonts w:ascii="黑体" w:hAnsi="黑体" w:eastAsia="黑体" w:cs="黑体"/>
          <w:b w:val="0"/>
          <w:bCs w:val="0"/>
          <w:szCs w:val="32"/>
        </w:rPr>
      </w:pPr>
      <w:r>
        <w:rPr>
          <w:rFonts w:hint="eastAsia" w:ascii="黑体" w:hAnsi="黑体" w:eastAsia="黑体" w:cs="黑体"/>
          <w:b w:val="0"/>
          <w:bCs w:val="0"/>
          <w:szCs w:val="32"/>
        </w:rPr>
        <w:t>一、抽样方法</w:t>
      </w:r>
    </w:p>
    <w:p>
      <w:pPr>
        <w:widowControl/>
        <w:spacing w:line="600" w:lineRule="exact"/>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kern w:val="0"/>
          <w:sz w:val="32"/>
          <w:szCs w:val="32"/>
        </w:rPr>
        <w:t>以随机抽样的方式在被抽查市场主体的待销产品中抽取。</w:t>
      </w:r>
    </w:p>
    <w:p>
      <w:pPr>
        <w:widowControl/>
        <w:spacing w:line="600" w:lineRule="atLeast"/>
        <w:jc w:val="left"/>
        <w:rPr>
          <w:rFonts w:hint="eastAsia" w:ascii="仿宋" w:hAnsi="仿宋" w:eastAsia="仿宋" w:cs="仿宋"/>
          <w:b w:val="0"/>
          <w:bCs w:val="0"/>
          <w:color w:val="000000"/>
          <w:sz w:val="32"/>
          <w:szCs w:val="32"/>
        </w:rPr>
      </w:pPr>
      <w:r>
        <w:rPr>
          <w:rFonts w:hint="eastAsia" w:ascii="仿宋" w:hAnsi="仿宋" w:eastAsia="仿宋" w:cs="仿宋"/>
          <w:b w:val="0"/>
          <w:bCs w:val="0"/>
          <w:sz w:val="32"/>
          <w:szCs w:val="32"/>
        </w:rPr>
        <w:t xml:space="preserve">    随机数一般可使用随机数表等方法产生。</w:t>
      </w:r>
    </w:p>
    <w:p>
      <w:pPr>
        <w:spacing w:line="600" w:lineRule="atLeast"/>
        <w:ind w:firstLine="640" w:firstLineChars="200"/>
        <w:jc w:val="left"/>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抽查数量：每款产品抽取2组样本，第1组用于检验，第2组用于备样。每组样本需抽取样品数量如下表所示：</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404"/>
        <w:gridCol w:w="3041"/>
        <w:gridCol w:w="3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1528" w:type="pct"/>
            <w:gridSpan w:val="2"/>
            <w:vAlign w:val="center"/>
          </w:tcPr>
          <w:p>
            <w:pPr>
              <w:adjustRightInd w:val="0"/>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产品类别</w:t>
            </w:r>
          </w:p>
        </w:tc>
        <w:tc>
          <w:tcPr>
            <w:tcW w:w="1678" w:type="pct"/>
            <w:vAlign w:val="center"/>
          </w:tcPr>
          <w:p>
            <w:pPr>
              <w:adjustRightInd w:val="0"/>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第1组数量</w:t>
            </w:r>
          </w:p>
        </w:tc>
        <w:tc>
          <w:tcPr>
            <w:tcW w:w="1792" w:type="pct"/>
            <w:vAlign w:val="center"/>
          </w:tcPr>
          <w:p>
            <w:pPr>
              <w:adjustRightInd w:val="0"/>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528" w:type="pct"/>
            <w:gridSpan w:val="2"/>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休闲服装、功能性服装</w:t>
            </w:r>
          </w:p>
        </w:tc>
        <w:tc>
          <w:tcPr>
            <w:tcW w:w="1678"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2件/条/套</w:t>
            </w:r>
          </w:p>
        </w:tc>
        <w:tc>
          <w:tcPr>
            <w:tcW w:w="1792"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1件/条/套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53" w:type="pct"/>
            <w:vMerge w:val="restar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内衣;女士内衣</w:t>
            </w:r>
          </w:p>
        </w:tc>
        <w:tc>
          <w:tcPr>
            <w:tcW w:w="774"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文胸</w:t>
            </w:r>
          </w:p>
        </w:tc>
        <w:tc>
          <w:tcPr>
            <w:tcW w:w="1678"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6件</w:t>
            </w:r>
          </w:p>
        </w:tc>
        <w:tc>
          <w:tcPr>
            <w:tcW w:w="1792"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3件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753" w:type="pct"/>
            <w:vMerge w:val="continue"/>
            <w:vAlign w:val="center"/>
          </w:tcPr>
          <w:p>
            <w:pPr>
              <w:adjustRightInd w:val="0"/>
              <w:snapToGrid w:val="0"/>
              <w:spacing w:line="360" w:lineRule="exact"/>
              <w:jc w:val="center"/>
              <w:rPr>
                <w:rFonts w:hint="eastAsia" w:ascii="仿宋" w:hAnsi="仿宋" w:eastAsia="仿宋" w:cs="仿宋"/>
                <w:b w:val="0"/>
                <w:bCs w:val="0"/>
                <w:sz w:val="24"/>
                <w:szCs w:val="24"/>
              </w:rPr>
            </w:pPr>
          </w:p>
        </w:tc>
        <w:tc>
          <w:tcPr>
            <w:tcW w:w="774"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内裤</w:t>
            </w:r>
          </w:p>
        </w:tc>
        <w:tc>
          <w:tcPr>
            <w:tcW w:w="1678"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5条</w:t>
            </w:r>
          </w:p>
        </w:tc>
        <w:tc>
          <w:tcPr>
            <w:tcW w:w="1792"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53" w:type="pct"/>
            <w:vMerge w:val="continue"/>
            <w:vAlign w:val="center"/>
          </w:tcPr>
          <w:p>
            <w:pPr>
              <w:adjustRightInd w:val="0"/>
              <w:snapToGrid w:val="0"/>
              <w:spacing w:line="360" w:lineRule="exact"/>
              <w:jc w:val="center"/>
              <w:rPr>
                <w:rFonts w:hint="eastAsia" w:ascii="仿宋" w:hAnsi="仿宋" w:eastAsia="仿宋" w:cs="仿宋"/>
                <w:b w:val="0"/>
                <w:bCs w:val="0"/>
                <w:sz w:val="24"/>
                <w:szCs w:val="24"/>
              </w:rPr>
            </w:pPr>
          </w:p>
        </w:tc>
        <w:tc>
          <w:tcPr>
            <w:tcW w:w="774"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其他</w:t>
            </w:r>
          </w:p>
        </w:tc>
        <w:tc>
          <w:tcPr>
            <w:tcW w:w="1678"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3件/条/套</w:t>
            </w:r>
          </w:p>
        </w:tc>
        <w:tc>
          <w:tcPr>
            <w:tcW w:w="1792"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2件/条/套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528" w:type="pct"/>
            <w:gridSpan w:val="2"/>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衬衫</w:t>
            </w:r>
          </w:p>
        </w:tc>
        <w:tc>
          <w:tcPr>
            <w:tcW w:w="1678"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2件</w:t>
            </w:r>
          </w:p>
        </w:tc>
        <w:tc>
          <w:tcPr>
            <w:tcW w:w="1792"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1件</w:t>
            </w:r>
          </w:p>
        </w:tc>
      </w:tr>
    </w:tbl>
    <w:p>
      <w:pPr>
        <w:widowControl/>
        <w:spacing w:line="578" w:lineRule="exact"/>
        <w:ind w:firstLine="640" w:firstLineChars="20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备注：</w:t>
      </w:r>
    </w:p>
    <w:p>
      <w:pPr>
        <w:widowControl/>
        <w:spacing w:line="578" w:lineRule="exact"/>
        <w:ind w:firstLine="640" w:firstLineChars="20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fldChar w:fldCharType="begin"/>
      </w:r>
      <w:r>
        <w:rPr>
          <w:rFonts w:hint="eastAsia" w:ascii="仿宋" w:hAnsi="仿宋" w:eastAsia="仿宋" w:cs="仿宋"/>
          <w:b w:val="0"/>
          <w:bCs w:val="0"/>
          <w:kern w:val="0"/>
          <w:sz w:val="32"/>
          <w:szCs w:val="32"/>
        </w:rPr>
        <w:instrText xml:space="preserve"> = 1 \* GB3 </w:instrText>
      </w:r>
      <w:r>
        <w:rPr>
          <w:rFonts w:hint="eastAsia" w:ascii="仿宋" w:hAnsi="仿宋" w:eastAsia="仿宋" w:cs="仿宋"/>
          <w:b w:val="0"/>
          <w:bCs w:val="0"/>
          <w:kern w:val="0"/>
          <w:sz w:val="32"/>
          <w:szCs w:val="32"/>
        </w:rPr>
        <w:fldChar w:fldCharType="separate"/>
      </w:r>
      <w:r>
        <w:rPr>
          <w:rFonts w:hint="eastAsia" w:ascii="仿宋" w:hAnsi="仿宋" w:eastAsia="仿宋" w:cs="仿宋"/>
          <w:b w:val="0"/>
          <w:bCs w:val="0"/>
          <w:kern w:val="0"/>
          <w:sz w:val="32"/>
          <w:szCs w:val="32"/>
        </w:rPr>
        <w:t>①</w:t>
      </w:r>
      <w:r>
        <w:rPr>
          <w:rFonts w:hint="eastAsia" w:ascii="仿宋" w:hAnsi="仿宋" w:eastAsia="仿宋" w:cs="仿宋"/>
          <w:b w:val="0"/>
          <w:bCs w:val="0"/>
          <w:kern w:val="0"/>
          <w:sz w:val="32"/>
          <w:szCs w:val="32"/>
        </w:rPr>
        <w:fldChar w:fldCharType="end"/>
      </w:r>
      <w:r>
        <w:rPr>
          <w:rFonts w:hint="eastAsia" w:ascii="仿宋" w:hAnsi="仿宋" w:eastAsia="仿宋" w:cs="仿宋"/>
          <w:b w:val="0"/>
          <w:bCs w:val="0"/>
          <w:kern w:val="0"/>
          <w:sz w:val="32"/>
          <w:szCs w:val="32"/>
        </w:rPr>
        <w:t>如样品面积过小，或花型复杂，可适当增加抽样数量，但不得超过检验、复检的合理需要。</w:t>
      </w:r>
    </w:p>
    <w:p>
      <w:pPr>
        <w:widowControl/>
        <w:spacing w:line="578" w:lineRule="exact"/>
        <w:ind w:firstLine="640" w:firstLineChars="20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fldChar w:fldCharType="begin"/>
      </w:r>
      <w:r>
        <w:rPr>
          <w:rFonts w:hint="eastAsia" w:ascii="仿宋" w:hAnsi="仿宋" w:eastAsia="仿宋" w:cs="仿宋"/>
          <w:b w:val="0"/>
          <w:bCs w:val="0"/>
          <w:kern w:val="0"/>
          <w:sz w:val="32"/>
          <w:szCs w:val="32"/>
        </w:rPr>
        <w:instrText xml:space="preserve"> = 2 \* GB3 \* MERGEFORMAT </w:instrText>
      </w:r>
      <w:r>
        <w:rPr>
          <w:rFonts w:hint="eastAsia" w:ascii="仿宋" w:hAnsi="仿宋" w:eastAsia="仿宋" w:cs="仿宋"/>
          <w:b w:val="0"/>
          <w:bCs w:val="0"/>
          <w:kern w:val="0"/>
          <w:sz w:val="32"/>
          <w:szCs w:val="32"/>
        </w:rPr>
        <w:fldChar w:fldCharType="separate"/>
      </w:r>
      <w:r>
        <w:rPr>
          <w:rFonts w:hint="eastAsia" w:ascii="仿宋" w:hAnsi="仿宋" w:eastAsia="仿宋" w:cs="仿宋"/>
          <w:b w:val="0"/>
          <w:bCs w:val="0"/>
          <w:kern w:val="0"/>
          <w:sz w:val="32"/>
          <w:szCs w:val="32"/>
        </w:rPr>
        <w:t>②</w:t>
      </w:r>
      <w:r>
        <w:rPr>
          <w:rFonts w:hint="eastAsia" w:ascii="仿宋" w:hAnsi="仿宋" w:eastAsia="仿宋" w:cs="仿宋"/>
          <w:b w:val="0"/>
          <w:bCs w:val="0"/>
          <w:kern w:val="0"/>
          <w:sz w:val="32"/>
          <w:szCs w:val="32"/>
        </w:rPr>
        <w:fldChar w:fldCharType="end"/>
      </w:r>
      <w:r>
        <w:rPr>
          <w:rFonts w:hint="eastAsia" w:ascii="仿宋" w:hAnsi="仿宋" w:eastAsia="仿宋" w:cs="仿宋"/>
          <w:b w:val="0"/>
          <w:bCs w:val="0"/>
          <w:color w:val="333333"/>
          <w:kern w:val="0"/>
          <w:sz w:val="32"/>
          <w:szCs w:val="32"/>
        </w:rPr>
        <w:t>每款产品应为</w:t>
      </w:r>
      <w:r>
        <w:rPr>
          <w:rFonts w:hint="eastAsia" w:ascii="仿宋" w:hAnsi="仿宋" w:eastAsia="仿宋" w:cs="仿宋"/>
          <w:b w:val="0"/>
          <w:bCs w:val="0"/>
          <w:kern w:val="0"/>
          <w:sz w:val="32"/>
          <w:szCs w:val="32"/>
        </w:rPr>
        <w:t>同一款式（货/款号）、同一花型和同一颜色的产品。</w:t>
      </w:r>
    </w:p>
    <w:p>
      <w:pPr>
        <w:widowControl/>
        <w:ind w:firstLine="640" w:firstLineChars="200"/>
        <w:jc w:val="left"/>
        <w:rPr>
          <w:rFonts w:eastAsia="方正小标宋简体" w:cs="方正小标宋简体"/>
          <w:b w:val="0"/>
          <w:bCs w:val="0"/>
          <w:color w:val="000000"/>
          <w:sz w:val="44"/>
          <w:szCs w:val="44"/>
        </w:rPr>
      </w:pPr>
      <w:r>
        <w:rPr>
          <w:rFonts w:hint="eastAsia" w:eastAsia="黑体" w:cs="黑体"/>
          <w:b w:val="0"/>
          <w:bCs w:val="0"/>
          <w:color w:val="000000"/>
          <w:szCs w:val="32"/>
        </w:rPr>
        <w:t>二、主要检验项目及检验项目属性划分</w:t>
      </w:r>
    </w:p>
    <w:tbl>
      <w:tblPr>
        <w:tblStyle w:val="8"/>
        <w:tblW w:w="4998" w:type="pct"/>
        <w:jc w:val="center"/>
        <w:tblBorders>
          <w:top w:val="single" w:color="auto" w:sz="4"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899"/>
        <w:gridCol w:w="2372"/>
        <w:gridCol w:w="801"/>
        <w:gridCol w:w="801"/>
        <w:gridCol w:w="801"/>
        <w:gridCol w:w="801"/>
        <w:gridCol w:w="803"/>
      </w:tblGrid>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5" w:hRule="atLeast"/>
          <w:tblHeader/>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黑体" w:hAnsi="黑体" w:eastAsia="黑体" w:cs="黑体"/>
                <w:b w:val="0"/>
                <w:bCs w:val="0"/>
                <w:sz w:val="24"/>
              </w:rPr>
            </w:pPr>
            <w:r>
              <w:rPr>
                <w:rFonts w:hint="eastAsia" w:ascii="黑体" w:hAnsi="黑体" w:eastAsia="黑体" w:cs="黑体"/>
                <w:b w:val="0"/>
                <w:bCs w:val="0"/>
                <w:sz w:val="24"/>
              </w:rPr>
              <w:t>序号</w:t>
            </w:r>
          </w:p>
        </w:tc>
        <w:tc>
          <w:tcPr>
            <w:tcW w:w="1048" w:type="pct"/>
            <w:tcBorders>
              <w:bottom w:val="single" w:color="auto" w:sz="4" w:space="0"/>
            </w:tcBorders>
            <w:vAlign w:val="center"/>
          </w:tcPr>
          <w:p>
            <w:pPr>
              <w:adjustRightInd w:val="0"/>
              <w:snapToGrid w:val="0"/>
              <w:spacing w:line="360" w:lineRule="exact"/>
              <w:jc w:val="center"/>
              <w:rPr>
                <w:rFonts w:hint="eastAsia" w:ascii="黑体" w:hAnsi="黑体" w:eastAsia="黑体" w:cs="黑体"/>
                <w:b w:val="0"/>
                <w:bCs w:val="0"/>
                <w:sz w:val="24"/>
              </w:rPr>
            </w:pPr>
            <w:r>
              <w:rPr>
                <w:rFonts w:hint="eastAsia" w:ascii="黑体" w:hAnsi="黑体" w:eastAsia="黑体" w:cs="黑体"/>
                <w:b w:val="0"/>
                <w:bCs w:val="0"/>
                <w:sz w:val="24"/>
              </w:rPr>
              <w:t>检验项目</w:t>
            </w:r>
          </w:p>
        </w:tc>
        <w:tc>
          <w:tcPr>
            <w:tcW w:w="1309" w:type="pct"/>
            <w:tcBorders>
              <w:bottom w:val="single" w:color="auto" w:sz="4" w:space="0"/>
            </w:tcBorders>
            <w:vAlign w:val="center"/>
          </w:tcPr>
          <w:p>
            <w:pPr>
              <w:adjustRightInd w:val="0"/>
              <w:snapToGrid w:val="0"/>
              <w:spacing w:line="360" w:lineRule="exact"/>
              <w:jc w:val="center"/>
              <w:rPr>
                <w:rFonts w:hint="eastAsia" w:ascii="黑体" w:hAnsi="黑体" w:eastAsia="黑体" w:cs="黑体"/>
                <w:b w:val="0"/>
                <w:bCs w:val="0"/>
                <w:sz w:val="24"/>
              </w:rPr>
            </w:pPr>
            <w:r>
              <w:rPr>
                <w:rFonts w:hint="eastAsia" w:ascii="黑体" w:hAnsi="黑体" w:eastAsia="黑体" w:cs="黑体"/>
                <w:b w:val="0"/>
                <w:bCs w:val="0"/>
                <w:sz w:val="24"/>
              </w:rPr>
              <w:t>检验方法</w:t>
            </w:r>
          </w:p>
        </w:tc>
        <w:tc>
          <w:tcPr>
            <w:tcW w:w="442" w:type="pct"/>
            <w:tcBorders>
              <w:bottom w:val="single" w:color="auto" w:sz="4" w:space="0"/>
            </w:tcBorders>
            <w:vAlign w:val="center"/>
          </w:tcPr>
          <w:p>
            <w:pPr>
              <w:adjustRightInd w:val="0"/>
              <w:snapToGrid w:val="0"/>
              <w:spacing w:line="360" w:lineRule="exact"/>
              <w:jc w:val="center"/>
              <w:rPr>
                <w:rFonts w:hint="eastAsia" w:ascii="黑体" w:hAnsi="黑体" w:eastAsia="黑体" w:cs="黑体"/>
                <w:b w:val="0"/>
                <w:bCs w:val="0"/>
                <w:sz w:val="24"/>
              </w:rPr>
            </w:pPr>
            <w:r>
              <w:rPr>
                <w:rFonts w:hint="eastAsia" w:ascii="黑体" w:hAnsi="黑体" w:eastAsia="黑体" w:cs="黑体"/>
                <w:b w:val="0"/>
                <w:bCs w:val="0"/>
                <w:sz w:val="24"/>
              </w:rPr>
              <w:t>强制性</w:t>
            </w:r>
          </w:p>
        </w:tc>
        <w:tc>
          <w:tcPr>
            <w:tcW w:w="442" w:type="pct"/>
            <w:tcBorders>
              <w:bottom w:val="single" w:color="auto" w:sz="4" w:space="0"/>
            </w:tcBorders>
            <w:vAlign w:val="center"/>
          </w:tcPr>
          <w:p>
            <w:pPr>
              <w:adjustRightInd w:val="0"/>
              <w:snapToGrid w:val="0"/>
              <w:spacing w:line="360" w:lineRule="exact"/>
              <w:jc w:val="center"/>
              <w:rPr>
                <w:rFonts w:hint="eastAsia" w:ascii="黑体" w:hAnsi="黑体" w:eastAsia="黑体" w:cs="黑体"/>
                <w:b w:val="0"/>
                <w:bCs w:val="0"/>
                <w:sz w:val="24"/>
              </w:rPr>
            </w:pPr>
            <w:r>
              <w:rPr>
                <w:rFonts w:hint="eastAsia" w:ascii="黑体" w:hAnsi="黑体" w:eastAsia="黑体" w:cs="黑体"/>
                <w:b w:val="0"/>
                <w:bCs w:val="0"/>
                <w:sz w:val="24"/>
              </w:rPr>
              <w:t>非强制性</w:t>
            </w:r>
          </w:p>
        </w:tc>
        <w:tc>
          <w:tcPr>
            <w:tcW w:w="442" w:type="pct"/>
            <w:tcBorders>
              <w:bottom w:val="single" w:color="auto" w:sz="4" w:space="0"/>
            </w:tcBorders>
            <w:vAlign w:val="center"/>
          </w:tcPr>
          <w:p>
            <w:pPr>
              <w:adjustRightInd w:val="0"/>
              <w:snapToGrid w:val="0"/>
              <w:spacing w:line="360" w:lineRule="exact"/>
              <w:jc w:val="center"/>
              <w:rPr>
                <w:rFonts w:hint="eastAsia" w:ascii="黑体" w:hAnsi="黑体" w:eastAsia="黑体" w:cs="黑体"/>
                <w:b w:val="0"/>
                <w:bCs w:val="0"/>
                <w:sz w:val="24"/>
              </w:rPr>
            </w:pPr>
            <w:r>
              <w:rPr>
                <w:rFonts w:hint="eastAsia" w:ascii="黑体" w:hAnsi="黑体" w:eastAsia="黑体" w:cs="黑体"/>
                <w:b w:val="0"/>
                <w:bCs w:val="0"/>
                <w:sz w:val="24"/>
              </w:rPr>
              <w:t>重要项</w:t>
            </w:r>
          </w:p>
        </w:tc>
        <w:tc>
          <w:tcPr>
            <w:tcW w:w="442" w:type="pct"/>
            <w:tcBorders>
              <w:bottom w:val="single" w:color="auto" w:sz="4" w:space="0"/>
            </w:tcBorders>
            <w:vAlign w:val="center"/>
          </w:tcPr>
          <w:p>
            <w:pPr>
              <w:adjustRightInd w:val="0"/>
              <w:snapToGrid w:val="0"/>
              <w:spacing w:line="360" w:lineRule="exact"/>
              <w:jc w:val="center"/>
              <w:rPr>
                <w:rFonts w:hint="eastAsia" w:ascii="黑体" w:hAnsi="黑体" w:eastAsia="黑体" w:cs="黑体"/>
                <w:b w:val="0"/>
                <w:bCs w:val="0"/>
                <w:sz w:val="24"/>
              </w:rPr>
            </w:pPr>
            <w:r>
              <w:rPr>
                <w:rFonts w:hint="eastAsia" w:ascii="黑体" w:hAnsi="黑体" w:eastAsia="黑体" w:cs="黑体"/>
                <w:b w:val="0"/>
                <w:bCs w:val="0"/>
                <w:sz w:val="24"/>
              </w:rPr>
              <w:t>较重要项</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b w:val="0"/>
                <w:bCs w:val="0"/>
                <w:sz w:val="24"/>
              </w:rPr>
            </w:pPr>
            <w:r>
              <w:rPr>
                <w:rFonts w:hint="eastAsia" w:ascii="黑体" w:hAnsi="黑体" w:eastAsia="黑体" w:cs="黑体"/>
                <w:b w:val="0"/>
                <w:bCs w:val="0"/>
                <w:sz w:val="24"/>
              </w:rPr>
              <w:t>次要项</w:t>
            </w: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产品使用说明（标识）</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5296.4-2012</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相应产品标准</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纤维含量</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29862-2013</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甲醛含量</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 18401-2010</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可分解致癌芳香胺染料</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 18401-2010</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5</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pH值</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 18401-2010</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6</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耐水色牢度</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 18401-2010</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7</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耐酸汗渍色牢度</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 18401-2010</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8</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耐碱汗渍色牢度</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 18401-2010</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9</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耐干摩擦色牢度</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 18401-2010</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10</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耐湿摩擦色牢度</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GB/T3920-2008</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11</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耐（皂）洗色牢度</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相应产品标准</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12</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耐光汗复合色牢度</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GB/T14576-2009</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13</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耐光色牢度</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8427-2008或GB/T8427-2019</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0" w:type="pct"/>
            <w:tcBorders>
              <w:left w:val="single" w:color="auto" w:sz="4" w:space="0"/>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14</w:t>
            </w:r>
          </w:p>
        </w:tc>
        <w:tc>
          <w:tcPr>
            <w:tcW w:w="1048"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起毛起球</w:t>
            </w:r>
          </w:p>
        </w:tc>
        <w:tc>
          <w:tcPr>
            <w:tcW w:w="1309"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4802.1-2008</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2" w:type="pct"/>
            <w:tcBorders>
              <w:bottom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bl>
    <w:p>
      <w:pPr>
        <w:spacing w:line="578"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备注：</w:t>
      </w:r>
    </w:p>
    <w:p>
      <w:pPr>
        <w:spacing w:line="578"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①如果未标注产品主要原材料的纤维含量或纤维含量标注不正确、不规范，则判定标识、纤维含量项目均不符合。</w:t>
      </w:r>
    </w:p>
    <w:p>
      <w:pPr>
        <w:spacing w:line="578"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②考虑到样品存在的不均匀性和检验的可靠性，样品中检测出微量其他纤维（未明示）时，如果其他纤维（未明示）的含量≤1%，或样品明示含微量其他纤维而未检出时，该微量其他纤维不计入总量进行判定。</w:t>
      </w:r>
    </w:p>
    <w:p>
      <w:pPr>
        <w:spacing w:line="578"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③色牢度试验采用单纤维贴衬，针织产品耐摩擦色牢度只考核直向。当明示不可水洗，耐洗色牢度不考核。</w:t>
      </w:r>
    </w:p>
    <w:p>
      <w:pPr>
        <w:spacing w:line="578"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④本色及漂白产品不考核色牢度、可分解致癌芳香胺染料。</w:t>
      </w:r>
    </w:p>
    <w:p>
      <w:pPr>
        <w:spacing w:line="578"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⑤pH 值的测定用0.1 mol/L 氯化钾溶液作为萃取介质。</w:t>
      </w:r>
    </w:p>
    <w:p>
      <w:pPr>
        <w:spacing w:line="578"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⑥执行企业标准、团体标准、地方标准的产品，检验项目参照上述内容执行。</w:t>
      </w:r>
    </w:p>
    <w:p>
      <w:pPr>
        <w:adjustRightInd w:val="0"/>
        <w:snapToGrid w:val="0"/>
        <w:spacing w:line="600" w:lineRule="exact"/>
        <w:ind w:firstLine="640" w:firstLineChars="200"/>
        <w:jc w:val="left"/>
        <w:rPr>
          <w:rFonts w:eastAsia="黑体" w:cs="黑体"/>
          <w:b w:val="0"/>
          <w:bCs w:val="0"/>
          <w:color w:val="000000"/>
          <w:szCs w:val="32"/>
        </w:rPr>
      </w:pPr>
      <w:r>
        <w:rPr>
          <w:rFonts w:hint="eastAsia" w:eastAsia="黑体" w:cs="黑体"/>
          <w:b w:val="0"/>
          <w:bCs w:val="0"/>
          <w:color w:val="000000"/>
          <w:szCs w:val="32"/>
        </w:rPr>
        <w:t>三、判定规则</w:t>
      </w:r>
    </w:p>
    <w:p>
      <w:pPr>
        <w:spacing w:line="590" w:lineRule="exact"/>
        <w:ind w:firstLine="640" w:firstLineChars="200"/>
        <w:jc w:val="left"/>
        <w:rPr>
          <w:rFonts w:hint="eastAsia" w:ascii="楷体_GB2312" w:hAnsi="楷体_GB2312" w:eastAsia="楷体_GB2312" w:cs="楷体_GB2312"/>
          <w:b w:val="0"/>
          <w:bCs w:val="0"/>
          <w:color w:val="000000"/>
          <w:szCs w:val="32"/>
        </w:rPr>
      </w:pPr>
      <w:r>
        <w:rPr>
          <w:rFonts w:hint="eastAsia" w:ascii="楷体_GB2312" w:hAnsi="楷体_GB2312" w:eastAsia="楷体_GB2312" w:cs="楷体_GB2312"/>
          <w:b w:val="0"/>
          <w:bCs w:val="0"/>
          <w:color w:val="000000"/>
          <w:szCs w:val="32"/>
        </w:rPr>
        <w:t>（一）依据标准</w:t>
      </w:r>
    </w:p>
    <w:p>
      <w:pPr>
        <w:spacing w:line="590" w:lineRule="exact"/>
        <w:ind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1.强制性标准：</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 18401-2010《国家纺织产品基本安全技术规范》</w:t>
      </w:r>
    </w:p>
    <w:p>
      <w:pPr>
        <w:spacing w:line="590"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kern w:val="0"/>
          <w:szCs w:val="32"/>
        </w:rPr>
        <w:t>2. 推荐性标准：</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2660《衬衫》</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2662《棉服装》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5296.4-2012《消费品使用说明第 4 部分：纺织品和服装》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8878《棉针织内衣》</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18132《丝绸服装》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22700《水洗整理服装》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22853《针织运动服》</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26384《针织棉服装》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26385《针织拼接服装》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22849《针织T恤衫》</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29862-2013《纺织品纤维含量的标识》</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24019《印花羊绒针织品》</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43015《桑蚕丝针织服装》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73005《低含毛混纺及仿毛针织品》</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73005《低含毛混纺及仿毛针织品》</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73006《腈纶针织内衣》</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73009《羊绒针织品》</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73009《羊绒针织品》</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73010《针织工艺衫》</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73011《针织腹带》</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 /T 73012《文胸》</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73014《粗梳牦牛绒针织品》</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73018《毛针织品》</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73019.1《针织塑身内衣弹力型》</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73019.2《针织塑身内衣调整型》</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73020《针织休闲服装》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73022《针织保暖内衣》</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73024《化纤针织内衣》</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73026《针织裙、裙套》</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73029《针织裤》</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73032《针织牛仔服装》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73033《大豆蛋白复合纤维针织内衣》</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73034《半精纺毛针织品》</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73035《针织彩棉内衣》</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73043《针织衬衫》</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73046《一体成型文胸》</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73052《水洗整理针织服装》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73056《针织西服》</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73058《针织大衣》</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73059《双面穿服装》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74002《运动文胸》</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74005《针织瑜伽服》</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81004《连衣裙、裙套》</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81006《牛仔服装》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81007《单、夹服装》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81008《茄克衫》</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81020《机织文胸》</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FZ/T 81021《机织泳装》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3920 《纺织品 色牢度试验 耐摩擦色牢度》</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4802.1 《纺织品 织物起毛起球性能的测定 第1部分：圆轨迹法》</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4802.3 《纺织品 织物起毛起球性能的测定 第3部分：起球箱法》</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5296.4-2012《消费品使用说明第 4 部分：纺织品和服装》</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7573 《纺织品 水萃取液pH值的测定》</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8433 《纺织品 色牢度试验 耐氯化水色牢度(游泳池水)》</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8629 《纺织品 试验用家庭洗涤和干燥程序》</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14576 《纺织品 色牢度试验 耐光、汗复合色牢度》</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19941.2 《皮革和毛皮 甲醛含量的测定 第2部分：分光光度法》</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GB/T19942《皮革和毛皮 化学试验 禁用偶氮染料的测定》</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GB/T 29862-2013《纺织品纤维含量的标识》</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QB/T 2790-2006 《染色毛皮耐摩擦色牢度测试方法》</w:t>
      </w:r>
    </w:p>
    <w:p>
      <w:pPr>
        <w:spacing w:line="590"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QB/T 1277-2012 《毛皮 化学试验 pH的测定》</w:t>
      </w:r>
    </w:p>
    <w:p>
      <w:pPr>
        <w:snapToGrid w:val="0"/>
        <w:spacing w:line="520" w:lineRule="exact"/>
        <w:ind w:firstLine="547" w:firstLineChars="171"/>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现行有效的企业标准、团体标准、地方标准及产品明示质量要求。</w:t>
      </w:r>
    </w:p>
    <w:p>
      <w:pPr>
        <w:snapToGrid w:val="0"/>
        <w:spacing w:line="520" w:lineRule="exact"/>
        <w:ind w:firstLine="547" w:firstLineChars="171"/>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备注：凡是注日期的文件，其随后所有的修改单（不包括勘误的内容）或修订版不适用于本细则。凡是不注日期的文件，其最新版本适用于本细则。</w:t>
      </w:r>
    </w:p>
    <w:p>
      <w:pPr>
        <w:spacing w:line="590" w:lineRule="exact"/>
        <w:ind w:firstLine="640" w:firstLineChars="200"/>
        <w:jc w:val="left"/>
        <w:rPr>
          <w:rFonts w:hint="eastAsia" w:ascii="楷体_GB2312" w:hAnsi="楷体_GB2312" w:eastAsia="楷体_GB2312" w:cs="楷体_GB2312"/>
          <w:b w:val="0"/>
          <w:bCs w:val="0"/>
          <w:color w:val="000000"/>
          <w:szCs w:val="32"/>
        </w:rPr>
      </w:pPr>
      <w:r>
        <w:rPr>
          <w:rFonts w:hint="eastAsia" w:ascii="楷体_GB2312" w:hAnsi="楷体_GB2312" w:eastAsia="楷体_GB2312" w:cs="楷体_GB2312"/>
          <w:b w:val="0"/>
          <w:bCs w:val="0"/>
          <w:color w:val="000000"/>
          <w:szCs w:val="32"/>
        </w:rPr>
        <w:t>（二）判定原则</w:t>
      </w:r>
    </w:p>
    <w:p>
      <w:pPr>
        <w:snapToGrid w:val="0"/>
        <w:spacing w:line="600"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经检验，检验项目全部合格，判定为抽取的样本所检项目未检出不合格；检验项目中任一项或一项以上不合格，判定为被抽查产品不合格。</w:t>
      </w:r>
    </w:p>
    <w:p>
      <w:pPr>
        <w:pStyle w:val="15"/>
        <w:tabs>
          <w:tab w:val="clear" w:pos="4201"/>
          <w:tab w:val="clear" w:pos="9298"/>
        </w:tabs>
        <w:spacing w:line="600"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当被检样品明示的质量要求优于监督抽查实施细则中依据的标准要求时，应按被检样品明示的质量要求判定；</w:t>
      </w:r>
    </w:p>
    <w:p>
      <w:pPr>
        <w:pStyle w:val="15"/>
        <w:tabs>
          <w:tab w:val="clear" w:pos="4201"/>
          <w:tab w:val="clear" w:pos="9298"/>
        </w:tabs>
        <w:spacing w:line="600"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当被检样品明示的质量要求劣于或不包含监督抽查实施细则中依据的强制性标准要求时，应按照强制性标准要求判定；</w:t>
      </w:r>
    </w:p>
    <w:p>
      <w:pPr>
        <w:pStyle w:val="15"/>
        <w:widowControl w:val="0"/>
        <w:tabs>
          <w:tab w:val="clear" w:pos="4201"/>
          <w:tab w:val="clear" w:pos="9298"/>
        </w:tabs>
        <w:spacing w:line="600"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当被检样品明示的质量要求劣于或包含监督抽查实施细则中依据的推荐性标准要求时，应以被检样品明示的质量要求判定，如相应检验结果不符合相关推荐性标准要求时，应在检验报告中予以说明；</w:t>
      </w:r>
      <w:bookmarkStart w:id="0" w:name="_GoBack"/>
      <w:bookmarkEnd w:id="0"/>
    </w:p>
    <w:p>
      <w:pPr>
        <w:pStyle w:val="15"/>
        <w:widowControl w:val="0"/>
        <w:tabs>
          <w:tab w:val="clear" w:pos="4201"/>
          <w:tab w:val="clear" w:pos="9298"/>
        </w:tabs>
        <w:spacing w:line="600"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当被检样品明示的质量要求不包含监督抽查实施细则中依据的推荐性标准要求时，该指标不参与判定，但应在检验报告中作出说明；</w:t>
      </w:r>
    </w:p>
    <w:p>
      <w:pPr>
        <w:pStyle w:val="15"/>
        <w:widowControl w:val="0"/>
        <w:tabs>
          <w:tab w:val="clear" w:pos="4201"/>
          <w:tab w:val="clear" w:pos="9298"/>
        </w:tabs>
        <w:spacing w:line="600"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当被检样品未能提供有效的企业标准时，按相关国家或行业标准进行判定；</w:t>
      </w:r>
    </w:p>
    <w:p>
      <w:pPr>
        <w:pStyle w:val="15"/>
        <w:widowControl w:val="0"/>
        <w:tabs>
          <w:tab w:val="clear" w:pos="4201"/>
          <w:tab w:val="clear" w:pos="9298"/>
        </w:tabs>
        <w:spacing w:line="600"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pStyle w:val="15"/>
        <w:widowControl w:val="0"/>
        <w:tabs>
          <w:tab w:val="clear" w:pos="4201"/>
          <w:tab w:val="clear" w:pos="9298"/>
        </w:tabs>
        <w:spacing w:line="600"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按照产品质量相关法律法规的规定判定。</w:t>
      </w:r>
    </w:p>
    <w:p>
      <w:pPr>
        <w:pStyle w:val="15"/>
        <w:widowControl w:val="0"/>
        <w:tabs>
          <w:tab w:val="clear" w:pos="4201"/>
          <w:tab w:val="clear" w:pos="9298"/>
        </w:tabs>
        <w:spacing w:line="600"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检验中发现因样品失效或者其他原因致使检验无法进行的，检验人员应如实记录，并提供相关证明材料，报送组织监督抽查的市场监管部门。</w:t>
      </w:r>
    </w:p>
    <w:p>
      <w:pPr>
        <w:widowControl/>
        <w:jc w:val="left"/>
        <w:rPr>
          <w:rFonts w:hint="eastAsia" w:ascii="仿宋" w:hAnsi="仿宋" w:eastAsia="仿宋" w:cs="仿宋"/>
          <w:b w:val="0"/>
          <w:bCs w:val="0"/>
          <w:color w:val="000000"/>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148" w:firstLine="0"/>
      </w:pPr>
      <w:rPr>
        <w:rFonts w:hint="default" w:ascii="Times New Roman" w:hAnsi="Times New Roman"/>
        <w:b/>
        <w:i w:val="0"/>
        <w:sz w:val="21"/>
      </w:rPr>
    </w:lvl>
    <w:lvl w:ilvl="1" w:tentative="0">
      <w:start w:val="1"/>
      <w:numFmt w:val="decimal"/>
      <w:suff w:val="nothing"/>
      <w:lvlText w:val="%1%2　"/>
      <w:lvlJc w:val="left"/>
      <w:pPr>
        <w:ind w:left="1708" w:firstLine="0"/>
      </w:pPr>
      <w:rPr>
        <w:rFonts w:hint="eastAsia" w:ascii="黑体" w:hAnsi="Times New Roman" w:eastAsia="黑体"/>
        <w:b w:val="0"/>
        <w:i w:val="0"/>
        <w:sz w:val="21"/>
      </w:rPr>
    </w:lvl>
    <w:lvl w:ilvl="2" w:tentative="0">
      <w:start w:val="1"/>
      <w:numFmt w:val="decimal"/>
      <w:pStyle w:val="16"/>
      <w:suff w:val="nothing"/>
      <w:lvlText w:val="%1%2.%3　"/>
      <w:lvlJc w:val="left"/>
      <w:pPr>
        <w:ind w:left="716" w:firstLine="0"/>
      </w:pPr>
      <w:rPr>
        <w:rFonts w:hint="eastAsia" w:ascii="黑体" w:hAnsi="Times New Roman" w:eastAsia="黑体" w:cs="Times New Roman"/>
        <w:b w:val="0"/>
      </w:rPr>
    </w:lvl>
    <w:lvl w:ilvl="3" w:tentative="0">
      <w:start w:val="1"/>
      <w:numFmt w:val="decimal"/>
      <w:isLgl/>
      <w:suff w:val="nothing"/>
      <w:lvlText w:val="%2%1.%3.%4　"/>
      <w:lvlJc w:val="left"/>
      <w:pPr>
        <w:ind w:left="2269" w:firstLine="0"/>
      </w:pPr>
      <w:rPr>
        <w:rFonts w:hint="eastAsia" w:ascii="黑体" w:hAnsi="Times New Roman" w:eastAsia="黑体"/>
        <w:b w:val="0"/>
        <w:i w:val="0"/>
        <w:sz w:val="21"/>
      </w:rPr>
    </w:lvl>
    <w:lvl w:ilvl="4" w:tentative="0">
      <w:start w:val="1"/>
      <w:numFmt w:val="decimal"/>
      <w:suff w:val="nothing"/>
      <w:lvlText w:val="%1%2.%3.%4.%5　"/>
      <w:lvlJc w:val="left"/>
      <w:pPr>
        <w:ind w:left="1141" w:firstLine="0"/>
      </w:pPr>
      <w:rPr>
        <w:rFonts w:hint="eastAsia" w:ascii="黑体" w:hAnsi="Times New Roman" w:eastAsia="黑体"/>
        <w:b w:val="0"/>
        <w:i w:val="0"/>
        <w:sz w:val="21"/>
      </w:rPr>
    </w:lvl>
    <w:lvl w:ilvl="5" w:tentative="0">
      <w:start w:val="1"/>
      <w:numFmt w:val="decimal"/>
      <w:suff w:val="nothing"/>
      <w:lvlText w:val="%1%2.%3.%4.%5.%6　"/>
      <w:lvlJc w:val="left"/>
      <w:pPr>
        <w:ind w:left="148" w:firstLine="0"/>
      </w:pPr>
      <w:rPr>
        <w:rFonts w:hint="eastAsia" w:ascii="黑体" w:hAnsi="Times New Roman" w:eastAsia="黑体"/>
        <w:b w:val="0"/>
        <w:i w:val="0"/>
        <w:sz w:val="21"/>
      </w:rPr>
    </w:lvl>
    <w:lvl w:ilvl="6" w:tentative="0">
      <w:start w:val="1"/>
      <w:numFmt w:val="decimal"/>
      <w:suff w:val="nothing"/>
      <w:lvlText w:val="%1%2.%3.%4.%5.%6.%7　"/>
      <w:lvlJc w:val="left"/>
      <w:pPr>
        <w:ind w:left="148" w:firstLine="0"/>
      </w:pPr>
      <w:rPr>
        <w:rFonts w:hint="eastAsia" w:ascii="黑体" w:hAnsi="Times New Roman" w:eastAsia="黑体"/>
        <w:b w:val="0"/>
        <w:i w:val="0"/>
        <w:sz w:val="21"/>
      </w:rPr>
    </w:lvl>
    <w:lvl w:ilvl="7" w:tentative="0">
      <w:start w:val="1"/>
      <w:numFmt w:val="decimal"/>
      <w:lvlText w:val="%1.%2.%3.%4.%5.%6.%7.%8"/>
      <w:lvlJc w:val="left"/>
      <w:pPr>
        <w:tabs>
          <w:tab w:val="left" w:pos="4499"/>
        </w:tabs>
        <w:ind w:left="4117" w:hanging="1418"/>
      </w:pPr>
      <w:rPr>
        <w:rFonts w:hint="eastAsia"/>
      </w:rPr>
    </w:lvl>
    <w:lvl w:ilvl="8" w:tentative="0">
      <w:start w:val="1"/>
      <w:numFmt w:val="decimal"/>
      <w:lvlText w:val="%1.%2.%3.%4.%5.%6.%7.%8.%9"/>
      <w:lvlJc w:val="left"/>
      <w:pPr>
        <w:tabs>
          <w:tab w:val="left" w:pos="4925"/>
        </w:tabs>
        <w:ind w:left="4825" w:hanging="1700"/>
      </w:pPr>
      <w:rPr>
        <w:rFonts w:hint="eastAsia"/>
      </w:rPr>
    </w:lvl>
  </w:abstractNum>
  <w:abstractNum w:abstractNumId="1">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0CE"/>
    <w:rsid w:val="0000577C"/>
    <w:rsid w:val="00012D99"/>
    <w:rsid w:val="00025460"/>
    <w:rsid w:val="00032E8F"/>
    <w:rsid w:val="00044860"/>
    <w:rsid w:val="00066872"/>
    <w:rsid w:val="00067E3B"/>
    <w:rsid w:val="00071293"/>
    <w:rsid w:val="00071DB1"/>
    <w:rsid w:val="000754C4"/>
    <w:rsid w:val="000B19EE"/>
    <w:rsid w:val="000C7C8B"/>
    <w:rsid w:val="000D00DC"/>
    <w:rsid w:val="000D5D13"/>
    <w:rsid w:val="000E5072"/>
    <w:rsid w:val="000F2148"/>
    <w:rsid w:val="00135333"/>
    <w:rsid w:val="00170E49"/>
    <w:rsid w:val="001724AF"/>
    <w:rsid w:val="001759C5"/>
    <w:rsid w:val="00185692"/>
    <w:rsid w:val="001A7686"/>
    <w:rsid w:val="001B4569"/>
    <w:rsid w:val="001C1E9D"/>
    <w:rsid w:val="001E6192"/>
    <w:rsid w:val="001F1F39"/>
    <w:rsid w:val="00202EC3"/>
    <w:rsid w:val="002147CB"/>
    <w:rsid w:val="00220EA1"/>
    <w:rsid w:val="00223B8C"/>
    <w:rsid w:val="00226EC2"/>
    <w:rsid w:val="00234560"/>
    <w:rsid w:val="00236393"/>
    <w:rsid w:val="002550B3"/>
    <w:rsid w:val="00274C13"/>
    <w:rsid w:val="00295C46"/>
    <w:rsid w:val="002B20CE"/>
    <w:rsid w:val="002B31C6"/>
    <w:rsid w:val="002C106D"/>
    <w:rsid w:val="002D2561"/>
    <w:rsid w:val="002E2AEA"/>
    <w:rsid w:val="002F300F"/>
    <w:rsid w:val="002F6589"/>
    <w:rsid w:val="003163B8"/>
    <w:rsid w:val="003533AC"/>
    <w:rsid w:val="003555B6"/>
    <w:rsid w:val="00356D3D"/>
    <w:rsid w:val="0036316E"/>
    <w:rsid w:val="00364BAE"/>
    <w:rsid w:val="0037537B"/>
    <w:rsid w:val="003B0AA4"/>
    <w:rsid w:val="003B5F49"/>
    <w:rsid w:val="003C1D8D"/>
    <w:rsid w:val="003C6C3A"/>
    <w:rsid w:val="003D3E95"/>
    <w:rsid w:val="003D5839"/>
    <w:rsid w:val="003E379B"/>
    <w:rsid w:val="003E45E0"/>
    <w:rsid w:val="003F0BA8"/>
    <w:rsid w:val="003F26DE"/>
    <w:rsid w:val="003F56BC"/>
    <w:rsid w:val="0040094E"/>
    <w:rsid w:val="004052AF"/>
    <w:rsid w:val="00417709"/>
    <w:rsid w:val="00454730"/>
    <w:rsid w:val="004609A3"/>
    <w:rsid w:val="00470A2D"/>
    <w:rsid w:val="00497EC5"/>
    <w:rsid w:val="004A603E"/>
    <w:rsid w:val="004E6412"/>
    <w:rsid w:val="004E7582"/>
    <w:rsid w:val="004F1F5C"/>
    <w:rsid w:val="004F2E7B"/>
    <w:rsid w:val="004F63BE"/>
    <w:rsid w:val="004F7677"/>
    <w:rsid w:val="005111E4"/>
    <w:rsid w:val="00517342"/>
    <w:rsid w:val="005256C6"/>
    <w:rsid w:val="00525719"/>
    <w:rsid w:val="0053154B"/>
    <w:rsid w:val="0055647A"/>
    <w:rsid w:val="00562275"/>
    <w:rsid w:val="005643BC"/>
    <w:rsid w:val="00565191"/>
    <w:rsid w:val="005730A6"/>
    <w:rsid w:val="00592248"/>
    <w:rsid w:val="005A118B"/>
    <w:rsid w:val="005B7A36"/>
    <w:rsid w:val="005C2145"/>
    <w:rsid w:val="005F125E"/>
    <w:rsid w:val="00697C63"/>
    <w:rsid w:val="006A2E05"/>
    <w:rsid w:val="006B2844"/>
    <w:rsid w:val="006B2E32"/>
    <w:rsid w:val="006B34D1"/>
    <w:rsid w:val="006D5048"/>
    <w:rsid w:val="006D715A"/>
    <w:rsid w:val="006E157B"/>
    <w:rsid w:val="00700F83"/>
    <w:rsid w:val="007104CF"/>
    <w:rsid w:val="00730510"/>
    <w:rsid w:val="00730E29"/>
    <w:rsid w:val="00734DEF"/>
    <w:rsid w:val="00756D89"/>
    <w:rsid w:val="007572BC"/>
    <w:rsid w:val="0076616C"/>
    <w:rsid w:val="00780132"/>
    <w:rsid w:val="0078122D"/>
    <w:rsid w:val="00794700"/>
    <w:rsid w:val="007953D3"/>
    <w:rsid w:val="007A329E"/>
    <w:rsid w:val="007B6EB6"/>
    <w:rsid w:val="007C2110"/>
    <w:rsid w:val="007E2CBA"/>
    <w:rsid w:val="007F3853"/>
    <w:rsid w:val="00813701"/>
    <w:rsid w:val="00825AA9"/>
    <w:rsid w:val="0085493C"/>
    <w:rsid w:val="00870846"/>
    <w:rsid w:val="0088353A"/>
    <w:rsid w:val="008942EC"/>
    <w:rsid w:val="008F2DCC"/>
    <w:rsid w:val="008F3152"/>
    <w:rsid w:val="008F6327"/>
    <w:rsid w:val="00916F06"/>
    <w:rsid w:val="00917CD0"/>
    <w:rsid w:val="00924627"/>
    <w:rsid w:val="00983197"/>
    <w:rsid w:val="0098610C"/>
    <w:rsid w:val="00992301"/>
    <w:rsid w:val="009A3678"/>
    <w:rsid w:val="009A69EB"/>
    <w:rsid w:val="009D7FB5"/>
    <w:rsid w:val="009D7FD6"/>
    <w:rsid w:val="00A15704"/>
    <w:rsid w:val="00A2299E"/>
    <w:rsid w:val="00A2459F"/>
    <w:rsid w:val="00A32AFB"/>
    <w:rsid w:val="00A361C4"/>
    <w:rsid w:val="00A4341C"/>
    <w:rsid w:val="00A6231F"/>
    <w:rsid w:val="00A704F2"/>
    <w:rsid w:val="00A7174E"/>
    <w:rsid w:val="00A81BF9"/>
    <w:rsid w:val="00AA69E8"/>
    <w:rsid w:val="00AB0D60"/>
    <w:rsid w:val="00AB5362"/>
    <w:rsid w:val="00AC114A"/>
    <w:rsid w:val="00B25BCB"/>
    <w:rsid w:val="00B405A8"/>
    <w:rsid w:val="00B41FB4"/>
    <w:rsid w:val="00B50051"/>
    <w:rsid w:val="00B60609"/>
    <w:rsid w:val="00B723AA"/>
    <w:rsid w:val="00B9223A"/>
    <w:rsid w:val="00B92DD8"/>
    <w:rsid w:val="00BA725C"/>
    <w:rsid w:val="00BC0A2A"/>
    <w:rsid w:val="00BC3670"/>
    <w:rsid w:val="00BC5792"/>
    <w:rsid w:val="00BF63FC"/>
    <w:rsid w:val="00BF6453"/>
    <w:rsid w:val="00C14D16"/>
    <w:rsid w:val="00C36403"/>
    <w:rsid w:val="00C374EE"/>
    <w:rsid w:val="00C4347F"/>
    <w:rsid w:val="00C5789A"/>
    <w:rsid w:val="00C74936"/>
    <w:rsid w:val="00C97764"/>
    <w:rsid w:val="00CB3A5E"/>
    <w:rsid w:val="00CB51B5"/>
    <w:rsid w:val="00CD2224"/>
    <w:rsid w:val="00CE4C2C"/>
    <w:rsid w:val="00CE73BD"/>
    <w:rsid w:val="00CF2C14"/>
    <w:rsid w:val="00CF405D"/>
    <w:rsid w:val="00D0079A"/>
    <w:rsid w:val="00D10D3F"/>
    <w:rsid w:val="00D130CE"/>
    <w:rsid w:val="00D152A9"/>
    <w:rsid w:val="00D50977"/>
    <w:rsid w:val="00D6005C"/>
    <w:rsid w:val="00D6569D"/>
    <w:rsid w:val="00D6737E"/>
    <w:rsid w:val="00D713F1"/>
    <w:rsid w:val="00D7261D"/>
    <w:rsid w:val="00D733D2"/>
    <w:rsid w:val="00D85E93"/>
    <w:rsid w:val="00DA34B9"/>
    <w:rsid w:val="00DB1379"/>
    <w:rsid w:val="00DC0946"/>
    <w:rsid w:val="00DC630D"/>
    <w:rsid w:val="00DF15C4"/>
    <w:rsid w:val="00E01515"/>
    <w:rsid w:val="00E15D38"/>
    <w:rsid w:val="00E4129A"/>
    <w:rsid w:val="00E45518"/>
    <w:rsid w:val="00E565B2"/>
    <w:rsid w:val="00E8218A"/>
    <w:rsid w:val="00E864C0"/>
    <w:rsid w:val="00EA7241"/>
    <w:rsid w:val="00EC19D6"/>
    <w:rsid w:val="00ED28F0"/>
    <w:rsid w:val="00EE73A5"/>
    <w:rsid w:val="00EF19CF"/>
    <w:rsid w:val="00F03617"/>
    <w:rsid w:val="00F32B6D"/>
    <w:rsid w:val="00F43F45"/>
    <w:rsid w:val="00F47264"/>
    <w:rsid w:val="00F5276B"/>
    <w:rsid w:val="00F617BF"/>
    <w:rsid w:val="00F81614"/>
    <w:rsid w:val="00F9270A"/>
    <w:rsid w:val="00FA2E75"/>
    <w:rsid w:val="00FB311C"/>
    <w:rsid w:val="00FB58BB"/>
    <w:rsid w:val="00FC447A"/>
    <w:rsid w:val="00FD2074"/>
    <w:rsid w:val="00FF01D1"/>
    <w:rsid w:val="0E9606F4"/>
    <w:rsid w:val="0F2C2D20"/>
    <w:rsid w:val="1CD97ECA"/>
    <w:rsid w:val="235D16ED"/>
    <w:rsid w:val="48266D09"/>
    <w:rsid w:val="5086639B"/>
    <w:rsid w:val="5414720B"/>
    <w:rsid w:val="58755F28"/>
    <w:rsid w:val="6A821AAB"/>
    <w:rsid w:val="7BF7D492"/>
    <w:rsid w:val="BFFC375B"/>
    <w:rsid w:val="D66F3C30"/>
    <w:rsid w:val="ECF509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unhideWhenUsed/>
    <w:qFormat/>
    <w:uiPriority w:val="99"/>
    <w:pPr>
      <w:jc w:val="left"/>
    </w:pPr>
  </w:style>
  <w:style w:type="paragraph" w:styleId="4">
    <w:name w:val="Balloon Text"/>
    <w:basedOn w:val="1"/>
    <w:link w:val="21"/>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3"/>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styleId="13">
    <w:name w:val="annotation reference"/>
    <w:basedOn w:val="10"/>
    <w:unhideWhenUsed/>
    <w:qFormat/>
    <w:uiPriority w:val="99"/>
    <w:rPr>
      <w:sz w:val="21"/>
      <w:szCs w:val="21"/>
    </w:rPr>
  </w:style>
  <w:style w:type="character" w:customStyle="1" w:styleId="14">
    <w:name w:val="页脚 Char"/>
    <w:basedOn w:val="10"/>
    <w:link w:val="5"/>
    <w:qFormat/>
    <w:uiPriority w:val="0"/>
    <w:rPr>
      <w:rFonts w:ascii="Times New Roman" w:hAnsi="Times New Roman" w:eastAsia="仿宋_GB2312" w:cs="Times New Roman"/>
      <w:sz w:val="18"/>
      <w:szCs w:val="24"/>
    </w:rPr>
  </w:style>
  <w:style w:type="paragraph" w:customStyle="1" w:styleId="15">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16">
    <w:name w:val="一级条标题"/>
    <w:next w:val="15"/>
    <w:qFormat/>
    <w:uiPriority w:val="0"/>
    <w:pPr>
      <w:numPr>
        <w:ilvl w:val="2"/>
        <w:numId w:val="2"/>
      </w:numPr>
      <w:spacing w:beforeLines="50" w:afterLines="50"/>
      <w:outlineLvl w:val="2"/>
    </w:pPr>
    <w:rPr>
      <w:rFonts w:ascii="黑体" w:hAnsi="Calibri" w:eastAsia="黑体" w:cs="Times New Roman"/>
      <w:sz w:val="21"/>
      <w:szCs w:val="21"/>
      <w:lang w:val="en-US" w:eastAsia="zh-CN" w:bidi="ar-SA"/>
    </w:rPr>
  </w:style>
  <w:style w:type="paragraph" w:customStyle="1" w:styleId="17">
    <w:name w:val="二级条标题"/>
    <w:basedOn w:val="16"/>
    <w:next w:val="15"/>
    <w:qFormat/>
    <w:uiPriority w:val="0"/>
    <w:pPr>
      <w:spacing w:before="50" w:after="50"/>
      <w:outlineLvl w:val="3"/>
    </w:pPr>
  </w:style>
  <w:style w:type="paragraph" w:customStyle="1" w:styleId="18">
    <w:name w:val="列出段落2"/>
    <w:basedOn w:val="1"/>
    <w:unhideWhenUsed/>
    <w:qFormat/>
    <w:uiPriority w:val="99"/>
    <w:pPr>
      <w:ind w:firstLine="420" w:firstLineChars="200"/>
    </w:pPr>
    <w:rPr>
      <w:sz w:val="30"/>
    </w:rPr>
  </w:style>
  <w:style w:type="paragraph" w:customStyle="1" w:styleId="19">
    <w:name w:val="Table Paragraph"/>
    <w:basedOn w:val="1"/>
    <w:qFormat/>
    <w:uiPriority w:val="0"/>
    <w:pPr>
      <w:jc w:val="left"/>
    </w:pPr>
    <w:rPr>
      <w:rFonts w:ascii="Calibri" w:hAnsi="Calibri"/>
      <w:kern w:val="0"/>
      <w:sz w:val="22"/>
      <w:szCs w:val="22"/>
      <w:lang w:eastAsia="en-US"/>
    </w:rPr>
  </w:style>
  <w:style w:type="character" w:customStyle="1" w:styleId="20">
    <w:name w:val="页眉 Char"/>
    <w:basedOn w:val="10"/>
    <w:link w:val="6"/>
    <w:qFormat/>
    <w:uiPriority w:val="0"/>
    <w:rPr>
      <w:rFonts w:ascii="Times New Roman" w:hAnsi="Times New Roman" w:eastAsia="仿宋_GB2312" w:cs="Times New Roman"/>
      <w:sz w:val="18"/>
      <w:szCs w:val="18"/>
    </w:rPr>
  </w:style>
  <w:style w:type="character" w:customStyle="1" w:styleId="21">
    <w:name w:val="批注框文本 Char"/>
    <w:basedOn w:val="10"/>
    <w:link w:val="4"/>
    <w:qFormat/>
    <w:uiPriority w:val="0"/>
    <w:rPr>
      <w:rFonts w:ascii="Times New Roman" w:hAnsi="Times New Roman" w:eastAsia="仿宋_GB2312" w:cs="Times New Roman"/>
      <w:sz w:val="18"/>
      <w:szCs w:val="18"/>
    </w:rPr>
  </w:style>
  <w:style w:type="character" w:customStyle="1" w:styleId="22">
    <w:name w:val="批注文字 Char"/>
    <w:basedOn w:val="10"/>
    <w:link w:val="3"/>
    <w:semiHidden/>
    <w:qFormat/>
    <w:uiPriority w:val="99"/>
    <w:rPr>
      <w:rFonts w:ascii="Times New Roman" w:hAnsi="Times New Roman" w:eastAsia="仿宋_GB2312" w:cs="Times New Roman"/>
      <w:sz w:val="32"/>
      <w:szCs w:val="24"/>
    </w:rPr>
  </w:style>
  <w:style w:type="character" w:customStyle="1" w:styleId="23">
    <w:name w:val="批注主题 Char"/>
    <w:basedOn w:val="22"/>
    <w:link w:val="7"/>
    <w:semiHidden/>
    <w:qFormat/>
    <w:uiPriority w:val="99"/>
    <w:rPr>
      <w:rFonts w:ascii="Times New Roman" w:hAnsi="Times New Roman" w:eastAsia="仿宋_GB2312" w:cs="Times New Roman"/>
      <w:b/>
      <w:bCs/>
      <w:sz w:val="3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8</Pages>
  <Words>482</Words>
  <Characters>2754</Characters>
  <Lines>22</Lines>
  <Paragraphs>6</Paragraphs>
  <TotalTime>4</TotalTime>
  <ScaleCrop>false</ScaleCrop>
  <LinksUpToDate>false</LinksUpToDate>
  <CharactersWithSpaces>3230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2023-04-11T08:56:00Z</dcterms:created>
  <dc:creator>yws1</dc:creator>
  <cp:lastModifiedBy>刘赞</cp:lastModifiedBy>
  <cp:lastPrinted>2021-06-06T13:46:00Z</cp:lastPrinted>
  <dcterms:modified xsi:type="dcterms:W3CDTF">2023-05-10T08:31:19Z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3BD00A7BE28A4E81842529B5EF5E61C3</vt:lpwstr>
  </property>
</Properties>
</file>