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hint="eastAsia" w:eastAsia="方正小标宋简体" w:cs="方正小标宋简体"/>
          <w:bCs/>
          <w:color w:val="000000"/>
          <w:sz w:val="44"/>
          <w:szCs w:val="44"/>
        </w:rPr>
      </w:pPr>
      <w:r>
        <w:rPr>
          <w:rFonts w:hint="eastAsia" w:eastAsia="方正小标宋简体" w:cs="方正小标宋简体"/>
          <w:bCs/>
          <w:color w:val="000000"/>
          <w:sz w:val="44"/>
          <w:szCs w:val="44"/>
        </w:rPr>
        <w:t>珠海市电动汽车充电桩产品质量监督抽查</w:t>
      </w:r>
    </w:p>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实施细则</w:t>
      </w:r>
    </w:p>
    <w:p>
      <w:pPr>
        <w:spacing w:line="520" w:lineRule="exact"/>
        <w:ind w:firstLine="880" w:firstLineChars="200"/>
        <w:jc w:val="left"/>
        <w:rPr>
          <w:rFonts w:eastAsia="方正小标宋简体" w:cs="方正小标宋简体"/>
          <w:color w:val="000000"/>
          <w:sz w:val="44"/>
          <w:szCs w:val="44"/>
        </w:rPr>
      </w:pPr>
    </w:p>
    <w:p>
      <w:pPr>
        <w:spacing w:line="590" w:lineRule="exact"/>
        <w:ind w:firstLine="640" w:firstLineChars="200"/>
        <w:jc w:val="left"/>
        <w:rPr>
          <w:rFonts w:ascii="黑体" w:hAnsi="黑体" w:eastAsia="黑体" w:cs="黑体"/>
          <w:color w:val="000000"/>
          <w:szCs w:val="32"/>
        </w:rPr>
      </w:pPr>
      <w:r>
        <w:rPr>
          <w:rFonts w:hint="eastAsia" w:ascii="黑体" w:hAnsi="黑体" w:eastAsia="黑体" w:cs="黑体"/>
          <w:color w:val="000000"/>
          <w:szCs w:val="32"/>
        </w:rPr>
        <w:t>一、抽样方法</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spacing w:line="590" w:lineRule="exact"/>
        <w:ind w:firstLine="640" w:firstLineChars="200"/>
        <w:jc w:val="left"/>
        <w:rPr>
          <w:rFonts w:hint="eastAsia" w:ascii="仿宋" w:hAnsi="仿宋" w:eastAsia="仿宋" w:cs="仿宋"/>
          <w:color w:val="000000"/>
          <w:szCs w:val="32"/>
        </w:rPr>
      </w:pPr>
      <w:r>
        <w:rPr>
          <w:rFonts w:hint="eastAsia" w:ascii="仿宋" w:hAnsi="仿宋" w:eastAsia="仿宋" w:cs="仿宋"/>
          <w:color w:val="000000"/>
          <w:szCs w:val="32"/>
        </w:rPr>
        <w:t>抽查数量：每款产品抽取2组样本，第1组用于检验，第2组用于备样。其中第1组抽取样品1</w:t>
      </w:r>
      <w:r>
        <w:rPr>
          <w:rFonts w:hint="eastAsia" w:ascii="仿宋" w:hAnsi="仿宋" w:eastAsia="仿宋" w:cs="仿宋"/>
          <w:color w:val="000000"/>
          <w:kern w:val="0"/>
          <w:szCs w:val="32"/>
        </w:rPr>
        <w:t>台</w:t>
      </w:r>
      <w:r>
        <w:rPr>
          <w:rFonts w:hint="eastAsia" w:ascii="仿宋" w:hAnsi="仿宋" w:eastAsia="仿宋" w:cs="仿宋"/>
          <w:color w:val="000000"/>
          <w:szCs w:val="32"/>
        </w:rPr>
        <w:t>，第2组抽取样品1</w:t>
      </w:r>
      <w:r>
        <w:rPr>
          <w:rFonts w:hint="eastAsia" w:ascii="仿宋" w:hAnsi="仿宋" w:eastAsia="仿宋" w:cs="仿宋"/>
          <w:color w:val="000000"/>
          <w:kern w:val="0"/>
          <w:szCs w:val="32"/>
        </w:rPr>
        <w:t>台</w:t>
      </w:r>
      <w:r>
        <w:rPr>
          <w:rFonts w:hint="eastAsia" w:ascii="仿宋" w:hAnsi="仿宋" w:eastAsia="仿宋" w:cs="仿宋"/>
          <w:color w:val="000000"/>
          <w:szCs w:val="32"/>
        </w:rPr>
        <w:t>。</w:t>
      </w:r>
    </w:p>
    <w:p>
      <w:pPr>
        <w:spacing w:line="590" w:lineRule="exact"/>
        <w:ind w:firstLine="640" w:firstLineChars="200"/>
        <w:jc w:val="left"/>
        <w:rPr>
          <w:color w:val="000000"/>
          <w:szCs w:val="32"/>
        </w:rPr>
      </w:pPr>
      <w:r>
        <w:rPr>
          <w:rFonts w:hint="eastAsia" w:eastAsia="黑体" w:cs="黑体"/>
          <w:color w:val="000000"/>
          <w:szCs w:val="32"/>
        </w:rPr>
        <w:t>二、主要检验项目及检验项目属性划分</w:t>
      </w:r>
    </w:p>
    <w:tbl>
      <w:tblPr>
        <w:tblStyle w:val="4"/>
        <w:tblW w:w="50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1957"/>
        <w:gridCol w:w="3154"/>
        <w:gridCol w:w="666"/>
        <w:gridCol w:w="666"/>
        <w:gridCol w:w="668"/>
        <w:gridCol w:w="666"/>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blHeader/>
          <w:jc w:val="center"/>
        </w:trPr>
        <w:tc>
          <w:tcPr>
            <w:tcW w:w="384"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序号</w:t>
            </w:r>
          </w:p>
        </w:tc>
        <w:tc>
          <w:tcPr>
            <w:tcW w:w="1069"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检验项目</w:t>
            </w:r>
          </w:p>
        </w:tc>
        <w:tc>
          <w:tcPr>
            <w:tcW w:w="1723"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line="360" w:lineRule="exact"/>
              <w:jc w:val="center"/>
              <w:rPr>
                <w:rFonts w:hint="eastAsia" w:ascii="黑体" w:hAnsi="黑体" w:eastAsia="黑体" w:cs="黑体"/>
                <w:sz w:val="24"/>
                <w:szCs w:val="24"/>
              </w:rPr>
            </w:pPr>
            <w:r>
              <w:rPr>
                <w:rFonts w:hint="eastAsia" w:ascii="黑体" w:hAnsi="黑体" w:eastAsia="黑体" w:cs="黑体"/>
                <w:sz w:val="24"/>
                <w:szCs w:val="24"/>
              </w:rPr>
              <w:t>依据法律法规或标准</w:t>
            </w:r>
          </w:p>
        </w:tc>
        <w:tc>
          <w:tcPr>
            <w:tcW w:w="364"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line="360" w:lineRule="exact"/>
              <w:ind w:left="-64" w:leftChars="-20" w:right="-64" w:rightChars="-20"/>
              <w:jc w:val="center"/>
              <w:rPr>
                <w:rFonts w:hint="eastAsia" w:ascii="黑体" w:hAnsi="黑体" w:eastAsia="黑体" w:cs="黑体"/>
                <w:sz w:val="24"/>
                <w:szCs w:val="24"/>
              </w:rPr>
            </w:pPr>
            <w:r>
              <w:rPr>
                <w:rFonts w:hint="eastAsia" w:ascii="黑体" w:hAnsi="黑体" w:eastAsia="黑体" w:cs="黑体"/>
                <w:sz w:val="24"/>
                <w:szCs w:val="24"/>
              </w:rPr>
              <w:t>强制性</w:t>
            </w:r>
          </w:p>
        </w:tc>
        <w:tc>
          <w:tcPr>
            <w:tcW w:w="364"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line="360" w:lineRule="exact"/>
              <w:ind w:left="-64" w:leftChars="-20" w:right="-64" w:rightChars="-20"/>
              <w:jc w:val="center"/>
              <w:rPr>
                <w:rFonts w:hint="eastAsia" w:ascii="黑体" w:hAnsi="黑体" w:eastAsia="黑体" w:cs="黑体"/>
                <w:sz w:val="24"/>
                <w:szCs w:val="24"/>
              </w:rPr>
            </w:pPr>
            <w:r>
              <w:rPr>
                <w:rFonts w:hint="eastAsia" w:ascii="黑体" w:hAnsi="黑体" w:eastAsia="黑体" w:cs="黑体"/>
                <w:sz w:val="24"/>
                <w:szCs w:val="24"/>
              </w:rPr>
              <w:t>非强制性</w:t>
            </w:r>
          </w:p>
        </w:tc>
        <w:tc>
          <w:tcPr>
            <w:tcW w:w="365"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line="360" w:lineRule="exact"/>
              <w:ind w:left="-64" w:leftChars="-20" w:right="-64" w:rightChars="-20"/>
              <w:jc w:val="center"/>
              <w:rPr>
                <w:rFonts w:hint="eastAsia" w:ascii="黑体" w:hAnsi="黑体" w:eastAsia="黑体" w:cs="黑体"/>
                <w:sz w:val="24"/>
                <w:szCs w:val="24"/>
              </w:rPr>
            </w:pPr>
            <w:r>
              <w:rPr>
                <w:rFonts w:hint="eastAsia" w:ascii="黑体" w:hAnsi="黑体" w:eastAsia="黑体" w:cs="黑体"/>
                <w:sz w:val="24"/>
                <w:szCs w:val="24"/>
              </w:rPr>
              <w:t>重要项</w:t>
            </w:r>
          </w:p>
        </w:tc>
        <w:tc>
          <w:tcPr>
            <w:tcW w:w="364" w:type="pct"/>
            <w:tcBorders>
              <w:top w:val="single" w:color="auto" w:sz="4" w:space="0"/>
              <w:left w:val="single" w:color="auto" w:sz="4" w:space="0"/>
              <w:bottom w:val="single" w:color="auto" w:sz="4" w:space="0"/>
              <w:right w:val="single" w:color="auto" w:sz="4" w:space="0"/>
            </w:tcBorders>
            <w:shd w:val="clear" w:color="auto" w:fill="D8D8D8"/>
            <w:vAlign w:val="center"/>
          </w:tcPr>
          <w:p>
            <w:pPr>
              <w:adjustRightInd w:val="0"/>
              <w:snapToGrid w:val="0"/>
              <w:spacing w:line="360" w:lineRule="exact"/>
              <w:ind w:left="-64" w:leftChars="-20" w:right="-64" w:rightChars="-20"/>
              <w:jc w:val="center"/>
              <w:rPr>
                <w:rFonts w:hint="eastAsia" w:ascii="黑体" w:hAnsi="黑体" w:eastAsia="黑体" w:cs="黑体"/>
                <w:sz w:val="24"/>
                <w:szCs w:val="24"/>
              </w:rPr>
            </w:pPr>
            <w:r>
              <w:rPr>
                <w:rFonts w:hint="eastAsia" w:ascii="黑体" w:hAnsi="黑体" w:eastAsia="黑体" w:cs="黑体"/>
                <w:sz w:val="24"/>
                <w:szCs w:val="24"/>
              </w:rPr>
              <w:t>较重要项</w:t>
            </w:r>
          </w:p>
        </w:tc>
        <w:tc>
          <w:tcPr>
            <w:tcW w:w="365" w:type="pct"/>
            <w:tcBorders>
              <w:top w:val="single" w:color="auto" w:sz="4" w:space="0"/>
              <w:left w:val="single" w:color="auto" w:sz="4" w:space="0"/>
              <w:right w:val="single" w:color="auto" w:sz="4" w:space="0"/>
            </w:tcBorders>
            <w:shd w:val="clear" w:color="auto" w:fill="D8D8D8"/>
            <w:vAlign w:val="center"/>
          </w:tcPr>
          <w:p>
            <w:pPr>
              <w:adjustRightInd w:val="0"/>
              <w:snapToGrid w:val="0"/>
              <w:spacing w:line="360" w:lineRule="exact"/>
              <w:ind w:left="-64" w:leftChars="-20" w:right="-64" w:rightChars="-20"/>
              <w:jc w:val="center"/>
              <w:rPr>
                <w:rFonts w:hint="eastAsia" w:ascii="黑体" w:hAnsi="黑体" w:eastAsia="黑体" w:cs="黑体"/>
                <w:sz w:val="24"/>
                <w:szCs w:val="24"/>
              </w:rPr>
            </w:pPr>
            <w:r>
              <w:rPr>
                <w:rFonts w:hint="eastAsia" w:ascii="黑体" w:hAnsi="黑体" w:eastAsia="黑体" w:cs="黑体"/>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1</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标志检查</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33002-2018条款8.1</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p>
        </w:tc>
        <w:tc>
          <w:tcPr>
            <w:tcW w:w="365"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2</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基本构成检查</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33002-2018条款4</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3</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机械开关设备检查</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33002-2018条款7.13</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4</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防盗措施检查</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33002-2018条款7.3.4</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5</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防盗措施检查</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33002-2018条款7.3.5</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6</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输出短路保护试验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33002-2018条款7.7.1</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7</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过温保护试验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33002-2018条款7.7.2</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8</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急停保护试验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33002-2018条款7.7.4</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9</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接触器粘连监测试验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33002-2018条款7.7.8</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10</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接触电流试验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33002-2018条款7.7.10</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11</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漏电保护试验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33002-2018条款7.7.11</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12</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直接接触防护试验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33002-2018条款7.5.2</w:t>
            </w:r>
          </w:p>
        </w:tc>
        <w:tc>
          <w:tcPr>
            <w:tcW w:w="364" w:type="pct"/>
            <w:vAlign w:val="center"/>
          </w:tcPr>
          <w:p>
            <w:pPr>
              <w:widowControl/>
              <w:snapToGrid w:val="0"/>
              <w:jc w:val="center"/>
              <w:rPr>
                <w:rFonts w:hint="eastAsia" w:ascii="仿宋" w:hAnsi="仿宋" w:eastAsia="仿宋" w:cs="仿宋"/>
                <w:color w:val="FF0000"/>
                <w:sz w:val="24"/>
                <w:szCs w:val="24"/>
              </w:rPr>
            </w:pPr>
          </w:p>
        </w:tc>
        <w:tc>
          <w:tcPr>
            <w:tcW w:w="364" w:type="pct"/>
            <w:vAlign w:val="center"/>
          </w:tcPr>
          <w:p>
            <w:pPr>
              <w:widowControl/>
              <w:snapToGrid w:val="0"/>
              <w:jc w:val="center"/>
              <w:rPr>
                <w:rFonts w:hint="eastAsia" w:ascii="仿宋" w:hAnsi="仿宋" w:eastAsia="仿宋" w:cs="仿宋"/>
                <w:color w:val="FF0000"/>
                <w:sz w:val="24"/>
                <w:szCs w:val="24"/>
              </w:rPr>
            </w:pPr>
            <w:r>
              <w:rPr>
                <w:rFonts w:hint="eastAsia" w:ascii="仿宋" w:hAnsi="仿宋" w:eastAsia="仿宋" w:cs="仿宋"/>
                <w:sz w:val="24"/>
                <w:szCs w:val="24"/>
              </w:rPr>
              <w:t>●</w:t>
            </w:r>
          </w:p>
        </w:tc>
        <w:tc>
          <w:tcPr>
            <w:tcW w:w="365" w:type="pct"/>
            <w:vAlign w:val="center"/>
          </w:tcPr>
          <w:p>
            <w:pPr>
              <w:widowControl/>
              <w:snapToGrid w:val="0"/>
              <w:jc w:val="center"/>
              <w:rPr>
                <w:rFonts w:hint="eastAsia" w:ascii="仿宋" w:hAnsi="仿宋" w:eastAsia="仿宋" w:cs="仿宋"/>
                <w:color w:val="FF0000"/>
                <w:sz w:val="24"/>
                <w:szCs w:val="24"/>
              </w:rPr>
            </w:pPr>
          </w:p>
        </w:tc>
        <w:tc>
          <w:tcPr>
            <w:tcW w:w="364" w:type="pct"/>
            <w:vAlign w:val="center"/>
          </w:tcPr>
          <w:p>
            <w:pPr>
              <w:widowControl/>
              <w:snapToGrid w:val="0"/>
              <w:jc w:val="center"/>
              <w:rPr>
                <w:rFonts w:hint="eastAsia" w:ascii="仿宋" w:hAnsi="仿宋" w:eastAsia="仿宋" w:cs="仿宋"/>
                <w:color w:val="FF0000"/>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13</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开门保护试验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33002-2018条款7.5.2</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14</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动力电源输入失电试验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33002-2018条款7.5.2</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15</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电气间隙与爬电距离试验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33002-2018条款7.5.3</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16</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绝缘电阻试验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33002-2018条款7.6.1</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4" w:type="pct"/>
            <w:vAlign w:val="center"/>
          </w:tcPr>
          <w:p>
            <w:pPr>
              <w:snapToGrid w:val="0"/>
              <w:jc w:val="center"/>
              <w:rPr>
                <w:rFonts w:hint="eastAsia" w:ascii="仿宋" w:hAnsi="仿宋" w:eastAsia="仿宋" w:cs="仿宋"/>
                <w:sz w:val="24"/>
                <w:szCs w:val="24"/>
              </w:rPr>
            </w:pP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17</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介电强度试验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33002-2018条款7.6.2</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4" w:type="pct"/>
            <w:vAlign w:val="center"/>
          </w:tcPr>
          <w:p>
            <w:pPr>
              <w:snapToGrid w:val="0"/>
              <w:jc w:val="center"/>
              <w:rPr>
                <w:rFonts w:hint="eastAsia" w:ascii="仿宋" w:hAnsi="仿宋" w:eastAsia="仿宋" w:cs="仿宋"/>
                <w:sz w:val="24"/>
                <w:szCs w:val="24"/>
              </w:rPr>
            </w:pP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18</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冲击耐压试验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33002-2018条款7.6.3</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4" w:type="pct"/>
            <w:vAlign w:val="center"/>
          </w:tcPr>
          <w:p>
            <w:pPr>
              <w:snapToGrid w:val="0"/>
              <w:jc w:val="center"/>
              <w:rPr>
                <w:rFonts w:hint="eastAsia" w:ascii="仿宋" w:hAnsi="仿宋" w:eastAsia="仿宋" w:cs="仿宋"/>
                <w:sz w:val="24"/>
                <w:szCs w:val="24"/>
              </w:rPr>
            </w:pP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19</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接地试验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33002-2018条款7.5.4</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4" w:type="pct"/>
            <w:vAlign w:val="center"/>
          </w:tcPr>
          <w:p>
            <w:pPr>
              <w:snapToGrid w:val="0"/>
              <w:jc w:val="center"/>
              <w:rPr>
                <w:rFonts w:hint="eastAsia" w:ascii="仿宋" w:hAnsi="仿宋" w:eastAsia="仿宋" w:cs="仿宋"/>
                <w:sz w:val="24"/>
                <w:szCs w:val="24"/>
              </w:rPr>
            </w:pP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20</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充电控制状态试验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33002-2018条款6.1、7.8、7.9</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21</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充电连接控制时序试验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33002-2018条款6.1、7.8、7.9</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22</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控制导引电压限值试验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33002-2018条款6.1、7.8、7.9</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23</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保护接地连续性试验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33002-2018条款7.7.5</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24</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控制导引信号异常试验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33002-2018条款7.7.6</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25</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断开开关S2再闭合试验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33002-2018条款7.7.6</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84" w:type="pct"/>
            <w:vAlign w:val="center"/>
          </w:tcPr>
          <w:p>
            <w:pPr>
              <w:tabs>
                <w:tab w:val="left" w:pos="2520"/>
              </w:tabs>
              <w:jc w:val="center"/>
              <w:rPr>
                <w:rFonts w:hint="eastAsia" w:ascii="仿宋" w:hAnsi="仿宋" w:eastAsia="仿宋" w:cs="仿宋"/>
                <w:sz w:val="24"/>
                <w:szCs w:val="24"/>
              </w:rPr>
            </w:pPr>
            <w:r>
              <w:rPr>
                <w:rFonts w:hint="eastAsia" w:ascii="仿宋" w:hAnsi="仿宋" w:eastAsia="仿宋" w:cs="仿宋"/>
                <w:sz w:val="24"/>
                <w:szCs w:val="24"/>
              </w:rPr>
              <w:t>26</w:t>
            </w:r>
          </w:p>
        </w:tc>
        <w:tc>
          <w:tcPr>
            <w:tcW w:w="1069"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过流试验</w:t>
            </w:r>
          </w:p>
        </w:tc>
        <w:tc>
          <w:tcPr>
            <w:tcW w:w="1723" w:type="pct"/>
            <w:vAlign w:val="center"/>
          </w:tcPr>
          <w:p>
            <w:pPr>
              <w:snapToGrid w:val="0"/>
              <w:jc w:val="center"/>
              <w:rPr>
                <w:rFonts w:hint="eastAsia" w:ascii="仿宋" w:hAnsi="仿宋" w:eastAsia="仿宋" w:cs="仿宋"/>
                <w:color w:val="000000"/>
                <w:sz w:val="24"/>
                <w:szCs w:val="24"/>
              </w:rPr>
            </w:pPr>
            <w:r>
              <w:rPr>
                <w:rFonts w:hint="eastAsia" w:ascii="仿宋" w:hAnsi="仿宋" w:eastAsia="仿宋" w:cs="仿宋"/>
                <w:color w:val="000000"/>
                <w:sz w:val="24"/>
                <w:szCs w:val="24"/>
              </w:rPr>
              <w:t>NB/T 33302-2018条款7.7.7</w:t>
            </w:r>
          </w:p>
        </w:tc>
        <w:tc>
          <w:tcPr>
            <w:tcW w:w="364"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c>
          <w:tcPr>
            <w:tcW w:w="364" w:type="pct"/>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365" w:type="pct"/>
            <w:vAlign w:val="center"/>
          </w:tcPr>
          <w:p>
            <w:pPr>
              <w:adjustRightInd w:val="0"/>
              <w:snapToGrid w:val="0"/>
              <w:jc w:val="center"/>
              <w:rPr>
                <w:rFonts w:hint="eastAsia" w:ascii="仿宋" w:hAnsi="仿宋" w:eastAsia="仿宋" w:cs="仿宋"/>
                <w:sz w:val="24"/>
                <w:szCs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eastAsia="仿宋"/>
          <w:color w:val="000000"/>
          <w:sz w:val="30"/>
          <w:szCs w:val="30"/>
        </w:rPr>
      </w:pPr>
      <w:r>
        <w:rPr>
          <w:rFonts w:eastAsia="仿宋"/>
          <w:color w:val="000000"/>
          <w:sz w:val="30"/>
          <w:szCs w:val="30"/>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eastAsia="仿宋"/>
          <w:color w:val="000000"/>
          <w:sz w:val="30"/>
          <w:szCs w:val="30"/>
        </w:rPr>
      </w:pPr>
      <w:r>
        <w:rPr>
          <w:rFonts w:eastAsia="仿宋"/>
          <w:color w:val="000000"/>
          <w:sz w:val="30"/>
          <w:szCs w:val="30"/>
        </w:rPr>
        <w:t>凡是注日期的文件，其随后所有的修改单（不包括勘误的内容）或修订版不适用于本细则。凡是不注日期的文件，其最新版本适用于本细则。</w:t>
      </w:r>
    </w:p>
    <w:p>
      <w:pPr>
        <w:spacing w:line="600" w:lineRule="exact"/>
        <w:ind w:firstLine="640" w:firstLineChars="200"/>
        <w:jc w:val="left"/>
        <w:rPr>
          <w:rFonts w:eastAsia="黑体" w:cs="黑体"/>
          <w:szCs w:val="32"/>
        </w:rPr>
      </w:pPr>
      <w:r>
        <w:rPr>
          <w:rFonts w:hint="eastAsia" w:eastAsia="黑体" w:cs="黑体"/>
          <w:szCs w:val="32"/>
        </w:rPr>
        <w:t>三、判定规则</w:t>
      </w:r>
    </w:p>
    <w:p>
      <w:pPr>
        <w:spacing w:line="590" w:lineRule="exact"/>
        <w:ind w:firstLine="624" w:firstLineChars="200"/>
        <w:jc w:val="left"/>
        <w:rPr>
          <w:rFonts w:hint="eastAsia" w:ascii="楷体_GB2312" w:hAnsi="楷体_GB2312" w:eastAsia="楷体_GB2312" w:cs="楷体_GB2312"/>
          <w:color w:val="000000"/>
          <w:spacing w:val="-4"/>
          <w:szCs w:val="32"/>
        </w:rPr>
      </w:pPr>
      <w:r>
        <w:rPr>
          <w:rFonts w:hint="eastAsia" w:ascii="楷体_GB2312" w:hAnsi="楷体_GB2312" w:eastAsia="楷体_GB2312" w:cs="楷体_GB2312"/>
          <w:color w:val="000000"/>
          <w:spacing w:val="-4"/>
          <w:szCs w:val="32"/>
        </w:rPr>
        <w:t>（一）依据标准</w:t>
      </w:r>
    </w:p>
    <w:p>
      <w:pPr>
        <w:spacing w:line="520" w:lineRule="exact"/>
        <w:ind w:firstLine="640" w:firstLineChars="200"/>
        <w:jc w:val="left"/>
        <w:rPr>
          <w:rFonts w:hint="eastAsia" w:ascii="仿宋" w:hAnsi="仿宋" w:eastAsia="仿宋" w:cs="仿宋"/>
          <w:szCs w:val="32"/>
        </w:rPr>
      </w:pPr>
      <w:r>
        <w:rPr>
          <w:rFonts w:hint="eastAsia" w:ascii="仿宋" w:hAnsi="仿宋" w:eastAsia="仿宋" w:cs="仿宋"/>
          <w:szCs w:val="32"/>
        </w:rPr>
        <w:t>NB/T 33002-2018《电动汽车交流充电桩技术条件》</w:t>
      </w:r>
    </w:p>
    <w:p>
      <w:pPr>
        <w:spacing w:line="590" w:lineRule="exact"/>
        <w:ind w:firstLine="640" w:firstLineChars="200"/>
        <w:jc w:val="left"/>
        <w:rPr>
          <w:rFonts w:hint="eastAsia" w:ascii="仿宋" w:hAnsi="仿宋" w:eastAsia="仿宋" w:cs="仿宋"/>
        </w:rPr>
      </w:pPr>
      <w:r>
        <w:rPr>
          <w:rFonts w:hint="eastAsia" w:ascii="仿宋" w:hAnsi="仿宋" w:eastAsia="仿宋" w:cs="仿宋"/>
        </w:rPr>
        <w:t>现行有效的企业标准、团体标准、地方标准及产品明示质量要求。</w:t>
      </w:r>
    </w:p>
    <w:p>
      <w:pPr>
        <w:spacing w:line="590" w:lineRule="exact"/>
        <w:ind w:firstLine="624" w:firstLineChars="200"/>
        <w:jc w:val="left"/>
        <w:rPr>
          <w:rFonts w:hint="eastAsia" w:ascii="楷体_GB2312" w:hAnsi="楷体_GB2312" w:eastAsia="楷体_GB2312" w:cs="楷体_GB2312"/>
          <w:color w:val="000000"/>
          <w:spacing w:val="-4"/>
          <w:szCs w:val="32"/>
        </w:rPr>
      </w:pPr>
      <w:r>
        <w:rPr>
          <w:rFonts w:hint="eastAsia" w:ascii="楷体_GB2312" w:hAnsi="楷体_GB2312" w:eastAsia="楷体_GB2312" w:cs="楷体_GB2312"/>
          <w:color w:val="000000"/>
          <w:spacing w:val="-4"/>
          <w:szCs w:val="32"/>
        </w:rPr>
        <w:t>（二）判定原则</w:t>
      </w:r>
    </w:p>
    <w:p>
      <w:pPr>
        <w:spacing w:line="59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经检验，检验项目全部合格，判定为抽取的样本所检项目未检出不合格；检验项目中任一项或一项以上不合格，判定为被抽查产品不合格。</w:t>
      </w:r>
    </w:p>
    <w:p>
      <w:pPr>
        <w:spacing w:line="59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spacing w:line="590" w:lineRule="exact"/>
        <w:ind w:firstLine="640" w:firstLineChars="200"/>
        <w:jc w:val="left"/>
        <w:rPr>
          <w:rFonts w:hint="eastAsia" w:ascii="仿宋" w:hAnsi="仿宋" w:eastAsia="仿宋" w:cs="仿宋"/>
          <w:kern w:val="0"/>
          <w:szCs w:val="32"/>
        </w:rPr>
      </w:pPr>
      <w:bookmarkStart w:id="0" w:name="_GoBack"/>
      <w:bookmarkEnd w:id="0"/>
      <w:r>
        <w:rPr>
          <w:rFonts w:hint="eastAsia" w:ascii="仿宋" w:hAnsi="仿宋" w:eastAsia="仿宋" w:cs="仿宋"/>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spacing w:line="59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当被检样品明示的质量要求不包含监督抽查实施细则中依据的推荐性标准要求时，该指标不参与判定，但应在检验报告中作出说明；</w:t>
      </w:r>
    </w:p>
    <w:p>
      <w:pPr>
        <w:spacing w:line="59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当被检样品未能提供有效的企业标准时，按相关国家或行业标准进行判定；</w:t>
      </w:r>
    </w:p>
    <w:p>
      <w:pPr>
        <w:spacing w:line="59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spacing w:line="590"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spacing w:line="590" w:lineRule="exact"/>
        <w:ind w:firstLine="640" w:firstLineChars="200"/>
        <w:jc w:val="left"/>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1DCF"/>
    <w:rsid w:val="0009349D"/>
    <w:rsid w:val="000A16A3"/>
    <w:rsid w:val="000B206E"/>
    <w:rsid w:val="000B4CC6"/>
    <w:rsid w:val="000C0A23"/>
    <w:rsid w:val="000C0E00"/>
    <w:rsid w:val="000C0EF8"/>
    <w:rsid w:val="000C0FCF"/>
    <w:rsid w:val="000C1357"/>
    <w:rsid w:val="000C242E"/>
    <w:rsid w:val="000C2466"/>
    <w:rsid w:val="000C2BB3"/>
    <w:rsid w:val="000D016E"/>
    <w:rsid w:val="000D07A8"/>
    <w:rsid w:val="000D1DB6"/>
    <w:rsid w:val="000D51C0"/>
    <w:rsid w:val="000D765A"/>
    <w:rsid w:val="000D7A3F"/>
    <w:rsid w:val="000E2EDF"/>
    <w:rsid w:val="0010044B"/>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75B8A"/>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362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DC2"/>
    <w:rsid w:val="003257CC"/>
    <w:rsid w:val="00331E2F"/>
    <w:rsid w:val="00342025"/>
    <w:rsid w:val="00342B64"/>
    <w:rsid w:val="00347461"/>
    <w:rsid w:val="00352CEF"/>
    <w:rsid w:val="00357BCA"/>
    <w:rsid w:val="00360DB7"/>
    <w:rsid w:val="003622FD"/>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698"/>
    <w:rsid w:val="003F39F5"/>
    <w:rsid w:val="00411367"/>
    <w:rsid w:val="004144DA"/>
    <w:rsid w:val="00423F5A"/>
    <w:rsid w:val="00431EDB"/>
    <w:rsid w:val="0044553D"/>
    <w:rsid w:val="004464C0"/>
    <w:rsid w:val="00463941"/>
    <w:rsid w:val="004649FC"/>
    <w:rsid w:val="004749A8"/>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0318"/>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D5D"/>
    <w:rsid w:val="00A62ECE"/>
    <w:rsid w:val="00A80EA2"/>
    <w:rsid w:val="00A85FFB"/>
    <w:rsid w:val="00A90A7A"/>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4BF5"/>
    <w:rsid w:val="00BC333C"/>
    <w:rsid w:val="00BC351D"/>
    <w:rsid w:val="00BD0C33"/>
    <w:rsid w:val="00BD12B3"/>
    <w:rsid w:val="00BE3BFF"/>
    <w:rsid w:val="00BF15F4"/>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173B"/>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41E6B"/>
    <w:rsid w:val="00E43544"/>
    <w:rsid w:val="00E44C75"/>
    <w:rsid w:val="00E454F0"/>
    <w:rsid w:val="00E55F0E"/>
    <w:rsid w:val="00E56533"/>
    <w:rsid w:val="00E5688B"/>
    <w:rsid w:val="00E609FC"/>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5589"/>
    <w:rsid w:val="00F16768"/>
    <w:rsid w:val="00F21AC6"/>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A27"/>
    <w:rsid w:val="00F96542"/>
    <w:rsid w:val="00FA3326"/>
    <w:rsid w:val="00FA4329"/>
    <w:rsid w:val="00FA5D05"/>
    <w:rsid w:val="00FB2698"/>
    <w:rsid w:val="00FB466B"/>
    <w:rsid w:val="00FC0BE1"/>
    <w:rsid w:val="00FC4942"/>
    <w:rsid w:val="00FD6C34"/>
    <w:rsid w:val="00FE3526"/>
    <w:rsid w:val="00FF317F"/>
    <w:rsid w:val="00FF59F8"/>
    <w:rsid w:val="1FDF0040"/>
    <w:rsid w:val="20B92A36"/>
    <w:rsid w:val="614C6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0"/>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302</Words>
  <Characters>1727</Characters>
  <Lines>14</Lines>
  <Paragraphs>4</Paragraphs>
  <TotalTime>21</TotalTime>
  <ScaleCrop>false</ScaleCrop>
  <LinksUpToDate>false</LinksUpToDate>
  <CharactersWithSpaces>2025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2022-02-28T11:30:00Z</dcterms:created>
  <dc:creator>微软用户</dc:creator>
  <cp:lastModifiedBy>刘赞</cp:lastModifiedBy>
  <dcterms:modified xsi:type="dcterms:W3CDTF">2023-05-10T09:36:37Z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EA568D9123664FA8B59BF3E0A51E2F58</vt:lpwstr>
  </property>
</Properties>
</file>