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eastAsia="方正小标宋简体" w:cs="方正小标宋简体"/>
          <w:bCs/>
          <w:color w:val="000000"/>
          <w:sz w:val="44"/>
          <w:szCs w:val="44"/>
          <w:highlight w:val="none"/>
        </w:rPr>
      </w:pPr>
      <w:r>
        <w:rPr>
          <w:rFonts w:hint="eastAsia" w:eastAsia="方正小标宋简体" w:cs="方正小标宋简体"/>
          <w:bCs/>
          <w:color w:val="000000"/>
          <w:sz w:val="44"/>
          <w:szCs w:val="44"/>
          <w:highlight w:val="none"/>
        </w:rPr>
        <w:t>珠海市</w:t>
      </w:r>
      <w:r>
        <w:rPr>
          <w:rFonts w:hint="eastAsia" w:eastAsia="方正小标宋简体" w:cs="方正小标宋简体"/>
          <w:bCs/>
          <w:color w:val="000000"/>
          <w:sz w:val="44"/>
          <w:szCs w:val="44"/>
          <w:highlight w:val="none"/>
          <w:lang w:eastAsia="zh-CN"/>
        </w:rPr>
        <w:t>电动</w:t>
      </w:r>
      <w:r>
        <w:rPr>
          <w:rFonts w:hint="eastAsia" w:eastAsia="方正小标宋简体" w:cs="方正小标宋简体"/>
          <w:bCs/>
          <w:color w:val="000000"/>
          <w:sz w:val="44"/>
          <w:szCs w:val="44"/>
          <w:highlight w:val="none"/>
        </w:rPr>
        <w:t>自行车</w:t>
      </w:r>
      <w:r>
        <w:rPr>
          <w:rFonts w:hint="eastAsia" w:eastAsia="方正小标宋简体" w:cs="方正小标宋简体"/>
          <w:bCs/>
          <w:color w:val="000000"/>
          <w:sz w:val="44"/>
          <w:szCs w:val="44"/>
          <w:highlight w:val="none"/>
          <w:lang w:eastAsia="zh-CN"/>
        </w:rPr>
        <w:t>、电动</w:t>
      </w:r>
      <w:r>
        <w:rPr>
          <w:rFonts w:hint="eastAsia" w:eastAsia="方正小标宋简体" w:cs="方正小标宋简体"/>
          <w:bCs/>
          <w:color w:val="000000"/>
          <w:sz w:val="44"/>
          <w:szCs w:val="44"/>
          <w:highlight w:val="none"/>
        </w:rPr>
        <w:t>自行车</w:t>
      </w:r>
      <w:r>
        <w:rPr>
          <w:rFonts w:hint="eastAsia" w:eastAsia="方正小标宋简体" w:cs="方正小标宋简体"/>
          <w:bCs/>
          <w:color w:val="000000"/>
          <w:sz w:val="44"/>
          <w:szCs w:val="44"/>
          <w:highlight w:val="none"/>
          <w:lang w:eastAsia="zh-CN"/>
        </w:rPr>
        <w:t>充电器、电动</w:t>
      </w:r>
      <w:r>
        <w:rPr>
          <w:rFonts w:hint="eastAsia" w:eastAsia="方正小标宋简体" w:cs="方正小标宋简体"/>
          <w:bCs/>
          <w:color w:val="000000"/>
          <w:sz w:val="44"/>
          <w:szCs w:val="44"/>
          <w:highlight w:val="none"/>
        </w:rPr>
        <w:t>自行车</w:t>
      </w:r>
      <w:r>
        <w:rPr>
          <w:rFonts w:hint="eastAsia" w:eastAsia="方正小标宋简体" w:cs="方正小标宋简体"/>
          <w:bCs/>
          <w:color w:val="000000"/>
          <w:sz w:val="44"/>
          <w:szCs w:val="44"/>
          <w:highlight w:val="none"/>
          <w:lang w:eastAsia="zh-CN"/>
        </w:rPr>
        <w:t>电池</w:t>
      </w:r>
      <w:r>
        <w:rPr>
          <w:rFonts w:hint="eastAsia" w:eastAsia="方正小标宋简体" w:cs="方正小标宋简体"/>
          <w:bCs/>
          <w:color w:val="000000"/>
          <w:sz w:val="44"/>
          <w:szCs w:val="44"/>
          <w:highlight w:val="none"/>
        </w:rPr>
        <w:t>产品质量监督抽查实施细则</w:t>
      </w:r>
    </w:p>
    <w:p>
      <w:pPr>
        <w:keepNext w:val="0"/>
        <w:keepLines w:val="0"/>
        <w:pageBreakBefore w:val="0"/>
        <w:widowControl w:val="0"/>
        <w:kinsoku/>
        <w:wordWrap/>
        <w:overflowPunct/>
        <w:topLinePunct w:val="0"/>
        <w:autoSpaceDE/>
        <w:autoSpaceDN/>
        <w:bidi w:val="0"/>
        <w:adjustRightInd/>
        <w:snapToGrid/>
        <w:spacing w:before="313" w:beforeLines="100" w:line="580" w:lineRule="exact"/>
        <w:ind w:firstLine="640" w:firstLineChars="200"/>
        <w:jc w:val="left"/>
        <w:textAlignment w:val="auto"/>
        <w:rPr>
          <w:rFonts w:eastAsia="黑体"/>
          <w:szCs w:val="32"/>
          <w:highlight w:val="none"/>
        </w:rPr>
      </w:pPr>
      <w:r>
        <w:rPr>
          <w:rFonts w:eastAsia="黑体"/>
          <w:szCs w:val="32"/>
          <w:highlight w:val="none"/>
        </w:rPr>
        <w:t>一、抽样方法</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szCs w:val="32"/>
          <w:highlight w:val="none"/>
        </w:rPr>
      </w:pPr>
      <w:r>
        <w:rPr>
          <w:rFonts w:hint="eastAsia" w:ascii="仿宋" w:hAnsi="仿宋" w:eastAsia="仿宋" w:cs="仿宋"/>
          <w:kern w:val="0"/>
          <w:szCs w:val="32"/>
          <w:highlight w:val="none"/>
        </w:rPr>
        <w:t>以随机抽样的方式在被抽查市场主体的待销产品中抽取。</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szCs w:val="32"/>
          <w:highlight w:val="none"/>
        </w:rPr>
      </w:pPr>
      <w:r>
        <w:rPr>
          <w:rFonts w:hint="eastAsia" w:ascii="仿宋" w:hAnsi="仿宋" w:eastAsia="仿宋" w:cs="仿宋"/>
          <w:kern w:val="0"/>
          <w:szCs w:val="32"/>
          <w:highlight w:val="none"/>
        </w:rPr>
        <w:t>随机数一般可使用随机数表等方法产生。</w:t>
      </w:r>
    </w:p>
    <w:p>
      <w:pPr>
        <w:keepNext w:val="0"/>
        <w:keepLines w:val="0"/>
        <w:pageBreakBefore w:val="0"/>
        <w:kinsoku/>
        <w:wordWrap/>
        <w:overflowPunct/>
        <w:topLinePunct w:val="0"/>
        <w:autoSpaceDE/>
        <w:autoSpaceDN/>
        <w:bidi w:val="0"/>
        <w:adjustRightInd/>
        <w:snapToGrid/>
        <w:spacing w:line="580" w:lineRule="exact"/>
        <w:ind w:firstLine="640" w:firstLineChars="200"/>
        <w:jc w:val="left"/>
        <w:textAlignment w:val="auto"/>
        <w:rPr>
          <w:rFonts w:ascii="仿宋" w:hAnsi="仿宋" w:eastAsia="仿宋"/>
          <w:color w:val="000000"/>
          <w:szCs w:val="32"/>
          <w:highlight w:val="none"/>
        </w:rPr>
      </w:pPr>
      <w:r>
        <w:rPr>
          <w:rFonts w:hint="eastAsia" w:ascii="仿宋" w:hAnsi="仿宋" w:eastAsia="仿宋" w:cs="仿宋"/>
          <w:szCs w:val="32"/>
          <w:highlight w:val="none"/>
        </w:rPr>
        <w:t>抽查数量：</w:t>
      </w:r>
      <w:r>
        <w:rPr>
          <w:rFonts w:hint="eastAsia" w:ascii="仿宋" w:hAnsi="仿宋" w:eastAsia="仿宋" w:cs="仿宋"/>
          <w:color w:val="000000"/>
          <w:szCs w:val="32"/>
          <w:highlight w:val="none"/>
        </w:rPr>
        <w:t>每款产品抽取2组样本，第1组用于检验，第2组用于备样。每组样本需抽取样品数量如下表所示：</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
        <w:gridCol w:w="3106"/>
        <w:gridCol w:w="2541"/>
        <w:gridCol w:w="2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485" w:type="pct"/>
            <w:shd w:val="clear" w:color="auto" w:fill="auto"/>
            <w:vAlign w:val="center"/>
          </w:tcPr>
          <w:p>
            <w:pPr>
              <w:adjustRightInd w:val="0"/>
              <w:snapToGrid w:val="0"/>
              <w:spacing w:line="360" w:lineRule="exact"/>
              <w:jc w:val="center"/>
              <w:rPr>
                <w:rFonts w:hint="eastAsia" w:ascii="黑体" w:hAnsi="黑体" w:eastAsia="黑体" w:cs="黑体"/>
                <w:sz w:val="24"/>
                <w:szCs w:val="24"/>
                <w:highlight w:val="none"/>
              </w:rPr>
            </w:pPr>
            <w:r>
              <w:rPr>
                <w:rFonts w:hint="eastAsia" w:ascii="黑体" w:hAnsi="黑体" w:eastAsia="黑体" w:cs="黑体"/>
                <w:sz w:val="24"/>
                <w:szCs w:val="24"/>
                <w:highlight w:val="none"/>
              </w:rPr>
              <w:t>序号</w:t>
            </w:r>
          </w:p>
        </w:tc>
        <w:tc>
          <w:tcPr>
            <w:tcW w:w="1714" w:type="pct"/>
            <w:shd w:val="clear" w:color="auto" w:fill="auto"/>
            <w:vAlign w:val="center"/>
          </w:tcPr>
          <w:p>
            <w:pPr>
              <w:adjustRightInd w:val="0"/>
              <w:snapToGrid w:val="0"/>
              <w:spacing w:line="360" w:lineRule="exact"/>
              <w:jc w:val="center"/>
              <w:rPr>
                <w:rFonts w:hint="eastAsia" w:ascii="黑体" w:hAnsi="黑体" w:eastAsia="黑体" w:cs="黑体"/>
                <w:sz w:val="24"/>
                <w:szCs w:val="24"/>
                <w:highlight w:val="none"/>
              </w:rPr>
            </w:pPr>
            <w:r>
              <w:rPr>
                <w:rFonts w:hint="eastAsia" w:ascii="黑体" w:hAnsi="黑体" w:eastAsia="黑体" w:cs="黑体"/>
                <w:sz w:val="24"/>
                <w:szCs w:val="24"/>
                <w:highlight w:val="none"/>
              </w:rPr>
              <w:t>产品名称</w:t>
            </w:r>
          </w:p>
        </w:tc>
        <w:tc>
          <w:tcPr>
            <w:tcW w:w="1402" w:type="pct"/>
            <w:shd w:val="clear" w:color="auto" w:fill="auto"/>
            <w:vAlign w:val="center"/>
          </w:tcPr>
          <w:p>
            <w:pPr>
              <w:adjustRightInd w:val="0"/>
              <w:snapToGrid w:val="0"/>
              <w:spacing w:line="360" w:lineRule="exact"/>
              <w:jc w:val="center"/>
              <w:rPr>
                <w:rFonts w:hint="eastAsia" w:ascii="黑体" w:hAnsi="黑体" w:eastAsia="黑体" w:cs="黑体"/>
                <w:sz w:val="24"/>
                <w:szCs w:val="24"/>
                <w:highlight w:val="none"/>
              </w:rPr>
            </w:pPr>
            <w:r>
              <w:rPr>
                <w:rFonts w:hint="eastAsia" w:ascii="黑体" w:hAnsi="黑体" w:eastAsia="黑体" w:cs="黑体"/>
                <w:sz w:val="24"/>
                <w:szCs w:val="24"/>
                <w:highlight w:val="none"/>
              </w:rPr>
              <w:t>第1组数量</w:t>
            </w:r>
          </w:p>
        </w:tc>
        <w:tc>
          <w:tcPr>
            <w:tcW w:w="1397" w:type="pct"/>
            <w:shd w:val="clear" w:color="auto" w:fill="auto"/>
            <w:vAlign w:val="center"/>
          </w:tcPr>
          <w:p>
            <w:pPr>
              <w:adjustRightInd w:val="0"/>
              <w:snapToGrid w:val="0"/>
              <w:spacing w:line="360" w:lineRule="exact"/>
              <w:jc w:val="center"/>
              <w:rPr>
                <w:rFonts w:hint="eastAsia" w:ascii="黑体" w:hAnsi="黑体" w:eastAsia="黑体" w:cs="黑体"/>
                <w:sz w:val="24"/>
                <w:szCs w:val="24"/>
                <w:highlight w:val="none"/>
              </w:rPr>
            </w:pPr>
            <w:r>
              <w:rPr>
                <w:rFonts w:hint="eastAsia" w:ascii="黑体" w:hAnsi="黑体" w:eastAsia="黑体" w:cs="黑体"/>
                <w:sz w:val="24"/>
                <w:szCs w:val="24"/>
                <w:highlight w:val="none"/>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5" w:type="pct"/>
            <w:vAlign w:val="center"/>
          </w:tcPr>
          <w:p>
            <w:pPr>
              <w:adjustRightInd w:val="0"/>
              <w:snapToGrid w:val="0"/>
              <w:spacing w:line="3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1714" w:type="pct"/>
            <w:vAlign w:val="center"/>
          </w:tcPr>
          <w:p>
            <w:pPr>
              <w:adjustRightInd w:val="0"/>
              <w:snapToGrid w:val="0"/>
              <w:spacing w:line="3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电动自行车（整车抽样应带电池和充电器）</w:t>
            </w:r>
          </w:p>
        </w:tc>
        <w:tc>
          <w:tcPr>
            <w:tcW w:w="1402" w:type="pct"/>
            <w:vAlign w:val="center"/>
          </w:tcPr>
          <w:p>
            <w:pPr>
              <w:adjustRightInd w:val="0"/>
              <w:snapToGrid w:val="0"/>
              <w:spacing w:line="3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1辆</w:t>
            </w:r>
          </w:p>
        </w:tc>
        <w:tc>
          <w:tcPr>
            <w:tcW w:w="1397" w:type="pct"/>
            <w:vAlign w:val="center"/>
          </w:tcPr>
          <w:p>
            <w:pPr>
              <w:adjustRightInd w:val="0"/>
              <w:snapToGrid w:val="0"/>
              <w:spacing w:line="3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485" w:type="pct"/>
            <w:vAlign w:val="center"/>
          </w:tcPr>
          <w:p>
            <w:pPr>
              <w:adjustRightInd w:val="0"/>
              <w:snapToGrid w:val="0"/>
              <w:spacing w:line="3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1714" w:type="pct"/>
            <w:vAlign w:val="center"/>
          </w:tcPr>
          <w:p>
            <w:pPr>
              <w:adjustRightInd w:val="0"/>
              <w:snapToGrid w:val="0"/>
              <w:spacing w:line="3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电动自行车电池</w:t>
            </w:r>
          </w:p>
        </w:tc>
        <w:tc>
          <w:tcPr>
            <w:tcW w:w="1402" w:type="pct"/>
            <w:vAlign w:val="center"/>
          </w:tcPr>
          <w:p>
            <w:pPr>
              <w:adjustRightInd w:val="0"/>
              <w:snapToGrid w:val="0"/>
              <w:spacing w:line="3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个</w:t>
            </w:r>
          </w:p>
        </w:tc>
        <w:tc>
          <w:tcPr>
            <w:tcW w:w="1397" w:type="pct"/>
            <w:vAlign w:val="center"/>
          </w:tcPr>
          <w:p>
            <w:pPr>
              <w:adjustRightInd w:val="0"/>
              <w:snapToGrid w:val="0"/>
              <w:spacing w:line="3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485" w:type="pct"/>
            <w:vAlign w:val="center"/>
          </w:tcPr>
          <w:p>
            <w:pPr>
              <w:adjustRightInd w:val="0"/>
              <w:snapToGrid w:val="0"/>
              <w:spacing w:line="3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1714" w:type="pct"/>
            <w:vAlign w:val="center"/>
          </w:tcPr>
          <w:p>
            <w:pPr>
              <w:adjustRightInd w:val="0"/>
              <w:snapToGrid w:val="0"/>
              <w:spacing w:line="3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电动自行车充电器</w:t>
            </w:r>
          </w:p>
        </w:tc>
        <w:tc>
          <w:tcPr>
            <w:tcW w:w="1402" w:type="pct"/>
            <w:vAlign w:val="center"/>
          </w:tcPr>
          <w:p>
            <w:pPr>
              <w:adjustRightInd w:val="0"/>
              <w:snapToGrid w:val="0"/>
              <w:spacing w:line="3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2个</w:t>
            </w:r>
          </w:p>
        </w:tc>
        <w:tc>
          <w:tcPr>
            <w:tcW w:w="1397" w:type="pct"/>
            <w:vAlign w:val="center"/>
          </w:tcPr>
          <w:p>
            <w:pPr>
              <w:adjustRightInd w:val="0"/>
              <w:snapToGrid w:val="0"/>
              <w:spacing w:line="3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1个</w:t>
            </w:r>
          </w:p>
        </w:tc>
      </w:tr>
    </w:tbl>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highlight w:val="none"/>
        </w:rPr>
      </w:pPr>
      <w:r>
        <w:rPr>
          <w:rFonts w:hint="eastAsia" w:ascii="仿宋" w:hAnsi="仿宋" w:eastAsia="仿宋" w:cs="仿宋"/>
          <w:kern w:val="0"/>
          <w:szCs w:val="32"/>
          <w:highlight w:val="none"/>
        </w:rPr>
        <w:t>确定被抽样对象应符合T/GDAQI020-2022 《产品质量监督抽查抽样检验技术服务规范》5.3.3.3和第6章抽样的相关要求。所抽</w:t>
      </w:r>
      <w:r>
        <w:rPr>
          <w:rFonts w:hint="eastAsia" w:ascii="仿宋" w:hAnsi="仿宋" w:eastAsia="仿宋" w:cs="仿宋"/>
          <w:kern w:val="0"/>
          <w:szCs w:val="32"/>
          <w:highlight w:val="none"/>
          <w:lang w:eastAsia="zh-CN"/>
        </w:rPr>
        <w:t>电动自行车</w:t>
      </w:r>
      <w:r>
        <w:rPr>
          <w:rFonts w:hint="eastAsia" w:ascii="仿宋" w:hAnsi="仿宋" w:eastAsia="仿宋" w:cs="仿宋"/>
          <w:kern w:val="0"/>
          <w:szCs w:val="32"/>
          <w:highlight w:val="none"/>
        </w:rPr>
        <w:t>样车应为装配完整的电动自行车，即配备有为其使用目的所必需的全部部件（含说明书、合格证中明示的所有配件，包括但不限于充电器、电池、脚蹬等）的电动自行车。若商家声称出厂时未配充电器或电池，要求商家根据合格证和其他明示规定，配好匹配参数的充电器或电池。</w:t>
      </w:r>
    </w:p>
    <w:p>
      <w:pPr>
        <w:keepNext w:val="0"/>
        <w:keepLines w:val="0"/>
        <w:pageBreakBefore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eastAsia="黑体" w:cs="黑体"/>
          <w:color w:val="000000"/>
          <w:szCs w:val="32"/>
          <w:highlight w:val="none"/>
        </w:rPr>
      </w:pPr>
      <w:r>
        <w:rPr>
          <w:rFonts w:hint="eastAsia" w:eastAsia="黑体" w:cs="黑体"/>
          <w:color w:val="000000"/>
          <w:szCs w:val="32"/>
          <w:highlight w:val="none"/>
        </w:rPr>
        <w:t>二、主要检验项目及不合格类别的划分指标</w:t>
      </w:r>
    </w:p>
    <w:p>
      <w:pPr>
        <w:keepNext w:val="0"/>
        <w:keepLines w:val="0"/>
        <w:pageBreakBefore w:val="0"/>
        <w:kinsoku/>
        <w:wordWrap/>
        <w:overflowPunct/>
        <w:topLinePunct w:val="0"/>
        <w:autoSpaceDE/>
        <w:autoSpaceDN/>
        <w:bidi w:val="0"/>
        <w:adjustRightInd/>
        <w:snapToGrid/>
        <w:spacing w:line="580" w:lineRule="exact"/>
        <w:ind w:firstLine="640" w:firstLineChars="200"/>
        <w:jc w:val="left"/>
        <w:textAlignment w:val="auto"/>
        <w:rPr>
          <w:rFonts w:hint="eastAsia" w:ascii="楷体_GB2312" w:hAnsi="楷体_GB2312" w:eastAsia="楷体_GB2312" w:cs="楷体_GB2312"/>
          <w:szCs w:val="32"/>
          <w:highlight w:val="none"/>
        </w:rPr>
      </w:pPr>
      <w:r>
        <w:rPr>
          <w:rFonts w:hint="eastAsia" w:ascii="楷体_GB2312" w:hAnsi="楷体_GB2312" w:eastAsia="楷体_GB2312" w:cs="楷体_GB2312"/>
          <w:szCs w:val="32"/>
          <w:highlight w:val="none"/>
          <w:lang w:eastAsia="zh-CN"/>
        </w:rPr>
        <w:t>（一）</w:t>
      </w:r>
      <w:r>
        <w:rPr>
          <w:rFonts w:hint="eastAsia" w:ascii="楷体_GB2312" w:hAnsi="楷体_GB2312" w:eastAsia="楷体_GB2312" w:cs="楷体_GB2312"/>
          <w:szCs w:val="32"/>
          <w:highlight w:val="none"/>
        </w:rPr>
        <w:t>电动自行车</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1874"/>
        <w:gridCol w:w="2512"/>
        <w:gridCol w:w="790"/>
        <w:gridCol w:w="680"/>
        <w:gridCol w:w="897"/>
        <w:gridCol w:w="790"/>
        <w:gridCol w:w="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9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80" w:leftChars="-25"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序号</w:t>
            </w:r>
          </w:p>
        </w:tc>
        <w:tc>
          <w:tcPr>
            <w:tcW w:w="103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检验项目</w:t>
            </w:r>
          </w:p>
        </w:tc>
        <w:tc>
          <w:tcPr>
            <w:tcW w:w="1386"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6" w:lef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依据法律法规</w:t>
            </w:r>
          </w:p>
          <w:p>
            <w:pPr>
              <w:adjustRightInd w:val="0"/>
              <w:snapToGrid w:val="0"/>
              <w:ind w:left="-106" w:lef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或标准</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强制性</w:t>
            </w:r>
          </w:p>
        </w:tc>
        <w:tc>
          <w:tcPr>
            <w:tcW w:w="37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非强制性</w:t>
            </w:r>
          </w:p>
        </w:tc>
        <w:tc>
          <w:tcPr>
            <w:tcW w:w="49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重要项</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较重要项</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6" w:leftChars="-33"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99"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rPr>
            </w:pPr>
            <w:r>
              <w:rPr>
                <w:rFonts w:hint="eastAsia" w:ascii="仿宋" w:hAnsi="仿宋" w:eastAsia="仿宋" w:cs="仿宋"/>
                <w:sz w:val="24"/>
                <w:szCs w:val="24"/>
                <w:highlight w:val="none"/>
              </w:rPr>
              <w:t>1</w:t>
            </w:r>
          </w:p>
        </w:tc>
        <w:tc>
          <w:tcPr>
            <w:tcW w:w="1034"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车速限值</w:t>
            </w:r>
          </w:p>
        </w:tc>
        <w:tc>
          <w:tcPr>
            <w:tcW w:w="1386"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GB 17761-2018第6.1.1条</w:t>
            </w: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109" w:leftChars="-34" w:right="-106" w:rightChars="-33"/>
              <w:jc w:val="center"/>
              <w:rPr>
                <w:rFonts w:hint="eastAsia" w:ascii="仿宋" w:hAnsi="仿宋" w:eastAsia="仿宋" w:cs="仿宋"/>
                <w:bCs/>
                <w:kern w:val="0"/>
                <w:sz w:val="24"/>
                <w:szCs w:val="24"/>
                <w:highlight w:val="none"/>
              </w:rPr>
            </w:pPr>
            <w:r>
              <w:rPr>
                <w:rFonts w:hint="eastAsia" w:ascii="仿宋" w:hAnsi="仿宋" w:eastAsia="仿宋" w:cs="仿宋"/>
                <w:color w:val="000000"/>
                <w:sz w:val="24"/>
                <w:szCs w:val="24"/>
                <w:highlight w:val="none"/>
              </w:rPr>
              <w:t>●</w:t>
            </w:r>
          </w:p>
        </w:tc>
        <w:tc>
          <w:tcPr>
            <w:tcW w:w="375"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109" w:leftChars="-34" w:right="-106" w:rightChars="-33"/>
              <w:jc w:val="center"/>
              <w:rPr>
                <w:rFonts w:hint="eastAsia" w:ascii="仿宋" w:hAnsi="仿宋" w:eastAsia="仿宋" w:cs="仿宋"/>
                <w:bCs/>
                <w:kern w:val="0"/>
                <w:sz w:val="24"/>
                <w:szCs w:val="24"/>
                <w:highlight w:val="none"/>
              </w:rPr>
            </w:pPr>
          </w:p>
        </w:tc>
        <w:tc>
          <w:tcPr>
            <w:tcW w:w="495"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99"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rPr>
            </w:pPr>
            <w:r>
              <w:rPr>
                <w:rFonts w:hint="eastAsia" w:ascii="仿宋" w:hAnsi="仿宋" w:eastAsia="仿宋" w:cs="仿宋"/>
                <w:sz w:val="24"/>
                <w:szCs w:val="24"/>
                <w:highlight w:val="none"/>
              </w:rPr>
              <w:t>2</w:t>
            </w:r>
          </w:p>
        </w:tc>
        <w:tc>
          <w:tcPr>
            <w:tcW w:w="1034"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整车质量</w:t>
            </w:r>
          </w:p>
        </w:tc>
        <w:tc>
          <w:tcPr>
            <w:tcW w:w="1386"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GB 17761-2018第6.1.3条</w:t>
            </w: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109" w:leftChars="-34" w:right="-106" w:rightChars="-33"/>
              <w:jc w:val="center"/>
              <w:rPr>
                <w:rFonts w:hint="eastAsia" w:ascii="仿宋" w:hAnsi="仿宋" w:eastAsia="仿宋" w:cs="仿宋"/>
                <w:bCs/>
                <w:kern w:val="0"/>
                <w:sz w:val="24"/>
                <w:szCs w:val="24"/>
                <w:highlight w:val="none"/>
              </w:rPr>
            </w:pPr>
            <w:r>
              <w:rPr>
                <w:rFonts w:hint="eastAsia" w:ascii="仿宋" w:hAnsi="仿宋" w:eastAsia="仿宋" w:cs="仿宋"/>
                <w:color w:val="000000"/>
                <w:sz w:val="24"/>
                <w:szCs w:val="24"/>
                <w:highlight w:val="none"/>
              </w:rPr>
              <w:t>●</w:t>
            </w:r>
          </w:p>
        </w:tc>
        <w:tc>
          <w:tcPr>
            <w:tcW w:w="375"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109" w:leftChars="-34" w:right="-106" w:rightChars="-33"/>
              <w:jc w:val="center"/>
              <w:rPr>
                <w:rFonts w:hint="eastAsia" w:ascii="仿宋" w:hAnsi="仿宋" w:eastAsia="仿宋" w:cs="仿宋"/>
                <w:bCs/>
                <w:kern w:val="0"/>
                <w:sz w:val="24"/>
                <w:szCs w:val="24"/>
                <w:highlight w:val="none"/>
              </w:rPr>
            </w:pPr>
          </w:p>
        </w:tc>
        <w:tc>
          <w:tcPr>
            <w:tcW w:w="495"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p>
          <w:p>
            <w:pPr>
              <w:adjustRightInd w:val="0"/>
              <w:snapToGrid w:val="0"/>
              <w:ind w:left="-109" w:leftChars="-34" w:right="-106" w:rightChars="-33"/>
              <w:jc w:val="center"/>
              <w:rPr>
                <w:rFonts w:hint="eastAsia" w:ascii="仿宋" w:hAnsi="仿宋" w:eastAsia="仿宋" w:cs="仿宋"/>
                <w:color w:val="000000"/>
                <w:sz w:val="24"/>
                <w:szCs w:val="24"/>
                <w:highlight w:val="none"/>
              </w:rPr>
            </w:pP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99"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80" w:leftChars="-25" w:right="-106" w:rightChars="-3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1034"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结构</w:t>
            </w:r>
          </w:p>
        </w:tc>
        <w:tc>
          <w:tcPr>
            <w:tcW w:w="1386"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GB 17761-2018第6.1.6条</w:t>
            </w: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109" w:leftChars="-34" w:right="-106" w:rightChars="-33"/>
              <w:jc w:val="center"/>
              <w:rPr>
                <w:rFonts w:hint="eastAsia" w:ascii="仿宋" w:hAnsi="仿宋" w:eastAsia="仿宋" w:cs="仿宋"/>
                <w:bCs/>
                <w:kern w:val="0"/>
                <w:sz w:val="24"/>
                <w:szCs w:val="24"/>
                <w:highlight w:val="none"/>
              </w:rPr>
            </w:pPr>
            <w:r>
              <w:rPr>
                <w:rFonts w:hint="eastAsia" w:ascii="仿宋" w:hAnsi="仿宋" w:eastAsia="仿宋" w:cs="仿宋"/>
                <w:color w:val="000000"/>
                <w:sz w:val="24"/>
                <w:szCs w:val="24"/>
                <w:highlight w:val="none"/>
              </w:rPr>
              <w:t>●</w:t>
            </w:r>
          </w:p>
        </w:tc>
        <w:tc>
          <w:tcPr>
            <w:tcW w:w="375"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109" w:leftChars="-34" w:right="-106" w:rightChars="-33"/>
              <w:jc w:val="center"/>
              <w:rPr>
                <w:rFonts w:hint="eastAsia" w:ascii="仿宋" w:hAnsi="仿宋" w:eastAsia="仿宋" w:cs="仿宋"/>
                <w:bCs/>
                <w:kern w:val="0"/>
                <w:sz w:val="24"/>
                <w:szCs w:val="24"/>
                <w:highlight w:val="none"/>
              </w:rPr>
            </w:pPr>
          </w:p>
        </w:tc>
        <w:tc>
          <w:tcPr>
            <w:tcW w:w="495"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99"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80" w:leftChars="-25" w:right="-106" w:rightChars="-3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1034"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车速提示音</w:t>
            </w:r>
          </w:p>
        </w:tc>
        <w:tc>
          <w:tcPr>
            <w:tcW w:w="1386"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GB 17761-2018第6.1.7条</w:t>
            </w: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109" w:leftChars="-34" w:right="-106" w:rightChars="-33"/>
              <w:jc w:val="center"/>
              <w:rPr>
                <w:rFonts w:hint="eastAsia" w:ascii="仿宋" w:hAnsi="仿宋" w:eastAsia="仿宋" w:cs="仿宋"/>
                <w:bCs/>
                <w:kern w:val="0"/>
                <w:sz w:val="24"/>
                <w:szCs w:val="24"/>
                <w:highlight w:val="none"/>
              </w:rPr>
            </w:pPr>
            <w:r>
              <w:rPr>
                <w:rFonts w:hint="eastAsia" w:ascii="仿宋" w:hAnsi="仿宋" w:eastAsia="仿宋" w:cs="仿宋"/>
                <w:color w:val="000000"/>
                <w:sz w:val="24"/>
                <w:szCs w:val="24"/>
                <w:highlight w:val="none"/>
              </w:rPr>
              <w:t>●</w:t>
            </w:r>
          </w:p>
        </w:tc>
        <w:tc>
          <w:tcPr>
            <w:tcW w:w="375"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109" w:leftChars="-34" w:right="-106" w:rightChars="-33"/>
              <w:jc w:val="center"/>
              <w:rPr>
                <w:rFonts w:hint="eastAsia" w:ascii="仿宋" w:hAnsi="仿宋" w:eastAsia="仿宋" w:cs="仿宋"/>
                <w:bCs/>
                <w:kern w:val="0"/>
                <w:sz w:val="24"/>
                <w:szCs w:val="24"/>
                <w:highlight w:val="none"/>
              </w:rPr>
            </w:pPr>
          </w:p>
        </w:tc>
        <w:tc>
          <w:tcPr>
            <w:tcW w:w="495"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36"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99" w:type="pct"/>
            <w:vAlign w:val="center"/>
          </w:tcPr>
          <w:p>
            <w:pPr>
              <w:adjustRightInd w:val="0"/>
              <w:snapToGrid w:val="0"/>
              <w:ind w:left="-80" w:leftChars="-25" w:right="-106" w:rightChars="-3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1034" w:type="pct"/>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淋水涉水性能</w:t>
            </w:r>
          </w:p>
        </w:tc>
        <w:tc>
          <w:tcPr>
            <w:tcW w:w="1386" w:type="pct"/>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GB 17761-2018第6.1.8条</w:t>
            </w:r>
          </w:p>
        </w:tc>
        <w:tc>
          <w:tcPr>
            <w:tcW w:w="436" w:type="pct"/>
            <w:vAlign w:val="center"/>
          </w:tcPr>
          <w:p>
            <w:pPr>
              <w:adjustRightInd w:val="0"/>
              <w:snapToGrid w:val="0"/>
              <w:ind w:left="-109" w:leftChars="-34" w:right="-106" w:rightChars="-33"/>
              <w:jc w:val="center"/>
              <w:rPr>
                <w:rFonts w:hint="eastAsia" w:ascii="仿宋" w:hAnsi="仿宋" w:eastAsia="仿宋" w:cs="仿宋"/>
                <w:bCs/>
                <w:kern w:val="0"/>
                <w:sz w:val="24"/>
                <w:szCs w:val="24"/>
                <w:highlight w:val="none"/>
              </w:rPr>
            </w:pPr>
            <w:r>
              <w:rPr>
                <w:rFonts w:hint="eastAsia" w:ascii="仿宋" w:hAnsi="仿宋" w:eastAsia="仿宋" w:cs="仿宋"/>
                <w:color w:val="000000"/>
                <w:sz w:val="24"/>
                <w:szCs w:val="24"/>
                <w:highlight w:val="none"/>
              </w:rPr>
              <w:t>●</w:t>
            </w:r>
          </w:p>
        </w:tc>
        <w:tc>
          <w:tcPr>
            <w:tcW w:w="375" w:type="pct"/>
          </w:tcPr>
          <w:p>
            <w:pPr>
              <w:adjustRightInd w:val="0"/>
              <w:snapToGrid w:val="0"/>
              <w:ind w:left="-109" w:leftChars="-34" w:right="-106" w:rightChars="-33"/>
              <w:jc w:val="center"/>
              <w:rPr>
                <w:rFonts w:hint="eastAsia" w:ascii="仿宋" w:hAnsi="仿宋" w:eastAsia="仿宋" w:cs="仿宋"/>
                <w:bCs/>
                <w:kern w:val="0"/>
                <w:sz w:val="24"/>
                <w:szCs w:val="24"/>
                <w:highlight w:val="none"/>
              </w:rPr>
            </w:pPr>
          </w:p>
        </w:tc>
        <w:tc>
          <w:tcPr>
            <w:tcW w:w="495" w:type="pct"/>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36" w:type="pct"/>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p>
        </w:tc>
        <w:tc>
          <w:tcPr>
            <w:tcW w:w="436" w:type="pct"/>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99" w:type="pct"/>
            <w:vAlign w:val="center"/>
          </w:tcPr>
          <w:p>
            <w:pPr>
              <w:adjustRightInd w:val="0"/>
              <w:snapToGrid w:val="0"/>
              <w:ind w:left="-80" w:leftChars="-25" w:right="-106" w:rightChars="-3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1034" w:type="pct"/>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电气装置</w:t>
            </w:r>
          </w:p>
        </w:tc>
        <w:tc>
          <w:tcPr>
            <w:tcW w:w="1386" w:type="pct"/>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GB 17761-2018第6.3.1条</w:t>
            </w:r>
          </w:p>
        </w:tc>
        <w:tc>
          <w:tcPr>
            <w:tcW w:w="436" w:type="pct"/>
            <w:vAlign w:val="center"/>
          </w:tcPr>
          <w:p>
            <w:pPr>
              <w:adjustRightInd w:val="0"/>
              <w:snapToGrid w:val="0"/>
              <w:ind w:left="-109" w:leftChars="-34" w:right="-106" w:rightChars="-33"/>
              <w:jc w:val="center"/>
              <w:rPr>
                <w:rFonts w:hint="eastAsia" w:ascii="仿宋" w:hAnsi="仿宋" w:eastAsia="仿宋" w:cs="仿宋"/>
                <w:bCs/>
                <w:kern w:val="0"/>
                <w:sz w:val="24"/>
                <w:szCs w:val="24"/>
                <w:highlight w:val="none"/>
              </w:rPr>
            </w:pPr>
            <w:r>
              <w:rPr>
                <w:rFonts w:hint="eastAsia" w:ascii="仿宋" w:hAnsi="仿宋" w:eastAsia="仿宋" w:cs="仿宋"/>
                <w:color w:val="000000"/>
                <w:sz w:val="24"/>
                <w:szCs w:val="24"/>
                <w:highlight w:val="none"/>
              </w:rPr>
              <w:t>●</w:t>
            </w:r>
          </w:p>
        </w:tc>
        <w:tc>
          <w:tcPr>
            <w:tcW w:w="375" w:type="pct"/>
          </w:tcPr>
          <w:p>
            <w:pPr>
              <w:adjustRightInd w:val="0"/>
              <w:snapToGrid w:val="0"/>
              <w:ind w:left="-109" w:leftChars="-34" w:right="-106" w:rightChars="-33"/>
              <w:jc w:val="center"/>
              <w:rPr>
                <w:rFonts w:hint="eastAsia" w:ascii="仿宋" w:hAnsi="仿宋" w:eastAsia="仿宋" w:cs="仿宋"/>
                <w:bCs/>
                <w:kern w:val="0"/>
                <w:sz w:val="24"/>
                <w:szCs w:val="24"/>
                <w:highlight w:val="none"/>
              </w:rPr>
            </w:pPr>
          </w:p>
        </w:tc>
        <w:tc>
          <w:tcPr>
            <w:tcW w:w="495" w:type="pct"/>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36" w:type="pct"/>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p>
        </w:tc>
        <w:tc>
          <w:tcPr>
            <w:tcW w:w="436" w:type="pct"/>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99" w:type="pct"/>
            <w:vAlign w:val="center"/>
          </w:tcPr>
          <w:p>
            <w:pPr>
              <w:adjustRightInd w:val="0"/>
              <w:snapToGrid w:val="0"/>
              <w:ind w:left="-80" w:leftChars="-25" w:right="-106" w:rightChars="-3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7</w:t>
            </w:r>
          </w:p>
        </w:tc>
        <w:tc>
          <w:tcPr>
            <w:tcW w:w="1034" w:type="pct"/>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充电器与蓄电池</w:t>
            </w:r>
          </w:p>
        </w:tc>
        <w:tc>
          <w:tcPr>
            <w:tcW w:w="1386" w:type="pct"/>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GB 17761-2018第6.3.4条</w:t>
            </w:r>
          </w:p>
        </w:tc>
        <w:tc>
          <w:tcPr>
            <w:tcW w:w="436" w:type="pct"/>
            <w:vAlign w:val="center"/>
          </w:tcPr>
          <w:p>
            <w:pPr>
              <w:adjustRightInd w:val="0"/>
              <w:snapToGrid w:val="0"/>
              <w:ind w:left="-109" w:leftChars="-34" w:right="-106" w:rightChars="-33"/>
              <w:jc w:val="center"/>
              <w:rPr>
                <w:rFonts w:hint="eastAsia" w:ascii="仿宋" w:hAnsi="仿宋" w:eastAsia="仿宋" w:cs="仿宋"/>
                <w:bCs/>
                <w:kern w:val="0"/>
                <w:sz w:val="24"/>
                <w:szCs w:val="24"/>
                <w:highlight w:val="none"/>
              </w:rPr>
            </w:pPr>
            <w:r>
              <w:rPr>
                <w:rFonts w:hint="eastAsia" w:ascii="仿宋" w:hAnsi="仿宋" w:eastAsia="仿宋" w:cs="仿宋"/>
                <w:color w:val="000000"/>
                <w:sz w:val="24"/>
                <w:szCs w:val="24"/>
                <w:highlight w:val="none"/>
              </w:rPr>
              <w:t>●</w:t>
            </w:r>
          </w:p>
        </w:tc>
        <w:tc>
          <w:tcPr>
            <w:tcW w:w="375" w:type="pct"/>
          </w:tcPr>
          <w:p>
            <w:pPr>
              <w:adjustRightInd w:val="0"/>
              <w:snapToGrid w:val="0"/>
              <w:ind w:left="-109" w:leftChars="-34" w:right="-106" w:rightChars="-33"/>
              <w:jc w:val="center"/>
              <w:rPr>
                <w:rFonts w:hint="eastAsia" w:ascii="仿宋" w:hAnsi="仿宋" w:eastAsia="仿宋" w:cs="仿宋"/>
                <w:bCs/>
                <w:kern w:val="0"/>
                <w:sz w:val="24"/>
                <w:szCs w:val="24"/>
                <w:highlight w:val="none"/>
              </w:rPr>
            </w:pPr>
          </w:p>
        </w:tc>
        <w:tc>
          <w:tcPr>
            <w:tcW w:w="495" w:type="pct"/>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36" w:type="pct"/>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p>
        </w:tc>
        <w:tc>
          <w:tcPr>
            <w:tcW w:w="436" w:type="pct"/>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bl>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szCs w:val="28"/>
          <w:highlight w:val="none"/>
        </w:rPr>
      </w:pPr>
      <w:r>
        <w:rPr>
          <w:rFonts w:hint="eastAsia" w:ascii="楷体_GB2312" w:hAnsi="楷体_GB2312" w:eastAsia="楷体_GB2312" w:cs="楷体_GB2312"/>
          <w:szCs w:val="32"/>
          <w:highlight w:val="none"/>
          <w:lang w:eastAsia="zh-CN"/>
        </w:rPr>
        <w:t>（二）电动自行车充电器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szCs w:val="28"/>
          <w:highlight w:val="none"/>
        </w:rPr>
      </w:pPr>
      <w:r>
        <w:rPr>
          <w:rFonts w:hint="eastAsia" w:ascii="仿宋" w:hAnsi="仿宋" w:eastAsia="仿宋" w:cs="仿宋"/>
          <w:szCs w:val="28"/>
          <w:highlight w:val="none"/>
          <w:lang w:val="en-US" w:eastAsia="zh-CN"/>
        </w:rPr>
        <w:t>1.</w:t>
      </w:r>
      <w:r>
        <w:rPr>
          <w:rFonts w:hint="eastAsia" w:ascii="仿宋" w:hAnsi="仿宋" w:eastAsia="仿宋" w:cs="仿宋"/>
          <w:szCs w:val="28"/>
          <w:highlight w:val="none"/>
        </w:rPr>
        <w:t>生产日期为2023年7月1日之前的产品</w:t>
      </w:r>
    </w:p>
    <w:tbl>
      <w:tblPr>
        <w:tblStyle w:val="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605"/>
        <w:gridCol w:w="1878"/>
        <w:gridCol w:w="2576"/>
        <w:gridCol w:w="799"/>
        <w:gridCol w:w="688"/>
        <w:gridCol w:w="907"/>
        <w:gridCol w:w="799"/>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58" w:hRule="atLeast"/>
          <w:tblHeader/>
          <w:jc w:val="center"/>
        </w:trPr>
        <w:tc>
          <w:tcPr>
            <w:tcW w:w="33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80" w:leftChars="-25"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序号</w:t>
            </w:r>
          </w:p>
        </w:tc>
        <w:tc>
          <w:tcPr>
            <w:tcW w:w="103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检验项目</w:t>
            </w:r>
          </w:p>
        </w:tc>
        <w:tc>
          <w:tcPr>
            <w:tcW w:w="142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6" w:lef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依据法律法规</w:t>
            </w:r>
          </w:p>
          <w:p>
            <w:pPr>
              <w:adjustRightInd w:val="0"/>
              <w:snapToGrid w:val="0"/>
              <w:ind w:left="-106" w:lef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或标准</w:t>
            </w: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强制性</w:t>
            </w:r>
          </w:p>
        </w:tc>
        <w:tc>
          <w:tcPr>
            <w:tcW w:w="38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非强制性</w:t>
            </w:r>
          </w:p>
        </w:tc>
        <w:tc>
          <w:tcPr>
            <w:tcW w:w="50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重要项</w:t>
            </w: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较重要项</w:t>
            </w: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6" w:leftChars="-33"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58" w:hRule="atLeast"/>
          <w:tblHeader/>
          <w:jc w:val="center"/>
        </w:trPr>
        <w:tc>
          <w:tcPr>
            <w:tcW w:w="33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rPr>
            </w:pPr>
            <w:r>
              <w:rPr>
                <w:rFonts w:hint="eastAsia" w:ascii="仿宋" w:hAnsi="仿宋" w:eastAsia="仿宋" w:cs="仿宋"/>
                <w:sz w:val="24"/>
                <w:szCs w:val="24"/>
                <w:highlight w:val="none"/>
              </w:rPr>
              <w:t>1</w:t>
            </w:r>
          </w:p>
        </w:tc>
        <w:tc>
          <w:tcPr>
            <w:tcW w:w="103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标志和说明</w:t>
            </w:r>
          </w:p>
        </w:tc>
        <w:tc>
          <w:tcPr>
            <w:tcW w:w="142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GB4706.1-2005、GB4706.18-2014第7章</w:t>
            </w: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仿宋" w:hAnsi="仿宋" w:eastAsia="仿宋" w:cs="仿宋"/>
                <w:bCs/>
                <w:kern w:val="0"/>
                <w:sz w:val="24"/>
                <w:szCs w:val="24"/>
                <w:highlight w:val="none"/>
              </w:rPr>
            </w:pPr>
            <w:r>
              <w:rPr>
                <w:rFonts w:hint="eastAsia" w:ascii="仿宋" w:hAnsi="仿宋" w:eastAsia="仿宋" w:cs="仿宋"/>
                <w:color w:val="000000"/>
                <w:sz w:val="24"/>
                <w:szCs w:val="24"/>
                <w:highlight w:val="none"/>
              </w:rPr>
              <w:t>●</w:t>
            </w:r>
          </w:p>
        </w:tc>
        <w:tc>
          <w:tcPr>
            <w:tcW w:w="38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仿宋" w:hAnsi="仿宋" w:eastAsia="仿宋" w:cs="仿宋"/>
                <w:bCs/>
                <w:kern w:val="0"/>
                <w:sz w:val="24"/>
                <w:szCs w:val="24"/>
                <w:highlight w:val="none"/>
              </w:rPr>
            </w:pPr>
          </w:p>
        </w:tc>
        <w:tc>
          <w:tcPr>
            <w:tcW w:w="50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58" w:hRule="atLeast"/>
          <w:tblHeader/>
          <w:jc w:val="center"/>
        </w:trPr>
        <w:tc>
          <w:tcPr>
            <w:tcW w:w="33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rPr>
            </w:pPr>
            <w:r>
              <w:rPr>
                <w:rFonts w:hint="eastAsia" w:ascii="仿宋" w:hAnsi="仿宋" w:eastAsia="仿宋" w:cs="仿宋"/>
                <w:sz w:val="24"/>
                <w:szCs w:val="24"/>
                <w:highlight w:val="none"/>
              </w:rPr>
              <w:t>2</w:t>
            </w:r>
          </w:p>
        </w:tc>
        <w:tc>
          <w:tcPr>
            <w:tcW w:w="103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对触及带电部件的防护</w:t>
            </w:r>
          </w:p>
        </w:tc>
        <w:tc>
          <w:tcPr>
            <w:tcW w:w="142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GB4706.1-2005、GB4706.18-2014第8章</w:t>
            </w: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仿宋" w:hAnsi="仿宋" w:eastAsia="仿宋" w:cs="仿宋"/>
                <w:bCs/>
                <w:kern w:val="0"/>
                <w:sz w:val="24"/>
                <w:szCs w:val="24"/>
                <w:highlight w:val="none"/>
              </w:rPr>
            </w:pPr>
            <w:r>
              <w:rPr>
                <w:rFonts w:hint="eastAsia" w:ascii="仿宋" w:hAnsi="仿宋" w:eastAsia="仿宋" w:cs="仿宋"/>
                <w:color w:val="000000"/>
                <w:sz w:val="24"/>
                <w:szCs w:val="24"/>
                <w:highlight w:val="none"/>
              </w:rPr>
              <w:t>●</w:t>
            </w:r>
          </w:p>
        </w:tc>
        <w:tc>
          <w:tcPr>
            <w:tcW w:w="38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仿宋" w:hAnsi="仿宋" w:eastAsia="仿宋" w:cs="仿宋"/>
                <w:bCs/>
                <w:kern w:val="0"/>
                <w:sz w:val="24"/>
                <w:szCs w:val="24"/>
                <w:highlight w:val="none"/>
              </w:rPr>
            </w:pPr>
          </w:p>
        </w:tc>
        <w:tc>
          <w:tcPr>
            <w:tcW w:w="50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58" w:hRule="atLeast"/>
          <w:tblHeader/>
          <w:jc w:val="center"/>
        </w:trPr>
        <w:tc>
          <w:tcPr>
            <w:tcW w:w="33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rPr>
            </w:pPr>
            <w:r>
              <w:rPr>
                <w:rFonts w:hint="eastAsia" w:ascii="仿宋" w:hAnsi="仿宋" w:eastAsia="仿宋" w:cs="仿宋"/>
                <w:sz w:val="24"/>
                <w:szCs w:val="24"/>
                <w:highlight w:val="none"/>
              </w:rPr>
              <w:t>3</w:t>
            </w:r>
          </w:p>
        </w:tc>
        <w:tc>
          <w:tcPr>
            <w:tcW w:w="103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输入功率和电流</w:t>
            </w:r>
          </w:p>
        </w:tc>
        <w:tc>
          <w:tcPr>
            <w:tcW w:w="142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GB4706.1-2005、GB4706.18-2014第10章</w:t>
            </w: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仿宋" w:hAnsi="仿宋" w:eastAsia="仿宋" w:cs="仿宋"/>
                <w:bCs/>
                <w:kern w:val="0"/>
                <w:sz w:val="24"/>
                <w:szCs w:val="24"/>
                <w:highlight w:val="none"/>
              </w:rPr>
            </w:pPr>
            <w:r>
              <w:rPr>
                <w:rFonts w:hint="eastAsia" w:ascii="仿宋" w:hAnsi="仿宋" w:eastAsia="仿宋" w:cs="仿宋"/>
                <w:color w:val="000000"/>
                <w:sz w:val="24"/>
                <w:szCs w:val="24"/>
                <w:highlight w:val="none"/>
              </w:rPr>
              <w:t>●</w:t>
            </w:r>
          </w:p>
        </w:tc>
        <w:tc>
          <w:tcPr>
            <w:tcW w:w="38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仿宋" w:hAnsi="仿宋" w:eastAsia="仿宋" w:cs="仿宋"/>
                <w:bCs/>
                <w:kern w:val="0"/>
                <w:sz w:val="24"/>
                <w:szCs w:val="24"/>
                <w:highlight w:val="none"/>
              </w:rPr>
            </w:pPr>
          </w:p>
        </w:tc>
        <w:tc>
          <w:tcPr>
            <w:tcW w:w="50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58" w:hRule="atLeast"/>
          <w:tblHeader/>
          <w:jc w:val="center"/>
        </w:trPr>
        <w:tc>
          <w:tcPr>
            <w:tcW w:w="33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80" w:leftChars="-25" w:right="-106" w:rightChars="-3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103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发热</w:t>
            </w:r>
          </w:p>
        </w:tc>
        <w:tc>
          <w:tcPr>
            <w:tcW w:w="142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GB4706.1-2005、GB4706.18-2014第11章</w:t>
            </w: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仿宋" w:hAnsi="仿宋" w:eastAsia="仿宋" w:cs="仿宋"/>
                <w:bCs/>
                <w:kern w:val="0"/>
                <w:sz w:val="24"/>
                <w:szCs w:val="24"/>
                <w:highlight w:val="none"/>
              </w:rPr>
            </w:pPr>
            <w:r>
              <w:rPr>
                <w:rFonts w:hint="eastAsia" w:ascii="仿宋" w:hAnsi="仿宋" w:eastAsia="仿宋" w:cs="仿宋"/>
                <w:color w:val="000000"/>
                <w:sz w:val="24"/>
                <w:szCs w:val="24"/>
                <w:highlight w:val="none"/>
              </w:rPr>
              <w:t>●</w:t>
            </w:r>
          </w:p>
        </w:tc>
        <w:tc>
          <w:tcPr>
            <w:tcW w:w="38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仿宋" w:hAnsi="仿宋" w:eastAsia="仿宋" w:cs="仿宋"/>
                <w:bCs/>
                <w:kern w:val="0"/>
                <w:sz w:val="24"/>
                <w:szCs w:val="24"/>
                <w:highlight w:val="none"/>
              </w:rPr>
            </w:pPr>
          </w:p>
        </w:tc>
        <w:tc>
          <w:tcPr>
            <w:tcW w:w="50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0" w:hRule="atLeast"/>
          <w:tblHeader/>
          <w:jc w:val="center"/>
        </w:trPr>
        <w:tc>
          <w:tcPr>
            <w:tcW w:w="33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80" w:leftChars="-25" w:right="-106" w:rightChars="-3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103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工作温度下的泄漏电流和电气强度</w:t>
            </w:r>
          </w:p>
        </w:tc>
        <w:tc>
          <w:tcPr>
            <w:tcW w:w="142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GB4706.1-2005、GB4706.18-2014第13章</w:t>
            </w: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仿宋" w:hAnsi="仿宋" w:eastAsia="仿宋" w:cs="仿宋"/>
                <w:bCs/>
                <w:kern w:val="0"/>
                <w:sz w:val="24"/>
                <w:szCs w:val="24"/>
                <w:highlight w:val="none"/>
              </w:rPr>
            </w:pPr>
            <w:r>
              <w:rPr>
                <w:rFonts w:hint="eastAsia" w:ascii="仿宋" w:hAnsi="仿宋" w:eastAsia="仿宋" w:cs="仿宋"/>
                <w:color w:val="000000"/>
                <w:sz w:val="24"/>
                <w:szCs w:val="24"/>
                <w:highlight w:val="none"/>
              </w:rPr>
              <w:t>●</w:t>
            </w:r>
          </w:p>
        </w:tc>
        <w:tc>
          <w:tcPr>
            <w:tcW w:w="38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仿宋" w:hAnsi="仿宋" w:eastAsia="仿宋" w:cs="仿宋"/>
                <w:bCs/>
                <w:kern w:val="0"/>
                <w:sz w:val="24"/>
                <w:szCs w:val="24"/>
                <w:highlight w:val="none"/>
              </w:rPr>
            </w:pPr>
          </w:p>
        </w:tc>
        <w:tc>
          <w:tcPr>
            <w:tcW w:w="50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58" w:hRule="atLeast"/>
          <w:tblHeader/>
          <w:jc w:val="center"/>
        </w:trPr>
        <w:tc>
          <w:tcPr>
            <w:tcW w:w="334" w:type="pct"/>
            <w:shd w:val="clear" w:color="auto" w:fill="auto"/>
            <w:vAlign w:val="center"/>
          </w:tcPr>
          <w:p>
            <w:pPr>
              <w:adjustRightInd w:val="0"/>
              <w:snapToGrid w:val="0"/>
              <w:ind w:left="-80" w:leftChars="-25" w:right="-106" w:rightChars="-3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1037" w:type="pct"/>
            <w:shd w:val="clear" w:color="auto" w:fill="auto"/>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变压器和相关电路的过载保护</w:t>
            </w:r>
          </w:p>
        </w:tc>
        <w:tc>
          <w:tcPr>
            <w:tcW w:w="1422" w:type="pct"/>
            <w:shd w:val="clear" w:color="auto" w:fill="auto"/>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GB4706.1-2005、GB4706.18-2014第17章</w:t>
            </w:r>
          </w:p>
        </w:tc>
        <w:tc>
          <w:tcPr>
            <w:tcW w:w="441" w:type="pct"/>
            <w:shd w:val="clear" w:color="auto" w:fill="auto"/>
            <w:vAlign w:val="center"/>
          </w:tcPr>
          <w:p>
            <w:pPr>
              <w:adjustRightInd w:val="0"/>
              <w:snapToGrid w:val="0"/>
              <w:ind w:left="-109" w:leftChars="-34" w:right="-106" w:rightChars="-33"/>
              <w:jc w:val="center"/>
              <w:rPr>
                <w:rFonts w:hint="eastAsia" w:ascii="仿宋" w:hAnsi="仿宋" w:eastAsia="仿宋" w:cs="仿宋"/>
                <w:bCs/>
                <w:kern w:val="0"/>
                <w:sz w:val="24"/>
                <w:szCs w:val="24"/>
                <w:highlight w:val="none"/>
              </w:rPr>
            </w:pPr>
            <w:r>
              <w:rPr>
                <w:rFonts w:hint="eastAsia" w:ascii="仿宋" w:hAnsi="仿宋" w:eastAsia="仿宋" w:cs="仿宋"/>
                <w:color w:val="000000"/>
                <w:sz w:val="24"/>
                <w:szCs w:val="24"/>
                <w:highlight w:val="none"/>
              </w:rPr>
              <w:t>●</w:t>
            </w:r>
          </w:p>
        </w:tc>
        <w:tc>
          <w:tcPr>
            <w:tcW w:w="380" w:type="pct"/>
            <w:shd w:val="clear" w:color="auto" w:fill="auto"/>
          </w:tcPr>
          <w:p>
            <w:pPr>
              <w:adjustRightInd w:val="0"/>
              <w:snapToGrid w:val="0"/>
              <w:ind w:left="-109" w:leftChars="-34" w:right="-106" w:rightChars="-33"/>
              <w:jc w:val="center"/>
              <w:rPr>
                <w:rFonts w:hint="eastAsia" w:ascii="仿宋" w:hAnsi="仿宋" w:eastAsia="仿宋" w:cs="仿宋"/>
                <w:bCs/>
                <w:kern w:val="0"/>
                <w:sz w:val="24"/>
                <w:szCs w:val="24"/>
                <w:highlight w:val="none"/>
              </w:rPr>
            </w:pPr>
          </w:p>
        </w:tc>
        <w:tc>
          <w:tcPr>
            <w:tcW w:w="501" w:type="pct"/>
            <w:shd w:val="clear" w:color="auto" w:fill="auto"/>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41" w:type="pct"/>
            <w:shd w:val="clear" w:color="auto" w:fill="auto"/>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p>
        </w:tc>
        <w:tc>
          <w:tcPr>
            <w:tcW w:w="441" w:type="pct"/>
            <w:shd w:val="clear" w:color="auto" w:fill="auto"/>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58" w:hRule="atLeast"/>
          <w:tblHeader/>
          <w:jc w:val="center"/>
        </w:trPr>
        <w:tc>
          <w:tcPr>
            <w:tcW w:w="334" w:type="pct"/>
            <w:shd w:val="clear" w:color="auto" w:fill="auto"/>
            <w:vAlign w:val="center"/>
          </w:tcPr>
          <w:p>
            <w:pPr>
              <w:adjustRightInd w:val="0"/>
              <w:snapToGrid w:val="0"/>
              <w:ind w:left="-80" w:leftChars="-25" w:right="-106" w:rightChars="-3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7</w:t>
            </w:r>
          </w:p>
        </w:tc>
        <w:tc>
          <w:tcPr>
            <w:tcW w:w="1037" w:type="pct"/>
            <w:shd w:val="clear" w:color="auto" w:fill="auto"/>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机械强度</w:t>
            </w:r>
          </w:p>
        </w:tc>
        <w:tc>
          <w:tcPr>
            <w:tcW w:w="1422" w:type="pct"/>
            <w:shd w:val="clear" w:color="auto" w:fill="auto"/>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GB4706.1-2005、GB4706.18-2014第21章</w:t>
            </w:r>
          </w:p>
        </w:tc>
        <w:tc>
          <w:tcPr>
            <w:tcW w:w="441" w:type="pct"/>
            <w:shd w:val="clear" w:color="auto" w:fill="auto"/>
            <w:vAlign w:val="center"/>
          </w:tcPr>
          <w:p>
            <w:pPr>
              <w:adjustRightInd w:val="0"/>
              <w:snapToGrid w:val="0"/>
              <w:ind w:left="-109" w:leftChars="-34" w:right="-106" w:rightChars="-33"/>
              <w:jc w:val="center"/>
              <w:rPr>
                <w:rFonts w:hint="eastAsia" w:ascii="仿宋" w:hAnsi="仿宋" w:eastAsia="仿宋" w:cs="仿宋"/>
                <w:bCs/>
                <w:kern w:val="0"/>
                <w:sz w:val="24"/>
                <w:szCs w:val="24"/>
                <w:highlight w:val="none"/>
              </w:rPr>
            </w:pPr>
            <w:r>
              <w:rPr>
                <w:rFonts w:hint="eastAsia" w:ascii="仿宋" w:hAnsi="仿宋" w:eastAsia="仿宋" w:cs="仿宋"/>
                <w:color w:val="000000"/>
                <w:sz w:val="24"/>
                <w:szCs w:val="24"/>
                <w:highlight w:val="none"/>
              </w:rPr>
              <w:t>●</w:t>
            </w:r>
          </w:p>
        </w:tc>
        <w:tc>
          <w:tcPr>
            <w:tcW w:w="380" w:type="pct"/>
            <w:shd w:val="clear" w:color="auto" w:fill="auto"/>
          </w:tcPr>
          <w:p>
            <w:pPr>
              <w:adjustRightInd w:val="0"/>
              <w:snapToGrid w:val="0"/>
              <w:ind w:left="-109" w:leftChars="-34" w:right="-106" w:rightChars="-33"/>
              <w:jc w:val="center"/>
              <w:rPr>
                <w:rFonts w:hint="eastAsia" w:ascii="仿宋" w:hAnsi="仿宋" w:eastAsia="仿宋" w:cs="仿宋"/>
                <w:bCs/>
                <w:kern w:val="0"/>
                <w:sz w:val="24"/>
                <w:szCs w:val="24"/>
                <w:highlight w:val="none"/>
              </w:rPr>
            </w:pPr>
          </w:p>
        </w:tc>
        <w:tc>
          <w:tcPr>
            <w:tcW w:w="501" w:type="pct"/>
            <w:shd w:val="clear" w:color="auto" w:fill="auto"/>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41" w:type="pct"/>
            <w:shd w:val="clear" w:color="auto" w:fill="auto"/>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p>
        </w:tc>
        <w:tc>
          <w:tcPr>
            <w:tcW w:w="441" w:type="pct"/>
            <w:shd w:val="clear" w:color="auto" w:fill="auto"/>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58" w:hRule="atLeast"/>
          <w:tblHeader/>
          <w:jc w:val="center"/>
        </w:trPr>
        <w:tc>
          <w:tcPr>
            <w:tcW w:w="334" w:type="pct"/>
            <w:shd w:val="clear" w:color="auto" w:fill="auto"/>
            <w:vAlign w:val="center"/>
          </w:tcPr>
          <w:p>
            <w:pPr>
              <w:adjustRightInd w:val="0"/>
              <w:snapToGrid w:val="0"/>
              <w:ind w:left="-80" w:leftChars="-25" w:right="-106" w:rightChars="-3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8</w:t>
            </w:r>
          </w:p>
        </w:tc>
        <w:tc>
          <w:tcPr>
            <w:tcW w:w="1037" w:type="pct"/>
            <w:shd w:val="clear" w:color="auto" w:fill="auto"/>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结构</w:t>
            </w:r>
          </w:p>
        </w:tc>
        <w:tc>
          <w:tcPr>
            <w:tcW w:w="1422" w:type="pct"/>
            <w:shd w:val="clear" w:color="auto" w:fill="auto"/>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GB4706.1-2005、GB4706.18-2014第22章</w:t>
            </w:r>
          </w:p>
        </w:tc>
        <w:tc>
          <w:tcPr>
            <w:tcW w:w="441" w:type="pct"/>
            <w:shd w:val="clear" w:color="auto" w:fill="auto"/>
            <w:vAlign w:val="center"/>
          </w:tcPr>
          <w:p>
            <w:pPr>
              <w:adjustRightInd w:val="0"/>
              <w:snapToGrid w:val="0"/>
              <w:ind w:left="-109" w:leftChars="-34" w:right="-106" w:rightChars="-33"/>
              <w:jc w:val="center"/>
              <w:rPr>
                <w:rFonts w:hint="eastAsia" w:ascii="仿宋" w:hAnsi="仿宋" w:eastAsia="仿宋" w:cs="仿宋"/>
                <w:bCs/>
                <w:kern w:val="0"/>
                <w:sz w:val="24"/>
                <w:szCs w:val="24"/>
                <w:highlight w:val="none"/>
              </w:rPr>
            </w:pPr>
            <w:r>
              <w:rPr>
                <w:rFonts w:hint="eastAsia" w:ascii="仿宋" w:hAnsi="仿宋" w:eastAsia="仿宋" w:cs="仿宋"/>
                <w:color w:val="000000"/>
                <w:sz w:val="24"/>
                <w:szCs w:val="24"/>
                <w:highlight w:val="none"/>
              </w:rPr>
              <w:t>●</w:t>
            </w:r>
          </w:p>
        </w:tc>
        <w:tc>
          <w:tcPr>
            <w:tcW w:w="380" w:type="pct"/>
            <w:shd w:val="clear" w:color="auto" w:fill="auto"/>
          </w:tcPr>
          <w:p>
            <w:pPr>
              <w:adjustRightInd w:val="0"/>
              <w:snapToGrid w:val="0"/>
              <w:ind w:left="-109" w:leftChars="-34" w:right="-106" w:rightChars="-33"/>
              <w:jc w:val="center"/>
              <w:rPr>
                <w:rFonts w:hint="eastAsia" w:ascii="仿宋" w:hAnsi="仿宋" w:eastAsia="仿宋" w:cs="仿宋"/>
                <w:bCs/>
                <w:kern w:val="0"/>
                <w:sz w:val="24"/>
                <w:szCs w:val="24"/>
                <w:highlight w:val="none"/>
              </w:rPr>
            </w:pPr>
          </w:p>
        </w:tc>
        <w:tc>
          <w:tcPr>
            <w:tcW w:w="501" w:type="pct"/>
            <w:shd w:val="clear" w:color="auto" w:fill="auto"/>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41" w:type="pct"/>
            <w:shd w:val="clear" w:color="auto" w:fill="auto"/>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p>
        </w:tc>
        <w:tc>
          <w:tcPr>
            <w:tcW w:w="441" w:type="pct"/>
            <w:shd w:val="clear" w:color="auto" w:fill="auto"/>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58" w:hRule="atLeast"/>
          <w:tblHeader/>
          <w:jc w:val="center"/>
        </w:trPr>
        <w:tc>
          <w:tcPr>
            <w:tcW w:w="334" w:type="pct"/>
            <w:shd w:val="clear" w:color="auto" w:fill="auto"/>
            <w:vAlign w:val="center"/>
          </w:tcPr>
          <w:p>
            <w:pPr>
              <w:adjustRightInd w:val="0"/>
              <w:snapToGrid w:val="0"/>
              <w:ind w:left="-80" w:leftChars="-25" w:right="-106" w:rightChars="-3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9</w:t>
            </w:r>
          </w:p>
        </w:tc>
        <w:tc>
          <w:tcPr>
            <w:tcW w:w="1037" w:type="pct"/>
            <w:shd w:val="clear" w:color="auto" w:fill="auto"/>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电气间隙、爬电距离和固体绝缘</w:t>
            </w:r>
          </w:p>
        </w:tc>
        <w:tc>
          <w:tcPr>
            <w:tcW w:w="1422" w:type="pct"/>
            <w:shd w:val="clear" w:color="auto" w:fill="auto"/>
            <w:vAlign w:val="center"/>
          </w:tcPr>
          <w:p>
            <w:pPr>
              <w:widowControl/>
              <w:adjustRightInd w:val="0"/>
              <w:snapToGrid w:val="0"/>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GB4706.1-2005、GB4706.18-2014第29章</w:t>
            </w:r>
          </w:p>
        </w:tc>
        <w:tc>
          <w:tcPr>
            <w:tcW w:w="441" w:type="pct"/>
            <w:shd w:val="clear" w:color="auto" w:fill="auto"/>
            <w:vAlign w:val="center"/>
          </w:tcPr>
          <w:p>
            <w:pPr>
              <w:adjustRightInd w:val="0"/>
              <w:snapToGrid w:val="0"/>
              <w:ind w:left="-109" w:leftChars="-34" w:right="-106" w:rightChars="-33"/>
              <w:jc w:val="center"/>
              <w:rPr>
                <w:rFonts w:hint="eastAsia" w:ascii="仿宋" w:hAnsi="仿宋" w:eastAsia="仿宋" w:cs="仿宋"/>
                <w:bCs/>
                <w:kern w:val="0"/>
                <w:sz w:val="24"/>
                <w:szCs w:val="24"/>
                <w:highlight w:val="none"/>
              </w:rPr>
            </w:pPr>
            <w:r>
              <w:rPr>
                <w:rFonts w:hint="eastAsia" w:ascii="仿宋" w:hAnsi="仿宋" w:eastAsia="仿宋" w:cs="仿宋"/>
                <w:color w:val="000000"/>
                <w:sz w:val="24"/>
                <w:szCs w:val="24"/>
                <w:highlight w:val="none"/>
              </w:rPr>
              <w:t>●</w:t>
            </w:r>
          </w:p>
        </w:tc>
        <w:tc>
          <w:tcPr>
            <w:tcW w:w="380" w:type="pct"/>
            <w:shd w:val="clear" w:color="auto" w:fill="auto"/>
          </w:tcPr>
          <w:p>
            <w:pPr>
              <w:adjustRightInd w:val="0"/>
              <w:snapToGrid w:val="0"/>
              <w:ind w:left="-109" w:leftChars="-34" w:right="-106" w:rightChars="-33"/>
              <w:jc w:val="center"/>
              <w:rPr>
                <w:rFonts w:hint="eastAsia" w:ascii="仿宋" w:hAnsi="仿宋" w:eastAsia="仿宋" w:cs="仿宋"/>
                <w:bCs/>
                <w:kern w:val="0"/>
                <w:sz w:val="24"/>
                <w:szCs w:val="24"/>
                <w:highlight w:val="none"/>
              </w:rPr>
            </w:pPr>
          </w:p>
        </w:tc>
        <w:tc>
          <w:tcPr>
            <w:tcW w:w="501" w:type="pct"/>
            <w:shd w:val="clear" w:color="auto" w:fill="auto"/>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41" w:type="pct"/>
            <w:shd w:val="clear" w:color="auto" w:fill="auto"/>
            <w:vAlign w:val="center"/>
          </w:tcPr>
          <w:p>
            <w:pPr>
              <w:adjustRightInd w:val="0"/>
              <w:snapToGrid w:val="0"/>
              <w:ind w:left="-109" w:leftChars="-34" w:right="-106" w:rightChars="-33"/>
              <w:jc w:val="center"/>
              <w:rPr>
                <w:rFonts w:hint="eastAsia" w:ascii="仿宋" w:hAnsi="仿宋" w:eastAsia="仿宋" w:cs="仿宋"/>
                <w:color w:val="000000"/>
                <w:sz w:val="24"/>
                <w:szCs w:val="24"/>
                <w:highlight w:val="none"/>
              </w:rPr>
            </w:pPr>
          </w:p>
        </w:tc>
        <w:tc>
          <w:tcPr>
            <w:tcW w:w="441" w:type="pct"/>
            <w:shd w:val="clear" w:color="auto" w:fill="auto"/>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5000" w:type="pct"/>
            <w:gridSpan w:val="8"/>
            <w:shd w:val="clear" w:color="auto" w:fill="auto"/>
            <w:vAlign w:val="center"/>
          </w:tcPr>
          <w:p>
            <w:pPr>
              <w:adjustRightInd w:val="0"/>
              <w:snapToGrid w:val="0"/>
              <w:ind w:left="-106" w:leftChars="-33" w:right="-106" w:rightChars="-33"/>
              <w:jc w:val="left"/>
              <w:rPr>
                <w:rFonts w:hint="eastAsia" w:ascii="仿宋" w:hAnsi="仿宋" w:eastAsia="仿宋" w:cs="仿宋"/>
                <w:bCs/>
                <w:kern w:val="0"/>
                <w:sz w:val="24"/>
                <w:szCs w:val="24"/>
                <w:highlight w:val="none"/>
              </w:rPr>
            </w:pPr>
            <w:r>
              <w:rPr>
                <w:rFonts w:hint="eastAsia" w:ascii="仿宋" w:hAnsi="仿宋" w:eastAsia="仿宋" w:cs="仿宋"/>
                <w:bCs/>
                <w:kern w:val="0"/>
                <w:sz w:val="24"/>
                <w:szCs w:val="24"/>
                <w:highlight w:val="none"/>
              </w:rPr>
              <w:t>备注：</w:t>
            </w:r>
          </w:p>
          <w:p>
            <w:pPr>
              <w:adjustRightInd w:val="0"/>
              <w:snapToGrid w:val="0"/>
              <w:ind w:left="-106" w:leftChars="-33" w:right="-106" w:rightChars="-33" w:firstLine="376" w:firstLineChars="157"/>
              <w:jc w:val="left"/>
              <w:rPr>
                <w:rFonts w:hint="eastAsia" w:ascii="仿宋" w:hAnsi="仿宋" w:eastAsia="仿宋" w:cs="仿宋"/>
                <w:bCs/>
                <w:kern w:val="0"/>
                <w:sz w:val="24"/>
                <w:szCs w:val="24"/>
                <w:highlight w:val="none"/>
              </w:rPr>
            </w:pPr>
            <w:r>
              <w:rPr>
                <w:rFonts w:hint="eastAsia" w:ascii="仿宋" w:hAnsi="仿宋" w:eastAsia="仿宋" w:cs="仿宋"/>
                <w:bCs/>
                <w:kern w:val="0"/>
                <w:sz w:val="24"/>
                <w:szCs w:val="24"/>
                <w:highlight w:val="none"/>
              </w:rPr>
              <w:t>1）若明示符合GB 42296-2022标准，则应依据下表（二）进行检测；</w:t>
            </w:r>
          </w:p>
          <w:p>
            <w:pPr>
              <w:adjustRightInd w:val="0"/>
              <w:snapToGrid w:val="0"/>
              <w:ind w:left="-106" w:leftChars="-33" w:right="-106" w:rightChars="-33" w:firstLine="376" w:firstLineChars="157"/>
              <w:jc w:val="left"/>
              <w:rPr>
                <w:rFonts w:hint="eastAsia" w:ascii="仿宋" w:hAnsi="仿宋" w:eastAsia="仿宋" w:cs="仿宋"/>
                <w:bCs/>
                <w:kern w:val="0"/>
                <w:sz w:val="24"/>
                <w:szCs w:val="24"/>
                <w:highlight w:val="none"/>
              </w:rPr>
            </w:pPr>
            <w:r>
              <w:rPr>
                <w:rFonts w:hint="eastAsia" w:ascii="仿宋" w:hAnsi="仿宋" w:eastAsia="仿宋" w:cs="仿宋"/>
                <w:bCs/>
                <w:kern w:val="0"/>
                <w:sz w:val="24"/>
                <w:szCs w:val="24"/>
                <w:highlight w:val="none"/>
              </w:rPr>
              <w:t>2）若电源输出为安全特低电压或产品明示符合GB4706.18标准（包含或不包含年号），则依据GB 4706.18-2014标准检测；否则，只依据GB 4706.1-2005标准检测。</w:t>
            </w:r>
          </w:p>
        </w:tc>
      </w:tr>
    </w:tbl>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szCs w:val="28"/>
          <w:highlight w:val="none"/>
          <w:lang w:val="en-US" w:eastAsia="zh-CN"/>
        </w:rPr>
      </w:pPr>
      <w:r>
        <w:rPr>
          <w:rFonts w:hint="eastAsia" w:ascii="仿宋" w:hAnsi="仿宋" w:eastAsia="仿宋" w:cs="仿宋"/>
          <w:szCs w:val="28"/>
          <w:highlight w:val="none"/>
          <w:lang w:val="en-US" w:eastAsia="zh-CN"/>
        </w:rPr>
        <w:t>2.生产日期为2023年7月1日当日及之后的产品</w:t>
      </w:r>
    </w:p>
    <w:tbl>
      <w:tblPr>
        <w:tblStyle w:val="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
        <w:gridCol w:w="2021"/>
        <w:gridCol w:w="2512"/>
        <w:gridCol w:w="723"/>
        <w:gridCol w:w="689"/>
        <w:gridCol w:w="908"/>
        <w:gridCol w:w="799"/>
        <w:gridCol w:w="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3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80" w:leftChars="-25"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序号</w:t>
            </w:r>
          </w:p>
        </w:tc>
        <w:tc>
          <w:tcPr>
            <w:tcW w:w="111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检验项目</w:t>
            </w:r>
          </w:p>
        </w:tc>
        <w:tc>
          <w:tcPr>
            <w:tcW w:w="1386"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6" w:lef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依据法律法规</w:t>
            </w:r>
          </w:p>
          <w:p>
            <w:pPr>
              <w:adjustRightInd w:val="0"/>
              <w:snapToGrid w:val="0"/>
              <w:ind w:left="-106" w:lef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或标准</w:t>
            </w:r>
          </w:p>
        </w:tc>
        <w:tc>
          <w:tcPr>
            <w:tcW w:w="39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强制性</w:t>
            </w:r>
          </w:p>
        </w:tc>
        <w:tc>
          <w:tcPr>
            <w:tcW w:w="38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非强制性</w:t>
            </w:r>
          </w:p>
        </w:tc>
        <w:tc>
          <w:tcPr>
            <w:tcW w:w="50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重要项</w:t>
            </w: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较重要项</w:t>
            </w: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6" w:leftChars="-33"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3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1</w:t>
            </w:r>
          </w:p>
        </w:tc>
        <w:tc>
          <w:tcPr>
            <w:tcW w:w="111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b/>
                <w:sz w:val="24"/>
                <w:szCs w:val="24"/>
                <w:highlight w:val="none"/>
              </w:rPr>
            </w:pPr>
            <w:r>
              <w:rPr>
                <w:rFonts w:hint="eastAsia" w:ascii="仿宋" w:hAnsi="仿宋" w:eastAsia="仿宋" w:cs="仿宋"/>
                <w:sz w:val="24"/>
                <w:szCs w:val="24"/>
                <w:highlight w:val="none"/>
              </w:rPr>
              <w:t>外壳冲击</w:t>
            </w:r>
          </w:p>
        </w:tc>
        <w:tc>
          <w:tcPr>
            <w:tcW w:w="138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b/>
                <w:sz w:val="24"/>
                <w:szCs w:val="24"/>
                <w:highlight w:val="none"/>
              </w:rPr>
            </w:pPr>
            <w:r>
              <w:rPr>
                <w:rFonts w:hint="eastAsia" w:ascii="仿宋" w:hAnsi="仿宋" w:eastAsia="仿宋" w:cs="仿宋"/>
                <w:sz w:val="24"/>
                <w:szCs w:val="24"/>
                <w:highlight w:val="none"/>
              </w:rPr>
              <w:t>GB 42296-2022第5.1.1条款</w:t>
            </w:r>
          </w:p>
        </w:tc>
        <w:tc>
          <w:tcPr>
            <w:tcW w:w="39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38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none"/>
              </w:rPr>
            </w:pPr>
          </w:p>
        </w:tc>
        <w:tc>
          <w:tcPr>
            <w:tcW w:w="50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b/>
                <w:sz w:val="24"/>
                <w:szCs w:val="24"/>
                <w:highlight w:val="none"/>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3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2</w:t>
            </w:r>
          </w:p>
        </w:tc>
        <w:tc>
          <w:tcPr>
            <w:tcW w:w="111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结构</w:t>
            </w:r>
          </w:p>
        </w:tc>
        <w:tc>
          <w:tcPr>
            <w:tcW w:w="1386" w:type="pct"/>
            <w:tcBorders>
              <w:top w:val="single" w:color="auto" w:sz="4" w:space="0"/>
              <w:left w:val="single" w:color="auto" w:sz="4" w:space="0"/>
              <w:bottom w:val="single" w:color="auto" w:sz="4" w:space="0"/>
              <w:right w:val="single" w:color="auto" w:sz="4" w:space="0"/>
            </w:tcBorders>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42296-2022第5.1.4条款</w:t>
            </w:r>
          </w:p>
        </w:tc>
        <w:tc>
          <w:tcPr>
            <w:tcW w:w="39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38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none"/>
              </w:rPr>
            </w:pPr>
          </w:p>
        </w:tc>
        <w:tc>
          <w:tcPr>
            <w:tcW w:w="50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none"/>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3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3</w:t>
            </w:r>
          </w:p>
        </w:tc>
        <w:tc>
          <w:tcPr>
            <w:tcW w:w="111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内部布线</w:t>
            </w:r>
          </w:p>
        </w:tc>
        <w:tc>
          <w:tcPr>
            <w:tcW w:w="1386" w:type="pct"/>
            <w:tcBorders>
              <w:top w:val="single" w:color="auto" w:sz="4" w:space="0"/>
              <w:left w:val="single" w:color="auto" w:sz="4" w:space="0"/>
              <w:bottom w:val="single" w:color="auto" w:sz="4" w:space="0"/>
              <w:right w:val="single" w:color="auto" w:sz="4" w:space="0"/>
            </w:tcBorders>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42296-2022第5.1.5条款</w:t>
            </w:r>
          </w:p>
        </w:tc>
        <w:tc>
          <w:tcPr>
            <w:tcW w:w="39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38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none"/>
              </w:rPr>
            </w:pPr>
          </w:p>
        </w:tc>
        <w:tc>
          <w:tcPr>
            <w:tcW w:w="50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none"/>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3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4</w:t>
            </w:r>
          </w:p>
        </w:tc>
        <w:tc>
          <w:tcPr>
            <w:tcW w:w="111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工作温度下的泄漏电流</w:t>
            </w:r>
          </w:p>
        </w:tc>
        <w:tc>
          <w:tcPr>
            <w:tcW w:w="1386" w:type="pct"/>
            <w:tcBorders>
              <w:top w:val="single" w:color="auto" w:sz="4" w:space="0"/>
              <w:left w:val="single" w:color="auto" w:sz="4" w:space="0"/>
              <w:bottom w:val="single" w:color="auto" w:sz="4" w:space="0"/>
              <w:right w:val="single" w:color="auto" w:sz="4" w:space="0"/>
            </w:tcBorders>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42296-2022第5.2.1条款</w:t>
            </w:r>
          </w:p>
        </w:tc>
        <w:tc>
          <w:tcPr>
            <w:tcW w:w="39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38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none"/>
              </w:rPr>
            </w:pPr>
          </w:p>
        </w:tc>
        <w:tc>
          <w:tcPr>
            <w:tcW w:w="50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none"/>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33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5</w:t>
            </w:r>
          </w:p>
        </w:tc>
        <w:tc>
          <w:tcPr>
            <w:tcW w:w="111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电气强度</w:t>
            </w:r>
          </w:p>
        </w:tc>
        <w:tc>
          <w:tcPr>
            <w:tcW w:w="1386" w:type="pct"/>
            <w:tcBorders>
              <w:top w:val="single" w:color="auto" w:sz="4" w:space="0"/>
              <w:left w:val="single" w:color="auto" w:sz="4" w:space="0"/>
              <w:bottom w:val="single" w:color="auto" w:sz="4" w:space="0"/>
              <w:right w:val="single" w:color="auto" w:sz="4" w:space="0"/>
            </w:tcBorders>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42296-2022第5.2.2条款</w:t>
            </w:r>
          </w:p>
        </w:tc>
        <w:tc>
          <w:tcPr>
            <w:tcW w:w="39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38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none"/>
              </w:rPr>
            </w:pPr>
          </w:p>
        </w:tc>
        <w:tc>
          <w:tcPr>
            <w:tcW w:w="50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 w:hAnsi="仿宋" w:eastAsia="仿宋" w:cs="仿宋"/>
                <w:sz w:val="24"/>
                <w:szCs w:val="24"/>
                <w:highlight w:val="none"/>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34"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6</w:t>
            </w:r>
          </w:p>
        </w:tc>
        <w:tc>
          <w:tcPr>
            <w:tcW w:w="111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电气间隙、爬电距离和固体绝缘</w:t>
            </w:r>
          </w:p>
        </w:tc>
        <w:tc>
          <w:tcPr>
            <w:tcW w:w="1386" w:type="pct"/>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42296-2022第5.2.3条款</w:t>
            </w:r>
          </w:p>
        </w:tc>
        <w:tc>
          <w:tcPr>
            <w:tcW w:w="399"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380" w:type="pct"/>
            <w:vAlign w:val="center"/>
          </w:tcPr>
          <w:p>
            <w:pPr>
              <w:adjustRightInd w:val="0"/>
              <w:snapToGrid w:val="0"/>
              <w:jc w:val="center"/>
              <w:rPr>
                <w:rFonts w:hint="eastAsia" w:ascii="仿宋" w:hAnsi="仿宋" w:eastAsia="仿宋" w:cs="仿宋"/>
                <w:sz w:val="24"/>
                <w:szCs w:val="24"/>
                <w:highlight w:val="none"/>
              </w:rPr>
            </w:pPr>
          </w:p>
        </w:tc>
        <w:tc>
          <w:tcPr>
            <w:tcW w:w="50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441" w:type="pct"/>
            <w:vAlign w:val="center"/>
          </w:tcPr>
          <w:p>
            <w:pPr>
              <w:adjustRightInd w:val="0"/>
              <w:snapToGrid w:val="0"/>
              <w:jc w:val="center"/>
              <w:rPr>
                <w:rFonts w:hint="eastAsia" w:ascii="仿宋" w:hAnsi="仿宋" w:eastAsia="仿宋" w:cs="仿宋"/>
                <w:sz w:val="24"/>
                <w:szCs w:val="24"/>
                <w:highlight w:val="none"/>
              </w:rPr>
            </w:pPr>
          </w:p>
        </w:tc>
        <w:tc>
          <w:tcPr>
            <w:tcW w:w="441" w:type="pct"/>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34"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7</w:t>
            </w:r>
          </w:p>
        </w:tc>
        <w:tc>
          <w:tcPr>
            <w:tcW w:w="111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防触电保护</w:t>
            </w:r>
          </w:p>
        </w:tc>
        <w:tc>
          <w:tcPr>
            <w:tcW w:w="1386" w:type="pct"/>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42296-2022第5.2.4条款</w:t>
            </w:r>
          </w:p>
        </w:tc>
        <w:tc>
          <w:tcPr>
            <w:tcW w:w="399"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380" w:type="pct"/>
            <w:vAlign w:val="center"/>
          </w:tcPr>
          <w:p>
            <w:pPr>
              <w:adjustRightInd w:val="0"/>
              <w:snapToGrid w:val="0"/>
              <w:jc w:val="center"/>
              <w:rPr>
                <w:rFonts w:hint="eastAsia" w:ascii="仿宋" w:hAnsi="仿宋" w:eastAsia="仿宋" w:cs="仿宋"/>
                <w:sz w:val="24"/>
                <w:szCs w:val="24"/>
                <w:highlight w:val="none"/>
              </w:rPr>
            </w:pPr>
          </w:p>
        </w:tc>
        <w:tc>
          <w:tcPr>
            <w:tcW w:w="50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441" w:type="pct"/>
            <w:vAlign w:val="center"/>
          </w:tcPr>
          <w:p>
            <w:pPr>
              <w:adjustRightInd w:val="0"/>
              <w:snapToGrid w:val="0"/>
              <w:jc w:val="center"/>
              <w:rPr>
                <w:rFonts w:hint="eastAsia" w:ascii="仿宋" w:hAnsi="仿宋" w:eastAsia="仿宋" w:cs="仿宋"/>
                <w:sz w:val="24"/>
                <w:szCs w:val="24"/>
                <w:highlight w:val="none"/>
              </w:rPr>
            </w:pPr>
          </w:p>
        </w:tc>
        <w:tc>
          <w:tcPr>
            <w:tcW w:w="441" w:type="pct"/>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34"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8</w:t>
            </w:r>
          </w:p>
        </w:tc>
        <w:tc>
          <w:tcPr>
            <w:tcW w:w="111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非正常工作（不包括5.2.5.4）</w:t>
            </w:r>
          </w:p>
        </w:tc>
        <w:tc>
          <w:tcPr>
            <w:tcW w:w="1386" w:type="pct"/>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42296-2022第5.2.5条款</w:t>
            </w:r>
          </w:p>
        </w:tc>
        <w:tc>
          <w:tcPr>
            <w:tcW w:w="399"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380" w:type="pct"/>
            <w:vAlign w:val="center"/>
          </w:tcPr>
          <w:p>
            <w:pPr>
              <w:adjustRightInd w:val="0"/>
              <w:snapToGrid w:val="0"/>
              <w:jc w:val="center"/>
              <w:rPr>
                <w:rFonts w:hint="eastAsia" w:ascii="仿宋" w:hAnsi="仿宋" w:eastAsia="仿宋" w:cs="仿宋"/>
                <w:sz w:val="24"/>
                <w:szCs w:val="24"/>
                <w:highlight w:val="none"/>
              </w:rPr>
            </w:pPr>
          </w:p>
        </w:tc>
        <w:tc>
          <w:tcPr>
            <w:tcW w:w="50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441" w:type="pct"/>
            <w:vAlign w:val="center"/>
          </w:tcPr>
          <w:p>
            <w:pPr>
              <w:adjustRightInd w:val="0"/>
              <w:snapToGrid w:val="0"/>
              <w:jc w:val="center"/>
              <w:rPr>
                <w:rFonts w:hint="eastAsia" w:ascii="仿宋" w:hAnsi="仿宋" w:eastAsia="仿宋" w:cs="仿宋"/>
                <w:sz w:val="24"/>
                <w:szCs w:val="24"/>
                <w:highlight w:val="none"/>
              </w:rPr>
            </w:pPr>
          </w:p>
        </w:tc>
        <w:tc>
          <w:tcPr>
            <w:tcW w:w="441" w:type="pct"/>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34"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9</w:t>
            </w:r>
          </w:p>
        </w:tc>
        <w:tc>
          <w:tcPr>
            <w:tcW w:w="111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熔断器</w:t>
            </w:r>
          </w:p>
        </w:tc>
        <w:tc>
          <w:tcPr>
            <w:tcW w:w="1386" w:type="pct"/>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42296-2022第5.2.6条款</w:t>
            </w:r>
          </w:p>
        </w:tc>
        <w:tc>
          <w:tcPr>
            <w:tcW w:w="399"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380" w:type="pct"/>
            <w:vAlign w:val="center"/>
          </w:tcPr>
          <w:p>
            <w:pPr>
              <w:adjustRightInd w:val="0"/>
              <w:snapToGrid w:val="0"/>
              <w:jc w:val="center"/>
              <w:rPr>
                <w:rFonts w:hint="eastAsia" w:ascii="仿宋" w:hAnsi="仿宋" w:eastAsia="仿宋" w:cs="仿宋"/>
                <w:sz w:val="24"/>
                <w:szCs w:val="24"/>
                <w:highlight w:val="none"/>
              </w:rPr>
            </w:pPr>
          </w:p>
        </w:tc>
        <w:tc>
          <w:tcPr>
            <w:tcW w:w="50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441" w:type="pct"/>
            <w:vAlign w:val="center"/>
          </w:tcPr>
          <w:p>
            <w:pPr>
              <w:adjustRightInd w:val="0"/>
              <w:snapToGrid w:val="0"/>
              <w:jc w:val="center"/>
              <w:rPr>
                <w:rFonts w:hint="eastAsia" w:ascii="仿宋" w:hAnsi="仿宋" w:eastAsia="仿宋" w:cs="仿宋"/>
                <w:sz w:val="24"/>
                <w:szCs w:val="24"/>
                <w:highlight w:val="none"/>
              </w:rPr>
            </w:pPr>
          </w:p>
        </w:tc>
        <w:tc>
          <w:tcPr>
            <w:tcW w:w="441" w:type="pct"/>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34"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w:t>
            </w:r>
          </w:p>
        </w:tc>
        <w:tc>
          <w:tcPr>
            <w:tcW w:w="111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充电参数</w:t>
            </w:r>
          </w:p>
        </w:tc>
        <w:tc>
          <w:tcPr>
            <w:tcW w:w="1386" w:type="pct"/>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42296-2022第5.2.7条款</w:t>
            </w:r>
          </w:p>
        </w:tc>
        <w:tc>
          <w:tcPr>
            <w:tcW w:w="399"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380" w:type="pct"/>
            <w:vAlign w:val="center"/>
          </w:tcPr>
          <w:p>
            <w:pPr>
              <w:adjustRightInd w:val="0"/>
              <w:snapToGrid w:val="0"/>
              <w:jc w:val="center"/>
              <w:rPr>
                <w:rFonts w:hint="eastAsia" w:ascii="仿宋" w:hAnsi="仿宋" w:eastAsia="仿宋" w:cs="仿宋"/>
                <w:sz w:val="24"/>
                <w:szCs w:val="24"/>
                <w:highlight w:val="none"/>
              </w:rPr>
            </w:pPr>
          </w:p>
        </w:tc>
        <w:tc>
          <w:tcPr>
            <w:tcW w:w="50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441" w:type="pct"/>
            <w:vAlign w:val="center"/>
          </w:tcPr>
          <w:p>
            <w:pPr>
              <w:adjustRightInd w:val="0"/>
              <w:snapToGrid w:val="0"/>
              <w:jc w:val="center"/>
              <w:rPr>
                <w:rFonts w:hint="eastAsia" w:ascii="仿宋" w:hAnsi="仿宋" w:eastAsia="仿宋" w:cs="仿宋"/>
                <w:sz w:val="24"/>
                <w:szCs w:val="24"/>
                <w:highlight w:val="none"/>
              </w:rPr>
            </w:pPr>
          </w:p>
        </w:tc>
        <w:tc>
          <w:tcPr>
            <w:tcW w:w="441" w:type="pct"/>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34"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11</w:t>
            </w:r>
          </w:p>
        </w:tc>
        <w:tc>
          <w:tcPr>
            <w:tcW w:w="111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电源软线及输出线（不包括5.2.8.8）</w:t>
            </w:r>
          </w:p>
        </w:tc>
        <w:tc>
          <w:tcPr>
            <w:tcW w:w="1386" w:type="pct"/>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42296-2022 第5.2.8条款</w:t>
            </w:r>
          </w:p>
        </w:tc>
        <w:tc>
          <w:tcPr>
            <w:tcW w:w="399"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380" w:type="pct"/>
            <w:vAlign w:val="center"/>
          </w:tcPr>
          <w:p>
            <w:pPr>
              <w:adjustRightInd w:val="0"/>
              <w:snapToGrid w:val="0"/>
              <w:jc w:val="center"/>
              <w:rPr>
                <w:rFonts w:hint="eastAsia" w:ascii="仿宋" w:hAnsi="仿宋" w:eastAsia="仿宋" w:cs="仿宋"/>
                <w:sz w:val="24"/>
                <w:szCs w:val="24"/>
                <w:highlight w:val="none"/>
              </w:rPr>
            </w:pPr>
          </w:p>
        </w:tc>
        <w:tc>
          <w:tcPr>
            <w:tcW w:w="50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441" w:type="pct"/>
            <w:vAlign w:val="center"/>
          </w:tcPr>
          <w:p>
            <w:pPr>
              <w:adjustRightInd w:val="0"/>
              <w:snapToGrid w:val="0"/>
              <w:jc w:val="center"/>
              <w:rPr>
                <w:rFonts w:hint="eastAsia" w:ascii="仿宋" w:hAnsi="仿宋" w:eastAsia="仿宋" w:cs="仿宋"/>
                <w:sz w:val="24"/>
                <w:szCs w:val="24"/>
                <w:highlight w:val="none"/>
              </w:rPr>
            </w:pPr>
          </w:p>
        </w:tc>
        <w:tc>
          <w:tcPr>
            <w:tcW w:w="441" w:type="pct"/>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34"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12</w:t>
            </w:r>
          </w:p>
        </w:tc>
        <w:tc>
          <w:tcPr>
            <w:tcW w:w="111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温升</w:t>
            </w:r>
          </w:p>
        </w:tc>
        <w:tc>
          <w:tcPr>
            <w:tcW w:w="1386" w:type="pct"/>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42296-2022第5.4.1条款</w:t>
            </w:r>
          </w:p>
        </w:tc>
        <w:tc>
          <w:tcPr>
            <w:tcW w:w="399"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380" w:type="pct"/>
            <w:vAlign w:val="center"/>
          </w:tcPr>
          <w:p>
            <w:pPr>
              <w:adjustRightInd w:val="0"/>
              <w:snapToGrid w:val="0"/>
              <w:jc w:val="center"/>
              <w:rPr>
                <w:rFonts w:hint="eastAsia" w:ascii="仿宋" w:hAnsi="仿宋" w:eastAsia="仿宋" w:cs="仿宋"/>
                <w:sz w:val="24"/>
                <w:szCs w:val="24"/>
                <w:highlight w:val="none"/>
              </w:rPr>
            </w:pPr>
          </w:p>
        </w:tc>
        <w:tc>
          <w:tcPr>
            <w:tcW w:w="50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441" w:type="pct"/>
            <w:vAlign w:val="center"/>
          </w:tcPr>
          <w:p>
            <w:pPr>
              <w:adjustRightInd w:val="0"/>
              <w:snapToGrid w:val="0"/>
              <w:jc w:val="center"/>
              <w:rPr>
                <w:rFonts w:hint="eastAsia" w:ascii="仿宋" w:hAnsi="仿宋" w:eastAsia="仿宋" w:cs="仿宋"/>
                <w:sz w:val="24"/>
                <w:szCs w:val="24"/>
                <w:highlight w:val="none"/>
              </w:rPr>
            </w:pPr>
          </w:p>
        </w:tc>
        <w:tc>
          <w:tcPr>
            <w:tcW w:w="441" w:type="pct"/>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34"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13</w:t>
            </w:r>
          </w:p>
        </w:tc>
        <w:tc>
          <w:tcPr>
            <w:tcW w:w="111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过充切断</w:t>
            </w:r>
          </w:p>
        </w:tc>
        <w:tc>
          <w:tcPr>
            <w:tcW w:w="1386" w:type="pct"/>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42296-2022第5.4.3条款</w:t>
            </w:r>
          </w:p>
        </w:tc>
        <w:tc>
          <w:tcPr>
            <w:tcW w:w="399"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380" w:type="pct"/>
            <w:vAlign w:val="center"/>
          </w:tcPr>
          <w:p>
            <w:pPr>
              <w:adjustRightInd w:val="0"/>
              <w:snapToGrid w:val="0"/>
              <w:jc w:val="center"/>
              <w:rPr>
                <w:rFonts w:hint="eastAsia" w:ascii="仿宋" w:hAnsi="仿宋" w:eastAsia="仿宋" w:cs="仿宋"/>
                <w:sz w:val="24"/>
                <w:szCs w:val="24"/>
                <w:highlight w:val="none"/>
              </w:rPr>
            </w:pPr>
          </w:p>
        </w:tc>
        <w:tc>
          <w:tcPr>
            <w:tcW w:w="50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441" w:type="pct"/>
            <w:vAlign w:val="center"/>
          </w:tcPr>
          <w:p>
            <w:pPr>
              <w:adjustRightInd w:val="0"/>
              <w:snapToGrid w:val="0"/>
              <w:jc w:val="center"/>
              <w:rPr>
                <w:rFonts w:hint="eastAsia" w:ascii="仿宋" w:hAnsi="仿宋" w:eastAsia="仿宋" w:cs="仿宋"/>
                <w:sz w:val="24"/>
                <w:szCs w:val="24"/>
                <w:highlight w:val="none"/>
              </w:rPr>
            </w:pPr>
          </w:p>
        </w:tc>
        <w:tc>
          <w:tcPr>
            <w:tcW w:w="441" w:type="pct"/>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34"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14</w:t>
            </w:r>
          </w:p>
        </w:tc>
        <w:tc>
          <w:tcPr>
            <w:tcW w:w="111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延时切断</w:t>
            </w:r>
          </w:p>
        </w:tc>
        <w:tc>
          <w:tcPr>
            <w:tcW w:w="1386" w:type="pct"/>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42296-2022第5.4.4条款</w:t>
            </w:r>
          </w:p>
        </w:tc>
        <w:tc>
          <w:tcPr>
            <w:tcW w:w="399"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380" w:type="pct"/>
            <w:vAlign w:val="center"/>
          </w:tcPr>
          <w:p>
            <w:pPr>
              <w:adjustRightInd w:val="0"/>
              <w:snapToGrid w:val="0"/>
              <w:jc w:val="center"/>
              <w:rPr>
                <w:rFonts w:hint="eastAsia" w:ascii="仿宋" w:hAnsi="仿宋" w:eastAsia="仿宋" w:cs="仿宋"/>
                <w:sz w:val="24"/>
                <w:szCs w:val="24"/>
                <w:highlight w:val="none"/>
              </w:rPr>
            </w:pPr>
          </w:p>
        </w:tc>
        <w:tc>
          <w:tcPr>
            <w:tcW w:w="50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441" w:type="pct"/>
            <w:vAlign w:val="center"/>
          </w:tcPr>
          <w:p>
            <w:pPr>
              <w:adjustRightInd w:val="0"/>
              <w:snapToGrid w:val="0"/>
              <w:jc w:val="center"/>
              <w:rPr>
                <w:rFonts w:hint="eastAsia" w:ascii="仿宋" w:hAnsi="仿宋" w:eastAsia="仿宋" w:cs="仿宋"/>
                <w:sz w:val="24"/>
                <w:szCs w:val="24"/>
                <w:highlight w:val="none"/>
              </w:rPr>
            </w:pPr>
          </w:p>
        </w:tc>
        <w:tc>
          <w:tcPr>
            <w:tcW w:w="441" w:type="pct"/>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34"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15</w:t>
            </w:r>
          </w:p>
        </w:tc>
        <w:tc>
          <w:tcPr>
            <w:tcW w:w="111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输出接口安全性</w:t>
            </w:r>
          </w:p>
        </w:tc>
        <w:tc>
          <w:tcPr>
            <w:tcW w:w="1386" w:type="pct"/>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42296-2022第5.5条款</w:t>
            </w:r>
          </w:p>
        </w:tc>
        <w:tc>
          <w:tcPr>
            <w:tcW w:w="399"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380" w:type="pct"/>
            <w:vAlign w:val="center"/>
          </w:tcPr>
          <w:p>
            <w:pPr>
              <w:adjustRightInd w:val="0"/>
              <w:snapToGrid w:val="0"/>
              <w:jc w:val="center"/>
              <w:rPr>
                <w:rFonts w:hint="eastAsia" w:ascii="仿宋" w:hAnsi="仿宋" w:eastAsia="仿宋" w:cs="仿宋"/>
                <w:sz w:val="24"/>
                <w:szCs w:val="24"/>
                <w:highlight w:val="none"/>
              </w:rPr>
            </w:pPr>
          </w:p>
        </w:tc>
        <w:tc>
          <w:tcPr>
            <w:tcW w:w="50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441" w:type="pct"/>
            <w:vAlign w:val="center"/>
          </w:tcPr>
          <w:p>
            <w:pPr>
              <w:adjustRightInd w:val="0"/>
              <w:snapToGrid w:val="0"/>
              <w:jc w:val="center"/>
              <w:rPr>
                <w:rFonts w:hint="eastAsia" w:ascii="仿宋" w:hAnsi="仿宋" w:eastAsia="仿宋" w:cs="仿宋"/>
                <w:sz w:val="24"/>
                <w:szCs w:val="24"/>
                <w:highlight w:val="none"/>
              </w:rPr>
            </w:pPr>
          </w:p>
        </w:tc>
        <w:tc>
          <w:tcPr>
            <w:tcW w:w="441" w:type="pct"/>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34"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16</w:t>
            </w:r>
          </w:p>
        </w:tc>
        <w:tc>
          <w:tcPr>
            <w:tcW w:w="1115"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端子骚扰电压</w:t>
            </w:r>
          </w:p>
        </w:tc>
        <w:tc>
          <w:tcPr>
            <w:tcW w:w="1386"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42296-2022第5.7.2条款</w:t>
            </w:r>
          </w:p>
        </w:tc>
        <w:tc>
          <w:tcPr>
            <w:tcW w:w="399"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380" w:type="pct"/>
            <w:vAlign w:val="center"/>
          </w:tcPr>
          <w:p>
            <w:pPr>
              <w:adjustRightInd w:val="0"/>
              <w:snapToGrid w:val="0"/>
              <w:jc w:val="center"/>
              <w:rPr>
                <w:rFonts w:hint="eastAsia" w:ascii="仿宋" w:hAnsi="仿宋" w:eastAsia="仿宋" w:cs="仿宋"/>
                <w:sz w:val="24"/>
                <w:szCs w:val="24"/>
                <w:highlight w:val="none"/>
              </w:rPr>
            </w:pPr>
          </w:p>
        </w:tc>
        <w:tc>
          <w:tcPr>
            <w:tcW w:w="501" w:type="pct"/>
            <w:vAlign w:val="center"/>
          </w:tcPr>
          <w:p>
            <w:pPr>
              <w:adjustRightInd w:val="0"/>
              <w:snapToGrid w:val="0"/>
              <w:jc w:val="center"/>
              <w:rPr>
                <w:rFonts w:hint="eastAsia" w:ascii="仿宋" w:hAnsi="仿宋" w:eastAsia="仿宋" w:cs="仿宋"/>
                <w:sz w:val="24"/>
                <w:szCs w:val="24"/>
                <w:highlight w:val="none"/>
              </w:rPr>
            </w:pPr>
          </w:p>
        </w:tc>
        <w:tc>
          <w:tcPr>
            <w:tcW w:w="44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441" w:type="pct"/>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34"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17</w:t>
            </w:r>
          </w:p>
        </w:tc>
        <w:tc>
          <w:tcPr>
            <w:tcW w:w="1115" w:type="pct"/>
            <w:vAlign w:val="center"/>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谐波电流</w:t>
            </w:r>
          </w:p>
        </w:tc>
        <w:tc>
          <w:tcPr>
            <w:tcW w:w="1386" w:type="pct"/>
            <w:vAlign w:val="center"/>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42296-2022第5.7.4条款</w:t>
            </w:r>
          </w:p>
        </w:tc>
        <w:tc>
          <w:tcPr>
            <w:tcW w:w="399"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380" w:type="pct"/>
            <w:vAlign w:val="center"/>
          </w:tcPr>
          <w:p>
            <w:pPr>
              <w:adjustRightInd w:val="0"/>
              <w:snapToGrid w:val="0"/>
              <w:jc w:val="center"/>
              <w:rPr>
                <w:rFonts w:hint="eastAsia" w:ascii="仿宋" w:hAnsi="仿宋" w:eastAsia="仿宋" w:cs="仿宋"/>
                <w:sz w:val="24"/>
                <w:szCs w:val="24"/>
                <w:highlight w:val="none"/>
              </w:rPr>
            </w:pPr>
          </w:p>
        </w:tc>
        <w:tc>
          <w:tcPr>
            <w:tcW w:w="501" w:type="pct"/>
            <w:vAlign w:val="center"/>
          </w:tcPr>
          <w:p>
            <w:pPr>
              <w:adjustRightInd w:val="0"/>
              <w:snapToGrid w:val="0"/>
              <w:jc w:val="center"/>
              <w:rPr>
                <w:rFonts w:hint="eastAsia" w:ascii="仿宋" w:hAnsi="仿宋" w:eastAsia="仿宋" w:cs="仿宋"/>
                <w:sz w:val="24"/>
                <w:szCs w:val="24"/>
                <w:highlight w:val="none"/>
              </w:rPr>
            </w:pPr>
          </w:p>
        </w:tc>
        <w:tc>
          <w:tcPr>
            <w:tcW w:w="44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441" w:type="pct"/>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34" w:type="pct"/>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18</w:t>
            </w:r>
          </w:p>
        </w:tc>
        <w:tc>
          <w:tcPr>
            <w:tcW w:w="1115" w:type="pct"/>
            <w:vAlign w:val="center"/>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标志、警示语和说明书</w:t>
            </w:r>
          </w:p>
        </w:tc>
        <w:tc>
          <w:tcPr>
            <w:tcW w:w="1386" w:type="pct"/>
            <w:vAlign w:val="center"/>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42296-2022第7条款</w:t>
            </w:r>
          </w:p>
        </w:tc>
        <w:tc>
          <w:tcPr>
            <w:tcW w:w="399"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380" w:type="pct"/>
            <w:vAlign w:val="center"/>
          </w:tcPr>
          <w:p>
            <w:pPr>
              <w:adjustRightInd w:val="0"/>
              <w:snapToGrid w:val="0"/>
              <w:jc w:val="center"/>
              <w:rPr>
                <w:rFonts w:hint="eastAsia" w:ascii="仿宋" w:hAnsi="仿宋" w:eastAsia="仿宋" w:cs="仿宋"/>
                <w:sz w:val="24"/>
                <w:szCs w:val="24"/>
                <w:highlight w:val="none"/>
              </w:rPr>
            </w:pPr>
          </w:p>
        </w:tc>
        <w:tc>
          <w:tcPr>
            <w:tcW w:w="501" w:type="pct"/>
            <w:vAlign w:val="center"/>
          </w:tcPr>
          <w:p>
            <w:pPr>
              <w:adjustRightInd w:val="0"/>
              <w:snapToGrid w:val="0"/>
              <w:jc w:val="center"/>
              <w:rPr>
                <w:rFonts w:hint="eastAsia" w:ascii="仿宋" w:hAnsi="仿宋" w:eastAsia="仿宋" w:cs="仿宋"/>
                <w:sz w:val="24"/>
                <w:szCs w:val="24"/>
                <w:highlight w:val="none"/>
              </w:rPr>
            </w:pPr>
          </w:p>
        </w:tc>
        <w:tc>
          <w:tcPr>
            <w:tcW w:w="441" w:type="pct"/>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441" w:type="pct"/>
          </w:tcPr>
          <w:p>
            <w:pPr>
              <w:adjustRightInd w:val="0"/>
              <w:snapToGrid w:val="0"/>
              <w:ind w:left="-106" w:leftChars="-33" w:right="-106" w:rightChars="-33"/>
              <w:jc w:val="center"/>
              <w:rPr>
                <w:rFonts w:hint="eastAsia" w:ascii="仿宋" w:hAnsi="仿宋" w:eastAsia="仿宋" w:cs="仿宋"/>
                <w:bCs/>
                <w:kern w:val="0"/>
                <w:sz w:val="24"/>
                <w:szCs w:val="24"/>
                <w:highlight w:val="none"/>
              </w:rPr>
            </w:pPr>
          </w:p>
        </w:tc>
      </w:tr>
    </w:tbl>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楷体_GB2312" w:hAnsi="楷体_GB2312" w:eastAsia="楷体_GB2312" w:cs="楷体_GB2312"/>
          <w:szCs w:val="32"/>
          <w:highlight w:val="none"/>
          <w:lang w:eastAsia="zh-CN"/>
        </w:rPr>
      </w:pPr>
      <w:r>
        <w:rPr>
          <w:rFonts w:hint="eastAsia" w:ascii="楷体_GB2312" w:hAnsi="楷体_GB2312" w:eastAsia="楷体_GB2312" w:cs="楷体_GB2312"/>
          <w:szCs w:val="32"/>
          <w:highlight w:val="none"/>
          <w:lang w:eastAsia="zh-CN"/>
        </w:rPr>
        <w:t>（三）电动自行车锂电池</w:t>
      </w:r>
    </w:p>
    <w:tbl>
      <w:tblPr>
        <w:tblStyle w:val="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1876"/>
        <w:gridCol w:w="2512"/>
        <w:gridCol w:w="750"/>
        <w:gridCol w:w="750"/>
        <w:gridCol w:w="916"/>
        <w:gridCol w:w="786"/>
        <w:gridCol w:w="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tblHeader/>
          <w:jc w:val="center"/>
        </w:trPr>
        <w:tc>
          <w:tcPr>
            <w:tcW w:w="382" w:type="pct"/>
            <w:shd w:val="clear" w:color="auto" w:fill="auto"/>
            <w:noWrap w:val="0"/>
            <w:vAlign w:val="center"/>
          </w:tcPr>
          <w:p>
            <w:pPr>
              <w:adjustRightInd w:val="0"/>
              <w:snapToGrid w:val="0"/>
              <w:ind w:left="-80" w:leftChars="-25"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序号</w:t>
            </w:r>
          </w:p>
        </w:tc>
        <w:tc>
          <w:tcPr>
            <w:tcW w:w="1036" w:type="pct"/>
            <w:shd w:val="clear" w:color="auto" w:fill="auto"/>
            <w:noWrap w:val="0"/>
            <w:vAlign w:val="center"/>
          </w:tcPr>
          <w:p>
            <w:pPr>
              <w:adjustRightInd w:val="0"/>
              <w:snapToGrid w:val="0"/>
              <w:ind w:left="-80" w:leftChars="-25"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检验项目</w:t>
            </w:r>
          </w:p>
        </w:tc>
        <w:tc>
          <w:tcPr>
            <w:tcW w:w="1387" w:type="pct"/>
            <w:shd w:val="clear" w:color="auto" w:fill="auto"/>
            <w:noWrap w:val="0"/>
            <w:vAlign w:val="center"/>
          </w:tcPr>
          <w:p>
            <w:pPr>
              <w:adjustRightInd w:val="0"/>
              <w:snapToGrid w:val="0"/>
              <w:ind w:left="-80" w:leftChars="-25"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检验方法</w:t>
            </w:r>
          </w:p>
        </w:tc>
        <w:tc>
          <w:tcPr>
            <w:tcW w:w="414" w:type="pct"/>
            <w:shd w:val="clear" w:color="auto" w:fill="auto"/>
            <w:noWrap w:val="0"/>
            <w:vAlign w:val="center"/>
          </w:tcPr>
          <w:p>
            <w:pPr>
              <w:adjustRightInd w:val="0"/>
              <w:snapToGrid w:val="0"/>
              <w:ind w:left="-80" w:leftChars="-25"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强制性</w:t>
            </w:r>
          </w:p>
        </w:tc>
        <w:tc>
          <w:tcPr>
            <w:tcW w:w="414" w:type="pct"/>
            <w:shd w:val="clear" w:color="auto" w:fill="auto"/>
            <w:noWrap w:val="0"/>
            <w:vAlign w:val="center"/>
          </w:tcPr>
          <w:p>
            <w:pPr>
              <w:adjustRightInd w:val="0"/>
              <w:snapToGrid w:val="0"/>
              <w:ind w:left="-80" w:leftChars="-25"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非强制性</w:t>
            </w:r>
          </w:p>
        </w:tc>
        <w:tc>
          <w:tcPr>
            <w:tcW w:w="506" w:type="pct"/>
            <w:shd w:val="clear" w:color="auto" w:fill="auto"/>
            <w:noWrap w:val="0"/>
            <w:vAlign w:val="center"/>
          </w:tcPr>
          <w:p>
            <w:pPr>
              <w:adjustRightInd w:val="0"/>
              <w:snapToGrid w:val="0"/>
              <w:ind w:left="-80" w:leftChars="-25"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重要项</w:t>
            </w:r>
          </w:p>
        </w:tc>
        <w:tc>
          <w:tcPr>
            <w:tcW w:w="434" w:type="pct"/>
            <w:shd w:val="clear" w:color="auto" w:fill="auto"/>
            <w:noWrap w:val="0"/>
            <w:vAlign w:val="center"/>
          </w:tcPr>
          <w:p>
            <w:pPr>
              <w:adjustRightInd w:val="0"/>
              <w:snapToGrid w:val="0"/>
              <w:ind w:left="-80" w:leftChars="-25"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较重要项</w:t>
            </w:r>
          </w:p>
        </w:tc>
        <w:tc>
          <w:tcPr>
            <w:tcW w:w="424" w:type="pct"/>
            <w:shd w:val="clear" w:color="auto" w:fill="auto"/>
            <w:noWrap w:val="0"/>
            <w:vAlign w:val="center"/>
          </w:tcPr>
          <w:p>
            <w:pPr>
              <w:adjustRightInd w:val="0"/>
              <w:snapToGrid w:val="0"/>
              <w:ind w:left="-80" w:leftChars="-25" w:right="-106" w:rightChars="-33"/>
              <w:jc w:val="center"/>
              <w:rPr>
                <w:rFonts w:hint="eastAsia" w:ascii="黑体" w:hAnsi="黑体" w:eastAsia="黑体" w:cs="黑体"/>
                <w:bCs/>
                <w:kern w:val="0"/>
                <w:sz w:val="24"/>
                <w:szCs w:val="24"/>
                <w:highlight w:val="none"/>
              </w:rPr>
            </w:pPr>
            <w:r>
              <w:rPr>
                <w:rFonts w:hint="eastAsia" w:ascii="黑体" w:hAnsi="黑体" w:eastAsia="黑体" w:cs="黑体"/>
                <w:bCs/>
                <w:kern w:val="0"/>
                <w:sz w:val="24"/>
                <w:szCs w:val="24"/>
                <w:highlight w:val="none"/>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8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03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I</w:t>
            </w:r>
            <w:r>
              <w:rPr>
                <w:rFonts w:hint="eastAsia" w:ascii="仿宋" w:hAnsi="仿宋" w:eastAsia="仿宋" w:cs="仿宋"/>
                <w:color w:val="000000"/>
                <w:sz w:val="24"/>
                <w:szCs w:val="24"/>
                <w:vertAlign w:val="subscript"/>
              </w:rPr>
              <w:t>2</w:t>
            </w:r>
            <w:r>
              <w:rPr>
                <w:rFonts w:hint="eastAsia" w:ascii="仿宋" w:hAnsi="仿宋" w:eastAsia="仿宋" w:cs="仿宋"/>
                <w:color w:val="000000"/>
                <w:sz w:val="24"/>
                <w:szCs w:val="24"/>
              </w:rPr>
              <w:t>(A)放电</w:t>
            </w:r>
          </w:p>
        </w:tc>
        <w:tc>
          <w:tcPr>
            <w:tcW w:w="138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GB/T 36972-2018</w:t>
            </w:r>
          </w:p>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第6.2.1条</w:t>
            </w:r>
          </w:p>
        </w:tc>
        <w:tc>
          <w:tcPr>
            <w:tcW w:w="41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p>
        </w:tc>
        <w:tc>
          <w:tcPr>
            <w:tcW w:w="41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50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p>
        </w:tc>
        <w:tc>
          <w:tcPr>
            <w:tcW w:w="43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2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8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103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低温放电</w:t>
            </w:r>
          </w:p>
        </w:tc>
        <w:tc>
          <w:tcPr>
            <w:tcW w:w="138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GB/T 36972-2018</w:t>
            </w:r>
          </w:p>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第6.2.3条</w:t>
            </w:r>
          </w:p>
        </w:tc>
        <w:tc>
          <w:tcPr>
            <w:tcW w:w="41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p>
        </w:tc>
        <w:tc>
          <w:tcPr>
            <w:tcW w:w="41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50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p>
        </w:tc>
        <w:tc>
          <w:tcPr>
            <w:tcW w:w="43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2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8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103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过充电</w:t>
            </w:r>
          </w:p>
        </w:tc>
        <w:tc>
          <w:tcPr>
            <w:tcW w:w="138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GB/T 36972-2018</w:t>
            </w:r>
          </w:p>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第6.3.2条</w:t>
            </w:r>
          </w:p>
        </w:tc>
        <w:tc>
          <w:tcPr>
            <w:tcW w:w="41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p>
        </w:tc>
        <w:tc>
          <w:tcPr>
            <w:tcW w:w="41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50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3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p>
        </w:tc>
        <w:tc>
          <w:tcPr>
            <w:tcW w:w="42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8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103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过充电保护</w:t>
            </w:r>
          </w:p>
        </w:tc>
        <w:tc>
          <w:tcPr>
            <w:tcW w:w="138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GB/T 36972-2018</w:t>
            </w:r>
          </w:p>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第6.4.2条</w:t>
            </w:r>
          </w:p>
        </w:tc>
        <w:tc>
          <w:tcPr>
            <w:tcW w:w="41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p>
        </w:tc>
        <w:tc>
          <w:tcPr>
            <w:tcW w:w="41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50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3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p>
        </w:tc>
        <w:tc>
          <w:tcPr>
            <w:tcW w:w="42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8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103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过放电保护</w:t>
            </w:r>
          </w:p>
        </w:tc>
        <w:tc>
          <w:tcPr>
            <w:tcW w:w="138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GB/T 36972-2018</w:t>
            </w:r>
          </w:p>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第6.4.3条</w:t>
            </w:r>
          </w:p>
        </w:tc>
        <w:tc>
          <w:tcPr>
            <w:tcW w:w="41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p>
        </w:tc>
        <w:tc>
          <w:tcPr>
            <w:tcW w:w="41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50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3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p>
        </w:tc>
        <w:tc>
          <w:tcPr>
            <w:tcW w:w="42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8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6</w:t>
            </w:r>
          </w:p>
        </w:tc>
        <w:tc>
          <w:tcPr>
            <w:tcW w:w="103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短路保护</w:t>
            </w:r>
          </w:p>
        </w:tc>
        <w:tc>
          <w:tcPr>
            <w:tcW w:w="138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GB/T 36972-2018</w:t>
            </w:r>
          </w:p>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第6.4.4条</w:t>
            </w:r>
          </w:p>
        </w:tc>
        <w:tc>
          <w:tcPr>
            <w:tcW w:w="41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p>
        </w:tc>
        <w:tc>
          <w:tcPr>
            <w:tcW w:w="41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50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3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p>
        </w:tc>
        <w:tc>
          <w:tcPr>
            <w:tcW w:w="42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8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7</w:t>
            </w:r>
          </w:p>
        </w:tc>
        <w:tc>
          <w:tcPr>
            <w:tcW w:w="103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放电过流保护</w:t>
            </w:r>
          </w:p>
        </w:tc>
        <w:tc>
          <w:tcPr>
            <w:tcW w:w="138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GB/T 36972-2018</w:t>
            </w:r>
          </w:p>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第6.4.5条</w:t>
            </w:r>
          </w:p>
        </w:tc>
        <w:tc>
          <w:tcPr>
            <w:tcW w:w="41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p>
        </w:tc>
        <w:tc>
          <w:tcPr>
            <w:tcW w:w="41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50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3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p>
        </w:tc>
        <w:tc>
          <w:tcPr>
            <w:tcW w:w="42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8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8</w:t>
            </w:r>
          </w:p>
        </w:tc>
        <w:tc>
          <w:tcPr>
            <w:tcW w:w="1036"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壳体阻燃性</w:t>
            </w:r>
          </w:p>
        </w:tc>
        <w:tc>
          <w:tcPr>
            <w:tcW w:w="138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GB/T 36972-2018</w:t>
            </w:r>
          </w:p>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第6.5.3条</w:t>
            </w:r>
          </w:p>
        </w:tc>
        <w:tc>
          <w:tcPr>
            <w:tcW w:w="41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p>
        </w:tc>
        <w:tc>
          <w:tcPr>
            <w:tcW w:w="41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50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3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p>
        </w:tc>
        <w:tc>
          <w:tcPr>
            <w:tcW w:w="42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jc w:val="center"/>
        </w:trPr>
        <w:tc>
          <w:tcPr>
            <w:tcW w:w="5000" w:type="pct"/>
            <w:gridSpan w:val="8"/>
            <w:tcBorders>
              <w:right w:val="single" w:color="auto" w:sz="4" w:space="0"/>
            </w:tcBorders>
            <w:noWrap w:val="0"/>
            <w:vAlign w:val="center"/>
          </w:tcPr>
          <w:p>
            <w:pPr>
              <w:adjustRightInd w:val="0"/>
              <w:snapToGrid w:val="0"/>
              <w:spacing w:line="340" w:lineRule="exact"/>
              <w:jc w:val="both"/>
              <w:rPr>
                <w:rFonts w:hint="eastAsia" w:ascii="仿宋" w:hAnsi="仿宋" w:eastAsia="仿宋" w:cs="仿宋"/>
                <w:color w:val="000000"/>
                <w:sz w:val="24"/>
                <w:szCs w:val="24"/>
              </w:rPr>
            </w:pPr>
            <w:r>
              <w:rPr>
                <w:rFonts w:eastAsia="仿宋"/>
                <w:color w:val="000000"/>
                <w:sz w:val="24"/>
                <w:szCs w:val="24"/>
              </w:rPr>
              <w:t>注：执行企业标准、团体标准、地方标准的产品，检验项目参照上述内容执行。</w:t>
            </w:r>
          </w:p>
        </w:tc>
      </w:tr>
    </w:tbl>
    <w:p>
      <w:pPr>
        <w:numPr>
          <w:ilvl w:val="0"/>
          <w:numId w:val="0"/>
        </w:numPr>
        <w:spacing w:line="560" w:lineRule="exact"/>
        <w:ind w:firstLine="640" w:firstLineChars="200"/>
        <w:jc w:val="left"/>
        <w:rPr>
          <w:rFonts w:hint="eastAsia" w:ascii="楷体_GB2312" w:hAnsi="楷体_GB2312" w:eastAsia="楷体_GB2312" w:cs="楷体_GB2312"/>
          <w:szCs w:val="32"/>
          <w:highlight w:val="none"/>
          <w:lang w:eastAsia="zh-CN"/>
        </w:rPr>
      </w:pPr>
      <w:r>
        <w:rPr>
          <w:rFonts w:hint="eastAsia" w:ascii="楷体_GB2312" w:hAnsi="楷体_GB2312" w:eastAsia="楷体_GB2312" w:cs="楷体_GB2312"/>
          <w:szCs w:val="32"/>
          <w:highlight w:val="none"/>
          <w:lang w:eastAsia="zh-CN"/>
        </w:rPr>
        <w:t>（四）电动自行车铅酸蓄电池</w:t>
      </w:r>
    </w:p>
    <w:tbl>
      <w:tblPr>
        <w:tblStyle w:val="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1875"/>
        <w:gridCol w:w="2549"/>
        <w:gridCol w:w="850"/>
        <w:gridCol w:w="799"/>
        <w:gridCol w:w="822"/>
        <w:gridCol w:w="712"/>
        <w:gridCol w:w="737"/>
        <w:gridCol w:w="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序号</w:t>
            </w:r>
          </w:p>
        </w:tc>
        <w:tc>
          <w:tcPr>
            <w:tcW w:w="1035"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检验项目</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依据法律法规或标准</w:t>
            </w:r>
          </w:p>
        </w:tc>
        <w:tc>
          <w:tcPr>
            <w:tcW w:w="46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强制性</w:t>
            </w: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非强制性</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重要项</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较重要项</w:t>
            </w:r>
          </w:p>
        </w:tc>
        <w:tc>
          <w:tcPr>
            <w:tcW w:w="40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9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103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2hr容量</w:t>
            </w:r>
          </w:p>
        </w:tc>
        <w:tc>
          <w:tcPr>
            <w:tcW w:w="140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22199.1-2017 第4.4条</w:t>
            </w:r>
          </w:p>
        </w:tc>
        <w:tc>
          <w:tcPr>
            <w:tcW w:w="46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c>
          <w:tcPr>
            <w:tcW w:w="39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07"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103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大电流放电特性</w:t>
            </w:r>
          </w:p>
        </w:tc>
        <w:tc>
          <w:tcPr>
            <w:tcW w:w="140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22199.1-2017 第4.5条</w:t>
            </w:r>
          </w:p>
        </w:tc>
        <w:tc>
          <w:tcPr>
            <w:tcW w:w="46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c>
          <w:tcPr>
            <w:tcW w:w="39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07"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103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能量密度</w:t>
            </w:r>
          </w:p>
        </w:tc>
        <w:tc>
          <w:tcPr>
            <w:tcW w:w="140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22199.1-2017 第4.7条</w:t>
            </w:r>
          </w:p>
        </w:tc>
        <w:tc>
          <w:tcPr>
            <w:tcW w:w="46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c>
          <w:tcPr>
            <w:tcW w:w="39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07"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4</w:t>
            </w:r>
          </w:p>
        </w:tc>
        <w:tc>
          <w:tcPr>
            <w:tcW w:w="103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低温容量</w:t>
            </w:r>
          </w:p>
        </w:tc>
        <w:tc>
          <w:tcPr>
            <w:tcW w:w="140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22199.1-2017 第4.8条</w:t>
            </w:r>
          </w:p>
        </w:tc>
        <w:tc>
          <w:tcPr>
            <w:tcW w:w="46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c>
          <w:tcPr>
            <w:tcW w:w="39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07"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5</w:t>
            </w:r>
          </w:p>
        </w:tc>
        <w:tc>
          <w:tcPr>
            <w:tcW w:w="103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快速充电能力</w:t>
            </w:r>
          </w:p>
        </w:tc>
        <w:tc>
          <w:tcPr>
            <w:tcW w:w="140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22199.1-2017 第4.9条</w:t>
            </w:r>
          </w:p>
        </w:tc>
        <w:tc>
          <w:tcPr>
            <w:tcW w:w="46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c>
          <w:tcPr>
            <w:tcW w:w="39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07"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6</w:t>
            </w:r>
          </w:p>
        </w:tc>
        <w:tc>
          <w:tcPr>
            <w:tcW w:w="103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安全性</w:t>
            </w:r>
          </w:p>
        </w:tc>
        <w:tc>
          <w:tcPr>
            <w:tcW w:w="140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22199.1-2017 第4.13条</w:t>
            </w:r>
          </w:p>
        </w:tc>
        <w:tc>
          <w:tcPr>
            <w:tcW w:w="46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39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c>
          <w:tcPr>
            <w:tcW w:w="407"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7</w:t>
            </w:r>
          </w:p>
        </w:tc>
        <w:tc>
          <w:tcPr>
            <w:tcW w:w="103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耐振动能力</w:t>
            </w:r>
          </w:p>
        </w:tc>
        <w:tc>
          <w:tcPr>
            <w:tcW w:w="140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22199.1-2017 第4.14条</w:t>
            </w:r>
          </w:p>
        </w:tc>
        <w:tc>
          <w:tcPr>
            <w:tcW w:w="46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39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c>
          <w:tcPr>
            <w:tcW w:w="407"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8</w:t>
            </w:r>
          </w:p>
        </w:tc>
        <w:tc>
          <w:tcPr>
            <w:tcW w:w="103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防爆能力</w:t>
            </w:r>
          </w:p>
        </w:tc>
        <w:tc>
          <w:tcPr>
            <w:tcW w:w="140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GB/T 22199.1-2017 第4.15条</w:t>
            </w:r>
          </w:p>
        </w:tc>
        <w:tc>
          <w:tcPr>
            <w:tcW w:w="46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39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c>
          <w:tcPr>
            <w:tcW w:w="407"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cantSplit/>
          <w:trHeight w:val="581" w:hRule="atLeast"/>
          <w:jc w:val="center"/>
        </w:trPr>
        <w:tc>
          <w:tcPr>
            <w:tcW w:w="4997" w:type="pct"/>
            <w:gridSpan w:val="8"/>
            <w:tcBorders>
              <w:right w:val="single" w:color="auto" w:sz="4" w:space="0"/>
            </w:tcBorders>
            <w:noWrap w:val="0"/>
            <w:vAlign w:val="center"/>
          </w:tcPr>
          <w:p>
            <w:pPr>
              <w:adjustRightInd w:val="0"/>
              <w:snapToGrid w:val="0"/>
              <w:spacing w:line="340" w:lineRule="exact"/>
              <w:jc w:val="both"/>
              <w:rPr>
                <w:rFonts w:hint="eastAsia" w:ascii="仿宋" w:hAnsi="仿宋" w:eastAsia="仿宋" w:cs="仿宋"/>
                <w:color w:val="000000"/>
                <w:sz w:val="24"/>
                <w:szCs w:val="24"/>
              </w:rPr>
            </w:pPr>
            <w:r>
              <w:rPr>
                <w:rFonts w:eastAsia="仿宋"/>
                <w:color w:val="000000"/>
                <w:sz w:val="24"/>
                <w:szCs w:val="24"/>
              </w:rPr>
              <w:t>注：执行企业标准、团体标准、地方标准的产品，检验项目参照上述内容执行。</w:t>
            </w:r>
          </w:p>
        </w:tc>
      </w:tr>
    </w:tbl>
    <w:p>
      <w:pPr>
        <w:keepNext w:val="0"/>
        <w:keepLines w:val="0"/>
        <w:pageBreakBefore w:val="0"/>
        <w:kinsoku/>
        <w:wordWrap/>
        <w:overflowPunct/>
        <w:topLinePunct w:val="0"/>
        <w:bidi w:val="0"/>
        <w:adjustRightInd w:val="0"/>
        <w:snapToGrid w:val="0"/>
        <w:spacing w:line="580" w:lineRule="exact"/>
        <w:ind w:firstLine="640" w:firstLineChars="200"/>
        <w:jc w:val="left"/>
        <w:textAlignment w:val="auto"/>
        <w:rPr>
          <w:rFonts w:eastAsia="黑体"/>
          <w:szCs w:val="32"/>
          <w:highlight w:val="none"/>
        </w:rPr>
      </w:pPr>
      <w:r>
        <w:rPr>
          <w:rFonts w:eastAsia="黑体"/>
          <w:szCs w:val="32"/>
          <w:highlight w:val="none"/>
        </w:rPr>
        <w:t>三、判定规则</w:t>
      </w:r>
    </w:p>
    <w:p>
      <w:pPr>
        <w:keepNext w:val="0"/>
        <w:keepLines w:val="0"/>
        <w:pageBreakBefore w:val="0"/>
        <w:kinsoku/>
        <w:wordWrap/>
        <w:overflowPunct/>
        <w:topLinePunct w:val="0"/>
        <w:bidi w:val="0"/>
        <w:adjustRightInd w:val="0"/>
        <w:snapToGrid w:val="0"/>
        <w:spacing w:line="580" w:lineRule="exact"/>
        <w:ind w:firstLine="640" w:firstLineChars="200"/>
        <w:jc w:val="left"/>
        <w:textAlignment w:val="auto"/>
        <w:rPr>
          <w:rFonts w:ascii="仿宋_GB2312"/>
          <w:szCs w:val="32"/>
          <w:highlight w:val="none"/>
        </w:rPr>
      </w:pPr>
      <w:r>
        <w:rPr>
          <w:rFonts w:hint="eastAsia" w:ascii="楷体_GB2312" w:hAnsi="楷体_GB2312" w:eastAsia="楷体_GB2312" w:cs="楷体_GB2312"/>
          <w:szCs w:val="32"/>
          <w:highlight w:val="none"/>
        </w:rPr>
        <w:t>（一）依据标准</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highlight w:val="none"/>
        </w:rPr>
      </w:pPr>
      <w:r>
        <w:rPr>
          <w:rFonts w:hint="eastAsia" w:ascii="仿宋" w:hAnsi="仿宋" w:eastAsia="仿宋" w:cs="仿宋"/>
          <w:kern w:val="0"/>
          <w:szCs w:val="32"/>
          <w:highlight w:val="none"/>
        </w:rPr>
        <w:t>1.强制性标准</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highlight w:val="none"/>
        </w:rPr>
      </w:pPr>
      <w:r>
        <w:rPr>
          <w:rFonts w:hint="eastAsia" w:ascii="仿宋" w:hAnsi="仿宋" w:eastAsia="仿宋" w:cs="仿宋"/>
          <w:kern w:val="0"/>
          <w:szCs w:val="32"/>
          <w:highlight w:val="none"/>
        </w:rPr>
        <w:t>GB 17761-2018 《电动自行车安全技术规范》</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highlight w:val="none"/>
        </w:rPr>
      </w:pPr>
      <w:r>
        <w:rPr>
          <w:rFonts w:hint="eastAsia" w:ascii="仿宋" w:hAnsi="仿宋" w:eastAsia="仿宋" w:cs="仿宋"/>
          <w:kern w:val="0"/>
          <w:szCs w:val="32"/>
          <w:highlight w:val="none"/>
        </w:rPr>
        <w:t>GB 4706.1-2005《家用和类似用途电器的安全第1部分：通用要求》</w:t>
      </w:r>
      <w:bookmarkStart w:id="0" w:name="_GoBack"/>
      <w:bookmarkEnd w:id="0"/>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highlight w:val="none"/>
        </w:rPr>
      </w:pPr>
      <w:r>
        <w:rPr>
          <w:rFonts w:hint="eastAsia" w:ascii="仿宋" w:hAnsi="仿宋" w:eastAsia="仿宋" w:cs="仿宋"/>
          <w:kern w:val="0"/>
          <w:szCs w:val="32"/>
          <w:highlight w:val="none"/>
        </w:rPr>
        <w:t>GB 4706.18-2014《家用和类似用途电器的安全电池充电器的特殊要求》</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highlight w:val="none"/>
        </w:rPr>
      </w:pPr>
      <w:r>
        <w:rPr>
          <w:rFonts w:hint="eastAsia" w:ascii="仿宋" w:hAnsi="仿宋" w:eastAsia="仿宋" w:cs="仿宋"/>
          <w:kern w:val="0"/>
          <w:szCs w:val="32"/>
          <w:highlight w:val="none"/>
        </w:rPr>
        <w:t>GB 42296-2022</w:t>
      </w:r>
      <w:r>
        <w:rPr>
          <w:rFonts w:hint="eastAsia" w:ascii="仿宋" w:hAnsi="仿宋" w:eastAsia="仿宋" w:cs="仿宋"/>
          <w:kern w:val="0"/>
          <w:szCs w:val="32"/>
          <w:highlight w:val="none"/>
        </w:rPr>
        <w:tab/>
      </w:r>
      <w:r>
        <w:rPr>
          <w:rFonts w:hint="eastAsia" w:ascii="仿宋" w:hAnsi="仿宋" w:eastAsia="仿宋" w:cs="仿宋"/>
          <w:kern w:val="0"/>
          <w:szCs w:val="32"/>
          <w:highlight w:val="none"/>
        </w:rPr>
        <w:t>《电动自行车用充电器安全技术要求》</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highlight w:val="none"/>
        </w:rPr>
      </w:pPr>
      <w:r>
        <w:rPr>
          <w:rFonts w:hint="eastAsia" w:ascii="仿宋" w:hAnsi="仿宋" w:eastAsia="仿宋" w:cs="仿宋"/>
          <w:kern w:val="0"/>
          <w:szCs w:val="32"/>
          <w:highlight w:val="none"/>
        </w:rPr>
        <w:t>2.推荐性标准</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highlight w:val="none"/>
        </w:rPr>
      </w:pPr>
      <w:r>
        <w:rPr>
          <w:rFonts w:hint="eastAsia" w:ascii="仿宋" w:hAnsi="仿宋" w:eastAsia="仿宋" w:cs="仿宋"/>
          <w:kern w:val="0"/>
          <w:szCs w:val="32"/>
          <w:highlight w:val="none"/>
        </w:rPr>
        <w:t>GB/T 36972-2018《电动自行车用锂离子蓄电池》</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highlight w:val="none"/>
        </w:rPr>
      </w:pPr>
      <w:r>
        <w:rPr>
          <w:rFonts w:hint="eastAsia" w:ascii="仿宋" w:hAnsi="仿宋" w:eastAsia="仿宋" w:cs="仿宋"/>
          <w:kern w:val="0"/>
          <w:szCs w:val="32"/>
          <w:highlight w:val="none"/>
        </w:rPr>
        <w:t>QB/T 2947.3-2008《电动自行车用蓄电池及充电器 第3部分：锂离子蓄电池及充电器》</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highlight w:val="none"/>
        </w:rPr>
      </w:pPr>
      <w:r>
        <w:rPr>
          <w:rFonts w:hint="eastAsia" w:ascii="仿宋" w:hAnsi="仿宋" w:eastAsia="仿宋" w:cs="仿宋"/>
          <w:kern w:val="0"/>
          <w:szCs w:val="32"/>
          <w:highlight w:val="none"/>
        </w:rPr>
        <w:t>QB/T 2947.1-2008《电动自行车用蓄电池及充电器 第1部分：密封铅酸蓄电池及充电器》</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highlight w:val="none"/>
        </w:rPr>
      </w:pPr>
      <w:r>
        <w:rPr>
          <w:rFonts w:hint="eastAsia" w:ascii="仿宋" w:hAnsi="仿宋" w:eastAsia="仿宋" w:cs="仿宋"/>
          <w:kern w:val="0"/>
          <w:szCs w:val="32"/>
          <w:highlight w:val="none"/>
        </w:rPr>
        <w:t>GB/T 22199.1-2017《电动助力车用阀控式铅酸蓄电池 第1部分：技术条件》</w:t>
      </w:r>
    </w:p>
    <w:p>
      <w:pPr>
        <w:keepNext w:val="0"/>
        <w:keepLines w:val="0"/>
        <w:pageBreakBefore w:val="0"/>
        <w:kinsoku/>
        <w:wordWrap/>
        <w:overflowPunct/>
        <w:topLinePunct w:val="0"/>
        <w:bidi w:val="0"/>
        <w:adjustRightInd w:val="0"/>
        <w:snapToGrid w:val="0"/>
        <w:spacing w:line="580" w:lineRule="exact"/>
        <w:ind w:firstLine="640" w:firstLineChars="200"/>
        <w:jc w:val="left"/>
        <w:textAlignment w:val="auto"/>
        <w:rPr>
          <w:rFonts w:ascii="仿宋_GB2312"/>
          <w:szCs w:val="32"/>
          <w:highlight w:val="none"/>
        </w:rPr>
      </w:pPr>
      <w:r>
        <w:rPr>
          <w:rFonts w:hint="eastAsia" w:ascii="楷体_GB2312" w:hAnsi="楷体_GB2312" w:eastAsia="楷体_GB2312" w:cs="楷体_GB2312"/>
          <w:szCs w:val="32"/>
          <w:highlight w:val="none"/>
        </w:rPr>
        <w:t>（二）判定原则</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highlight w:val="none"/>
        </w:rPr>
      </w:pPr>
      <w:r>
        <w:rPr>
          <w:rFonts w:hint="eastAsia" w:ascii="仿宋" w:hAnsi="仿宋" w:eastAsia="仿宋" w:cs="仿宋"/>
          <w:kern w:val="0"/>
          <w:szCs w:val="32"/>
          <w:highlight w:val="none"/>
        </w:rPr>
        <w:t>经检验，检验项目全部合格，判定为被抽查产品所检项目未发现不合格；检验项目中任一项或一项以上不合格，判定为被抽查产品不合格。</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highlight w:val="none"/>
        </w:rPr>
      </w:pPr>
      <w:r>
        <w:rPr>
          <w:rFonts w:hint="eastAsia" w:ascii="仿宋" w:hAnsi="仿宋" w:eastAsia="仿宋" w:cs="仿宋"/>
          <w:kern w:val="0"/>
          <w:szCs w:val="32"/>
          <w:highlight w:val="none"/>
        </w:rPr>
        <w:t>当被检样品明示的质量要求优于监督抽查实施细则中依据的标准要求时，应按被检样品明示的质量要求判定；</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highlight w:val="none"/>
        </w:rPr>
      </w:pPr>
      <w:r>
        <w:rPr>
          <w:rFonts w:hint="eastAsia" w:ascii="仿宋" w:hAnsi="仿宋" w:eastAsia="仿宋" w:cs="仿宋"/>
          <w:kern w:val="0"/>
          <w:szCs w:val="32"/>
          <w:highlight w:val="none"/>
        </w:rPr>
        <w:t>当被检样品明示的质量要求劣于或不包含监督抽查实施细则中依据的强制性标准要求时，应按照强制性标准要求判定；</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highlight w:val="none"/>
        </w:rPr>
      </w:pPr>
      <w:r>
        <w:rPr>
          <w:rFonts w:hint="eastAsia" w:ascii="仿宋" w:hAnsi="仿宋" w:eastAsia="仿宋" w:cs="仿宋"/>
          <w:kern w:val="0"/>
          <w:szCs w:val="32"/>
          <w:highlight w:val="none"/>
        </w:rPr>
        <w:t>当被检样品明示的质量要求劣于或包含监督抽查实施细则中依据的推荐性标准要求时，应以被检样品明示的质量要求判定，如相应检验结果不符合相关推荐性标准要求时，应在检验报告中予以说明；</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highlight w:val="none"/>
        </w:rPr>
      </w:pPr>
      <w:r>
        <w:rPr>
          <w:rFonts w:hint="eastAsia" w:ascii="仿宋" w:hAnsi="仿宋" w:eastAsia="仿宋" w:cs="仿宋"/>
          <w:kern w:val="0"/>
          <w:szCs w:val="32"/>
          <w:highlight w:val="none"/>
        </w:rPr>
        <w:t>当被检样品明示的质量要求不包含监督抽查实施细则中依据的推荐性标准要求时，该指标不参与判定，但应在检验报告中作出说明；</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highlight w:val="none"/>
        </w:rPr>
      </w:pPr>
      <w:r>
        <w:rPr>
          <w:rFonts w:hint="eastAsia" w:ascii="仿宋" w:hAnsi="仿宋" w:eastAsia="仿宋" w:cs="仿宋"/>
          <w:kern w:val="0"/>
          <w:szCs w:val="32"/>
          <w:highlight w:val="none"/>
        </w:rPr>
        <w:t>当被检样品未能提供有效的企业标准时，按相关国家或行业标准进行判定；</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highlight w:val="none"/>
        </w:rPr>
      </w:pPr>
      <w:r>
        <w:rPr>
          <w:rFonts w:hint="eastAsia" w:ascii="仿宋" w:hAnsi="仿宋" w:eastAsia="仿宋" w:cs="仿宋"/>
          <w:kern w:val="0"/>
          <w:szCs w:val="32"/>
          <w:highlight w:val="none"/>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highlight w:val="none"/>
        </w:rPr>
      </w:pPr>
      <w:r>
        <w:rPr>
          <w:rFonts w:hint="eastAsia" w:ascii="仿宋" w:hAnsi="仿宋" w:eastAsia="仿宋" w:cs="仿宋"/>
          <w:kern w:val="0"/>
          <w:szCs w:val="32"/>
          <w:highlight w:val="none"/>
        </w:rPr>
        <w:t>按照产品质量相关法律法规的规定判定。</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highlight w:val="none"/>
        </w:rPr>
      </w:pPr>
      <w:r>
        <w:rPr>
          <w:rFonts w:hint="eastAsia" w:ascii="仿宋" w:hAnsi="仿宋" w:eastAsia="仿宋" w:cs="仿宋"/>
          <w:kern w:val="0"/>
          <w:szCs w:val="32"/>
          <w:highlight w:val="none"/>
        </w:rPr>
        <w:t>检验中发现因样品失效或者其他原因致使检验无法进行的，检验人员应如实记录，并提供相关证明材料，报送组织监督抽查的市场监管部门。</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highlight w:val="none"/>
        </w:rPr>
      </w:pP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highlight w:val="none"/>
        </w:rPr>
      </w:pPr>
    </w:p>
    <w:sectPr>
      <w:pgSz w:w="11906" w:h="16838"/>
      <w:pgMar w:top="2098" w:right="1474" w:bottom="1984" w:left="1587"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iYjVjNWI5MzAzZTZmMWUwMWJlOWMwMWQxNmZkMjMifQ=="/>
  </w:docVars>
  <w:rsids>
    <w:rsidRoot w:val="006B5843"/>
    <w:rsid w:val="0000463C"/>
    <w:rsid w:val="00041790"/>
    <w:rsid w:val="001356AD"/>
    <w:rsid w:val="001831C8"/>
    <w:rsid w:val="00227B49"/>
    <w:rsid w:val="00254393"/>
    <w:rsid w:val="002827FF"/>
    <w:rsid w:val="0029655B"/>
    <w:rsid w:val="00341C94"/>
    <w:rsid w:val="0037346F"/>
    <w:rsid w:val="003E3E00"/>
    <w:rsid w:val="00406FA5"/>
    <w:rsid w:val="004A78D9"/>
    <w:rsid w:val="005E143D"/>
    <w:rsid w:val="00606C65"/>
    <w:rsid w:val="006466B8"/>
    <w:rsid w:val="00657836"/>
    <w:rsid w:val="00663CE1"/>
    <w:rsid w:val="006B580D"/>
    <w:rsid w:val="006B5843"/>
    <w:rsid w:val="006C0305"/>
    <w:rsid w:val="006F454E"/>
    <w:rsid w:val="007D0B8A"/>
    <w:rsid w:val="007E5C42"/>
    <w:rsid w:val="00895538"/>
    <w:rsid w:val="008B2511"/>
    <w:rsid w:val="00923D36"/>
    <w:rsid w:val="00AC7F1A"/>
    <w:rsid w:val="00B3111A"/>
    <w:rsid w:val="00B41B83"/>
    <w:rsid w:val="00B67A23"/>
    <w:rsid w:val="00B85609"/>
    <w:rsid w:val="00BA077B"/>
    <w:rsid w:val="00C27276"/>
    <w:rsid w:val="00C540B8"/>
    <w:rsid w:val="00DC5F0D"/>
    <w:rsid w:val="00E9653B"/>
    <w:rsid w:val="00EB339C"/>
    <w:rsid w:val="00F503A0"/>
    <w:rsid w:val="00F67E36"/>
    <w:rsid w:val="029474A5"/>
    <w:rsid w:val="02BE152C"/>
    <w:rsid w:val="09342F98"/>
    <w:rsid w:val="0A3C22CA"/>
    <w:rsid w:val="0B0434A5"/>
    <w:rsid w:val="13B3657F"/>
    <w:rsid w:val="13CE5AEB"/>
    <w:rsid w:val="160F6EA4"/>
    <w:rsid w:val="1B7D30E3"/>
    <w:rsid w:val="1C3B31E4"/>
    <w:rsid w:val="1DB864D7"/>
    <w:rsid w:val="1FA86765"/>
    <w:rsid w:val="20566C4C"/>
    <w:rsid w:val="22FC3A23"/>
    <w:rsid w:val="23996EA8"/>
    <w:rsid w:val="25B61CFB"/>
    <w:rsid w:val="26917A81"/>
    <w:rsid w:val="292D3A2A"/>
    <w:rsid w:val="2CF84117"/>
    <w:rsid w:val="2EB153F9"/>
    <w:rsid w:val="2FF44B47"/>
    <w:rsid w:val="34B85CD0"/>
    <w:rsid w:val="38527B63"/>
    <w:rsid w:val="39355B41"/>
    <w:rsid w:val="3C3C02B2"/>
    <w:rsid w:val="4008406F"/>
    <w:rsid w:val="43F63FFD"/>
    <w:rsid w:val="49B06B1E"/>
    <w:rsid w:val="4D1725B1"/>
    <w:rsid w:val="51856AE2"/>
    <w:rsid w:val="526F3A1A"/>
    <w:rsid w:val="54730436"/>
    <w:rsid w:val="58F210F1"/>
    <w:rsid w:val="5FB31D0A"/>
    <w:rsid w:val="614632BC"/>
    <w:rsid w:val="61EE3DCB"/>
    <w:rsid w:val="63350368"/>
    <w:rsid w:val="634B5DE2"/>
    <w:rsid w:val="63AD7039"/>
    <w:rsid w:val="6AAD7118"/>
    <w:rsid w:val="6B433154"/>
    <w:rsid w:val="6B7E03D2"/>
    <w:rsid w:val="6D245E70"/>
    <w:rsid w:val="711E08EC"/>
    <w:rsid w:val="74B7026E"/>
    <w:rsid w:val="77D01D36"/>
    <w:rsid w:val="7B3E032F"/>
    <w:rsid w:val="7B904AEA"/>
    <w:rsid w:val="7F5F40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qFormat/>
    <w:uiPriority w:val="0"/>
    <w:rPr>
      <w:rFonts w:ascii="宋体" w:hAnsi="Courier New" w:eastAsia="宋体"/>
      <w:sz w:val="21"/>
      <w:szCs w:val="21"/>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0"/>
    <w:rPr>
      <w:rFonts w:ascii="Times New Roman" w:hAnsi="Times New Roman" w:eastAsia="仿宋_GB2312" w:cs="Times New Roman"/>
      <w:kern w:val="2"/>
      <w:sz w:val="18"/>
      <w:szCs w:val="18"/>
    </w:rPr>
  </w:style>
  <w:style w:type="character" w:customStyle="1" w:styleId="9">
    <w:name w:val="页脚 字符"/>
    <w:basedOn w:val="7"/>
    <w:link w:val="4"/>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6</Pages>
  <Words>2084</Words>
  <Characters>3163</Characters>
  <Lines>26</Lines>
  <Paragraphs>7</Paragraphs>
  <TotalTime>15</TotalTime>
  <ScaleCrop>false</ScaleCrop>
  <LinksUpToDate>false</LinksUpToDate>
  <CharactersWithSpaces>3243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2021-05-17T03:19:00Z</dcterms:created>
  <dc:creator>test</dc:creator>
  <cp:lastModifiedBy>刘赞</cp:lastModifiedBy>
  <dcterms:modified xsi:type="dcterms:W3CDTF">2023-05-10T07:31:45Z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028FBCC645CB4B7E9D28E8F151CD9D06</vt:lpwstr>
  </property>
</Properties>
</file>