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hint="eastAsia" w:ascii="方正小标宋简体" w:hAnsi="Courier New" w:eastAsia="方正小标宋简体" w:cs="Courier New"/>
          <w:bCs/>
          <w:sz w:val="44"/>
          <w:szCs w:val="44"/>
        </w:rPr>
      </w:pPr>
      <w:r>
        <w:rPr>
          <w:rFonts w:hint="eastAsia" w:ascii="方正小标宋简体" w:hAnsi="Courier New" w:eastAsia="方正小标宋简体" w:cs="Courier New"/>
          <w:bCs/>
          <w:sz w:val="44"/>
          <w:szCs w:val="44"/>
        </w:rPr>
        <w:t>珠海市车用尿素溶液产品质量监督抽查</w:t>
      </w:r>
    </w:p>
    <w:p>
      <w:pPr>
        <w:spacing w:line="578" w:lineRule="exact"/>
        <w:jc w:val="center"/>
        <w:rPr>
          <w:rFonts w:ascii="方正小标宋简体" w:hAnsi="Courier New" w:eastAsia="方正小标宋简体" w:cs="Courier New"/>
          <w:bCs/>
          <w:sz w:val="44"/>
          <w:szCs w:val="44"/>
        </w:rPr>
      </w:pPr>
      <w:r>
        <w:rPr>
          <w:rFonts w:hint="eastAsia" w:ascii="方正小标宋简体" w:hAnsi="Courier New" w:eastAsia="方正小标宋简体" w:cs="Courier New"/>
          <w:bCs/>
          <w:sz w:val="44"/>
          <w:szCs w:val="44"/>
        </w:rPr>
        <w:t>实施细则</w:t>
      </w:r>
    </w:p>
    <w:p>
      <w:pPr>
        <w:spacing w:line="578" w:lineRule="exact"/>
        <w:ind w:firstLine="640" w:firstLineChars="200"/>
        <w:jc w:val="left"/>
        <w:rPr>
          <w:rFonts w:ascii="黑体" w:hAnsi="黑体" w:eastAsia="黑体" w:cs="Courier New"/>
        </w:rPr>
      </w:pPr>
    </w:p>
    <w:p>
      <w:pPr>
        <w:spacing w:line="578" w:lineRule="exact"/>
        <w:ind w:firstLine="640" w:firstLineChars="200"/>
        <w:jc w:val="left"/>
        <w:rPr>
          <w:rFonts w:ascii="黑体" w:hAnsi="黑体" w:eastAsia="黑体" w:cs="Courier New"/>
        </w:rPr>
      </w:pPr>
      <w:r>
        <w:rPr>
          <w:rFonts w:hint="eastAsia" w:ascii="黑体" w:hAnsi="黑体" w:eastAsia="黑体" w:cs="Courier New"/>
        </w:rPr>
        <w:t>一、抽样方法</w:t>
      </w:r>
    </w:p>
    <w:p>
      <w:pPr>
        <w:autoSpaceDE w:val="0"/>
        <w:autoSpaceDN w:val="0"/>
        <w:spacing w:line="578" w:lineRule="exact"/>
        <w:ind w:firstLine="640" w:firstLineChars="200"/>
        <w:jc w:val="left"/>
        <w:rPr>
          <w:rFonts w:hint="eastAsia" w:ascii="仿宋" w:hAnsi="仿宋" w:eastAsia="仿宋" w:cs="仿宋"/>
          <w:kern w:val="0"/>
        </w:rPr>
      </w:pPr>
      <w:r>
        <w:rPr>
          <w:rFonts w:hint="eastAsia" w:ascii="仿宋" w:hAnsi="仿宋" w:eastAsia="仿宋" w:cs="仿宋"/>
          <w:kern w:val="0"/>
        </w:rPr>
        <w:t>以随机抽样的方式在被抽样生产、经营者的待销产品中抽取。</w:t>
      </w:r>
    </w:p>
    <w:p>
      <w:pPr>
        <w:autoSpaceDE w:val="0"/>
        <w:autoSpaceDN w:val="0"/>
        <w:spacing w:line="578" w:lineRule="exact"/>
        <w:ind w:firstLine="640" w:firstLineChars="200"/>
        <w:jc w:val="left"/>
        <w:rPr>
          <w:rFonts w:hint="eastAsia" w:ascii="仿宋" w:hAnsi="仿宋" w:eastAsia="仿宋" w:cs="仿宋"/>
          <w:kern w:val="0"/>
        </w:rPr>
      </w:pPr>
      <w:r>
        <w:rPr>
          <w:rFonts w:hint="eastAsia" w:ascii="仿宋" w:hAnsi="仿宋" w:eastAsia="仿宋" w:cs="仿宋"/>
          <w:kern w:val="0"/>
        </w:rPr>
        <w:t>随机数一般可使用随机数表等方法产生。</w:t>
      </w:r>
    </w:p>
    <w:p>
      <w:pPr>
        <w:autoSpaceDE w:val="0"/>
        <w:autoSpaceDN w:val="0"/>
        <w:spacing w:line="578" w:lineRule="exact"/>
        <w:ind w:firstLine="640" w:firstLineChars="200"/>
        <w:jc w:val="left"/>
        <w:rPr>
          <w:rFonts w:hint="eastAsia" w:ascii="仿宋" w:hAnsi="仿宋" w:eastAsia="仿宋" w:cs="仿宋"/>
          <w:kern w:val="0"/>
        </w:rPr>
      </w:pPr>
      <w:r>
        <w:rPr>
          <w:rFonts w:hint="eastAsia" w:ascii="仿宋" w:hAnsi="仿宋" w:eastAsia="仿宋" w:cs="仿宋"/>
          <w:kern w:val="0"/>
        </w:rPr>
        <w:t>抽查数量：每款产品抽取2组样本，第1组用于检验，第2组用于备样。</w:t>
      </w:r>
    </w:p>
    <w:p>
      <w:pPr>
        <w:autoSpaceDE w:val="0"/>
        <w:autoSpaceDN w:val="0"/>
        <w:spacing w:line="578" w:lineRule="exact"/>
        <w:ind w:firstLine="640" w:firstLineChars="200"/>
        <w:jc w:val="left"/>
        <w:rPr>
          <w:rFonts w:hint="eastAsia" w:ascii="仿宋" w:hAnsi="仿宋" w:eastAsia="仿宋" w:cs="仿宋"/>
          <w:kern w:val="0"/>
        </w:rPr>
      </w:pPr>
      <w:r>
        <w:rPr>
          <w:rFonts w:hint="eastAsia" w:ascii="仿宋" w:hAnsi="仿宋" w:eastAsia="仿宋" w:cs="仿宋"/>
          <w:kern w:val="0"/>
        </w:rPr>
        <w:t>具体抽样数量及方法如下：</w:t>
      </w:r>
    </w:p>
    <w:tbl>
      <w:tblPr>
        <w:tblStyle w:val="6"/>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6"/>
        <w:gridCol w:w="4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jc w:val="center"/>
        </w:trPr>
        <w:tc>
          <w:tcPr>
            <w:tcW w:w="2525" w:type="pct"/>
            <w:shd w:val="clear" w:color="auto" w:fill="D7D7D7" w:themeFill="background1" w:themeFillShade="D8"/>
            <w:vAlign w:val="center"/>
          </w:tcPr>
          <w:p>
            <w:pPr>
              <w:adjustRightInd w:val="0"/>
              <w:snapToGrid w:val="0"/>
              <w:jc w:val="center"/>
              <w:rPr>
                <w:rFonts w:hint="eastAsia" w:ascii="黑体" w:hAnsi="黑体" w:eastAsia="黑体" w:cs="黑体"/>
                <w:sz w:val="24"/>
                <w:szCs w:val="24"/>
              </w:rPr>
            </w:pPr>
            <w:r>
              <w:rPr>
                <w:rFonts w:hint="eastAsia" w:ascii="黑体" w:hAnsi="黑体" w:eastAsia="黑体" w:cs="黑体"/>
                <w:sz w:val="24"/>
                <w:szCs w:val="24"/>
              </w:rPr>
              <w:t>第1组数量</w:t>
            </w:r>
          </w:p>
        </w:tc>
        <w:tc>
          <w:tcPr>
            <w:tcW w:w="2474" w:type="pct"/>
            <w:shd w:val="clear" w:color="auto" w:fill="D7D7D7" w:themeFill="background1" w:themeFillShade="D8"/>
            <w:vAlign w:val="center"/>
          </w:tcPr>
          <w:p>
            <w:pPr>
              <w:adjustRightInd w:val="0"/>
              <w:snapToGrid w:val="0"/>
              <w:jc w:val="center"/>
              <w:rPr>
                <w:rFonts w:hint="eastAsia" w:ascii="黑体" w:hAnsi="黑体" w:eastAsia="黑体" w:cs="黑体"/>
                <w:sz w:val="24"/>
                <w:szCs w:val="24"/>
              </w:rPr>
            </w:pPr>
            <w:r>
              <w:rPr>
                <w:rFonts w:hint="eastAsia" w:ascii="黑体" w:hAnsi="黑体" w:eastAsia="黑体" w:cs="黑体"/>
                <w:sz w:val="24"/>
                <w:szCs w:val="24"/>
              </w:rPr>
              <w:t>第2组数量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jc w:val="center"/>
        </w:trPr>
        <w:tc>
          <w:tcPr>
            <w:tcW w:w="2525"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独立包装，总量不小于1L</w:t>
            </w:r>
          </w:p>
        </w:tc>
        <w:tc>
          <w:tcPr>
            <w:tcW w:w="2474"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独立包装，总量不小于1L</w:t>
            </w:r>
          </w:p>
        </w:tc>
      </w:tr>
    </w:tbl>
    <w:p>
      <w:pPr>
        <w:autoSpaceDE w:val="0"/>
        <w:autoSpaceDN w:val="0"/>
        <w:spacing w:line="578" w:lineRule="exact"/>
        <w:ind w:firstLine="640" w:firstLineChars="200"/>
        <w:jc w:val="left"/>
        <w:rPr>
          <w:rFonts w:hint="eastAsia" w:ascii="仿宋" w:hAnsi="仿宋" w:eastAsia="仿宋" w:cs="仿宋"/>
          <w:kern w:val="0"/>
        </w:rPr>
      </w:pPr>
      <w:r>
        <w:rPr>
          <w:rFonts w:hint="eastAsia" w:ascii="仿宋" w:hAnsi="仿宋" w:eastAsia="仿宋" w:cs="仿宋"/>
          <w:kern w:val="0"/>
        </w:rPr>
        <w:t>确定被抽样对象应符合T/GDAQI020-2022 《产品质量监督抽查抽样检验技术服务规范》第5章和第7章抽样的相关要求。</w:t>
      </w:r>
    </w:p>
    <w:p>
      <w:pPr>
        <w:autoSpaceDE w:val="0"/>
        <w:autoSpaceDN w:val="0"/>
        <w:spacing w:line="578" w:lineRule="exact"/>
        <w:ind w:firstLine="640" w:firstLineChars="200"/>
        <w:jc w:val="left"/>
        <w:rPr>
          <w:rFonts w:hint="eastAsia" w:ascii="仿宋" w:hAnsi="仿宋" w:eastAsia="仿宋" w:cs="仿宋"/>
          <w:kern w:val="0"/>
        </w:rPr>
      </w:pPr>
      <w:r>
        <w:rPr>
          <w:rFonts w:hint="eastAsia" w:ascii="仿宋" w:hAnsi="仿宋" w:eastAsia="仿宋" w:cs="仿宋"/>
          <w:kern w:val="0"/>
        </w:rPr>
        <w:t>抽取样品应为标称同一商标（或标称同一生产者）、同一型号规格的产品。</w:t>
      </w:r>
    </w:p>
    <w:p>
      <w:pPr>
        <w:autoSpaceDE w:val="0"/>
        <w:autoSpaceDN w:val="0"/>
        <w:spacing w:line="578" w:lineRule="exact"/>
        <w:ind w:firstLine="640" w:firstLineChars="200"/>
        <w:jc w:val="left"/>
        <w:rPr>
          <w:rFonts w:hint="eastAsia" w:ascii="仿宋" w:hAnsi="仿宋" w:eastAsia="仿宋" w:cs="仿宋"/>
          <w:kern w:val="0"/>
        </w:rPr>
      </w:pPr>
      <w:r>
        <w:rPr>
          <w:rFonts w:hint="eastAsia" w:ascii="仿宋" w:hAnsi="仿宋" w:eastAsia="仿宋" w:cs="仿宋"/>
          <w:kern w:val="0"/>
        </w:rPr>
        <w:t>抽查样品基数满足抽样数量即可。</w:t>
      </w:r>
    </w:p>
    <w:p>
      <w:pPr>
        <w:autoSpaceDE w:val="0"/>
        <w:autoSpaceDN w:val="0"/>
        <w:spacing w:line="578" w:lineRule="exact"/>
        <w:ind w:firstLine="640" w:firstLineChars="200"/>
        <w:jc w:val="left"/>
        <w:rPr>
          <w:rFonts w:hint="eastAsia" w:ascii="仿宋" w:hAnsi="仿宋" w:eastAsia="仿宋" w:cs="仿宋"/>
          <w:kern w:val="0"/>
        </w:rPr>
      </w:pPr>
      <w:r>
        <w:rPr>
          <w:rFonts w:hint="eastAsia" w:ascii="仿宋" w:hAnsi="仿宋" w:eastAsia="仿宋" w:cs="仿宋"/>
          <w:kern w:val="0"/>
        </w:rPr>
        <w:t>检验样品和备用样品应分别签封，确保防止拆封、封条完整、清晰，并注明“检验样品”或“备用样品”，一起送至检验机构。封样单上应有被抽查企业和抽样人员双方的签名，注明抽样日期。封好样后，可采取拍照、封样单骑缝签名、漆封、特殊材料等其他附加的防拆封措施。在运送过程中应注意对样品进行适当防护，避免出现磕碰、雨淋、进水等情况。</w:t>
      </w:r>
    </w:p>
    <w:p>
      <w:pPr>
        <w:autoSpaceDE w:val="0"/>
        <w:autoSpaceDN w:val="0"/>
        <w:spacing w:line="578" w:lineRule="exact"/>
        <w:ind w:firstLine="640" w:firstLineChars="200"/>
        <w:jc w:val="left"/>
        <w:rPr>
          <w:rFonts w:ascii="仿宋_GB2312" w:hAnsi="仿宋_GB2312" w:eastAsia="仿宋_GB2312" w:cs="仿宋_GB2312"/>
          <w:kern w:val="0"/>
        </w:rPr>
      </w:pPr>
      <w:r>
        <w:rPr>
          <w:rFonts w:hint="eastAsia" w:eastAsia="黑体"/>
        </w:rPr>
        <w:t>二、主要检验项目及检验项目属性划分</w:t>
      </w:r>
    </w:p>
    <w:tbl>
      <w:tblPr>
        <w:tblStyle w:val="6"/>
        <w:tblpPr w:leftFromText="180" w:rightFromText="180" w:vertAnchor="text" w:horzAnchor="page" w:tblpX="1929" w:tblpY="590"/>
        <w:tblOverlap w:val="never"/>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8"/>
        <w:gridCol w:w="1494"/>
        <w:gridCol w:w="2127"/>
        <w:gridCol w:w="939"/>
        <w:gridCol w:w="939"/>
        <w:gridCol w:w="939"/>
        <w:gridCol w:w="939"/>
        <w:gridCol w:w="9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407"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sz w:val="24"/>
                <w:szCs w:val="24"/>
              </w:rPr>
            </w:pPr>
            <w:r>
              <w:rPr>
                <w:rFonts w:hint="eastAsia" w:ascii="黑体" w:hAnsi="黑体" w:eastAsia="黑体" w:cs="黑体"/>
                <w:sz w:val="24"/>
                <w:szCs w:val="24"/>
              </w:rPr>
              <w:t>序号</w:t>
            </w:r>
          </w:p>
        </w:tc>
        <w:tc>
          <w:tcPr>
            <w:tcW w:w="824"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sz w:val="24"/>
                <w:szCs w:val="24"/>
              </w:rPr>
            </w:pPr>
            <w:r>
              <w:rPr>
                <w:rFonts w:hint="eastAsia" w:ascii="黑体" w:hAnsi="黑体" w:eastAsia="黑体" w:cs="黑体"/>
                <w:sz w:val="24"/>
                <w:szCs w:val="24"/>
              </w:rPr>
              <w:t>检验项目</w:t>
            </w:r>
          </w:p>
        </w:tc>
        <w:tc>
          <w:tcPr>
            <w:tcW w:w="1173"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sz w:val="24"/>
                <w:szCs w:val="24"/>
              </w:rPr>
            </w:pPr>
            <w:r>
              <w:rPr>
                <w:rFonts w:hint="eastAsia" w:ascii="黑体" w:hAnsi="黑体" w:eastAsia="黑体" w:cs="黑体"/>
                <w:sz w:val="24"/>
                <w:szCs w:val="24"/>
              </w:rPr>
              <w:t>依据法律法规或标准</w:t>
            </w:r>
          </w:p>
        </w:tc>
        <w:tc>
          <w:tcPr>
            <w:tcW w:w="518"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sz w:val="24"/>
                <w:szCs w:val="24"/>
              </w:rPr>
            </w:pPr>
            <w:r>
              <w:rPr>
                <w:rFonts w:hint="eastAsia" w:ascii="黑体" w:hAnsi="黑体" w:eastAsia="黑体" w:cs="黑体"/>
                <w:sz w:val="24"/>
                <w:szCs w:val="24"/>
              </w:rPr>
              <w:t>强制性</w:t>
            </w:r>
          </w:p>
        </w:tc>
        <w:tc>
          <w:tcPr>
            <w:tcW w:w="518"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sz w:val="24"/>
                <w:szCs w:val="24"/>
              </w:rPr>
            </w:pPr>
            <w:r>
              <w:rPr>
                <w:rFonts w:hint="eastAsia" w:ascii="黑体" w:hAnsi="黑体" w:eastAsia="黑体" w:cs="黑体"/>
                <w:sz w:val="24"/>
                <w:szCs w:val="24"/>
              </w:rPr>
              <w:t>非强制性</w:t>
            </w:r>
          </w:p>
        </w:tc>
        <w:tc>
          <w:tcPr>
            <w:tcW w:w="518"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sz w:val="24"/>
                <w:szCs w:val="24"/>
              </w:rPr>
            </w:pPr>
            <w:r>
              <w:rPr>
                <w:rFonts w:hint="eastAsia" w:ascii="黑体" w:hAnsi="黑体" w:eastAsia="黑体" w:cs="黑体"/>
                <w:sz w:val="24"/>
                <w:szCs w:val="24"/>
              </w:rPr>
              <w:t>重要项</w:t>
            </w:r>
          </w:p>
        </w:tc>
        <w:tc>
          <w:tcPr>
            <w:tcW w:w="518"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sz w:val="24"/>
                <w:szCs w:val="24"/>
              </w:rPr>
            </w:pPr>
            <w:r>
              <w:rPr>
                <w:rFonts w:hint="eastAsia" w:ascii="黑体" w:hAnsi="黑体" w:eastAsia="黑体" w:cs="黑体"/>
                <w:sz w:val="24"/>
                <w:szCs w:val="24"/>
              </w:rPr>
              <w:t>较重要项</w:t>
            </w:r>
          </w:p>
        </w:tc>
        <w:tc>
          <w:tcPr>
            <w:tcW w:w="519" w:type="pct"/>
            <w:tcBorders>
              <w:top w:val="single" w:color="auto" w:sz="4" w:space="0"/>
              <w:left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sz w:val="24"/>
                <w:szCs w:val="24"/>
              </w:rPr>
            </w:pPr>
            <w:r>
              <w:rPr>
                <w:rFonts w:hint="eastAsia" w:ascii="黑体" w:hAnsi="黑体" w:eastAsia="黑体" w:cs="黑体"/>
                <w:sz w:val="24"/>
                <w:szCs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407"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1</w:t>
            </w:r>
          </w:p>
        </w:tc>
        <w:tc>
          <w:tcPr>
            <w:tcW w:w="824"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尿素含量</w:t>
            </w:r>
          </w:p>
        </w:tc>
        <w:tc>
          <w:tcPr>
            <w:tcW w:w="1173" w:type="pct"/>
            <w:vMerge w:val="restar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GB 2</w:t>
            </w:r>
            <w:bookmarkStart w:id="0" w:name="_GoBack"/>
            <w:bookmarkEnd w:id="0"/>
            <w:r>
              <w:rPr>
                <w:rFonts w:hint="eastAsia" w:ascii="仿宋" w:hAnsi="仿宋" w:eastAsia="仿宋" w:cs="仿宋"/>
                <w:sz w:val="24"/>
                <w:szCs w:val="24"/>
              </w:rPr>
              <w:t>9518-2013</w:t>
            </w:r>
          </w:p>
        </w:tc>
        <w:tc>
          <w:tcPr>
            <w:tcW w:w="518"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518" w:type="pct"/>
            <w:vAlign w:val="center"/>
          </w:tcPr>
          <w:p>
            <w:pPr>
              <w:adjustRightInd w:val="0"/>
              <w:snapToGrid w:val="0"/>
              <w:jc w:val="center"/>
              <w:rPr>
                <w:rFonts w:hint="eastAsia" w:ascii="仿宋" w:hAnsi="仿宋" w:eastAsia="仿宋" w:cs="仿宋"/>
                <w:sz w:val="24"/>
                <w:szCs w:val="24"/>
              </w:rPr>
            </w:pPr>
          </w:p>
        </w:tc>
        <w:tc>
          <w:tcPr>
            <w:tcW w:w="518"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518" w:type="pct"/>
            <w:vAlign w:val="center"/>
          </w:tcPr>
          <w:p>
            <w:pPr>
              <w:adjustRightInd w:val="0"/>
              <w:snapToGrid w:val="0"/>
              <w:jc w:val="center"/>
              <w:rPr>
                <w:rFonts w:hint="eastAsia" w:ascii="仿宋" w:hAnsi="仿宋" w:eastAsia="仿宋" w:cs="仿宋"/>
                <w:sz w:val="24"/>
                <w:szCs w:val="24"/>
              </w:rPr>
            </w:pPr>
          </w:p>
        </w:tc>
        <w:tc>
          <w:tcPr>
            <w:tcW w:w="519" w:type="pct"/>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407"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2</w:t>
            </w:r>
          </w:p>
        </w:tc>
        <w:tc>
          <w:tcPr>
            <w:tcW w:w="824"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密度（20℃）</w:t>
            </w:r>
          </w:p>
        </w:tc>
        <w:tc>
          <w:tcPr>
            <w:tcW w:w="1173" w:type="pct"/>
            <w:vMerge w:val="continue"/>
            <w:vAlign w:val="center"/>
          </w:tcPr>
          <w:p>
            <w:pPr>
              <w:adjustRightInd w:val="0"/>
              <w:snapToGrid w:val="0"/>
              <w:jc w:val="center"/>
              <w:rPr>
                <w:rFonts w:hint="eastAsia" w:ascii="仿宋" w:hAnsi="仿宋" w:eastAsia="仿宋" w:cs="仿宋"/>
                <w:sz w:val="24"/>
                <w:szCs w:val="24"/>
              </w:rPr>
            </w:pPr>
          </w:p>
        </w:tc>
        <w:tc>
          <w:tcPr>
            <w:tcW w:w="518"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518" w:type="pct"/>
            <w:vAlign w:val="center"/>
          </w:tcPr>
          <w:p>
            <w:pPr>
              <w:adjustRightInd w:val="0"/>
              <w:snapToGrid w:val="0"/>
              <w:jc w:val="center"/>
              <w:rPr>
                <w:rFonts w:hint="eastAsia" w:ascii="仿宋" w:hAnsi="仿宋" w:eastAsia="仿宋" w:cs="仿宋"/>
                <w:sz w:val="24"/>
                <w:szCs w:val="24"/>
              </w:rPr>
            </w:pPr>
          </w:p>
        </w:tc>
        <w:tc>
          <w:tcPr>
            <w:tcW w:w="518" w:type="pct"/>
            <w:vAlign w:val="center"/>
          </w:tcPr>
          <w:p>
            <w:pPr>
              <w:adjustRightInd w:val="0"/>
              <w:snapToGrid w:val="0"/>
              <w:jc w:val="center"/>
              <w:rPr>
                <w:rFonts w:hint="eastAsia" w:ascii="仿宋" w:hAnsi="仿宋" w:eastAsia="仿宋" w:cs="仿宋"/>
                <w:sz w:val="24"/>
                <w:szCs w:val="24"/>
              </w:rPr>
            </w:pPr>
          </w:p>
        </w:tc>
        <w:tc>
          <w:tcPr>
            <w:tcW w:w="518"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519" w:type="pct"/>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407"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3</w:t>
            </w:r>
          </w:p>
        </w:tc>
        <w:tc>
          <w:tcPr>
            <w:tcW w:w="824"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折光率</w:t>
            </w:r>
          </w:p>
        </w:tc>
        <w:tc>
          <w:tcPr>
            <w:tcW w:w="1173" w:type="pct"/>
            <w:vMerge w:val="continue"/>
            <w:vAlign w:val="center"/>
          </w:tcPr>
          <w:p>
            <w:pPr>
              <w:adjustRightInd w:val="0"/>
              <w:snapToGrid w:val="0"/>
              <w:jc w:val="center"/>
              <w:rPr>
                <w:rFonts w:hint="eastAsia" w:ascii="仿宋" w:hAnsi="仿宋" w:eastAsia="仿宋" w:cs="仿宋"/>
                <w:sz w:val="24"/>
                <w:szCs w:val="24"/>
              </w:rPr>
            </w:pPr>
          </w:p>
        </w:tc>
        <w:tc>
          <w:tcPr>
            <w:tcW w:w="518"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518" w:type="pct"/>
            <w:vAlign w:val="center"/>
          </w:tcPr>
          <w:p>
            <w:pPr>
              <w:adjustRightInd w:val="0"/>
              <w:snapToGrid w:val="0"/>
              <w:jc w:val="center"/>
              <w:rPr>
                <w:rFonts w:hint="eastAsia" w:ascii="仿宋" w:hAnsi="仿宋" w:eastAsia="仿宋" w:cs="仿宋"/>
                <w:sz w:val="24"/>
                <w:szCs w:val="24"/>
              </w:rPr>
            </w:pPr>
          </w:p>
        </w:tc>
        <w:tc>
          <w:tcPr>
            <w:tcW w:w="518" w:type="pct"/>
            <w:vAlign w:val="center"/>
          </w:tcPr>
          <w:p>
            <w:pPr>
              <w:adjustRightInd w:val="0"/>
              <w:snapToGrid w:val="0"/>
              <w:jc w:val="center"/>
              <w:rPr>
                <w:rFonts w:hint="eastAsia" w:ascii="仿宋" w:hAnsi="仿宋" w:eastAsia="仿宋" w:cs="仿宋"/>
                <w:sz w:val="24"/>
                <w:szCs w:val="24"/>
              </w:rPr>
            </w:pPr>
          </w:p>
        </w:tc>
        <w:tc>
          <w:tcPr>
            <w:tcW w:w="518"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519" w:type="pct"/>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407"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4</w:t>
            </w:r>
          </w:p>
        </w:tc>
        <w:tc>
          <w:tcPr>
            <w:tcW w:w="824"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碱度</w:t>
            </w:r>
          </w:p>
        </w:tc>
        <w:tc>
          <w:tcPr>
            <w:tcW w:w="1173" w:type="pct"/>
            <w:vMerge w:val="continue"/>
            <w:vAlign w:val="center"/>
          </w:tcPr>
          <w:p>
            <w:pPr>
              <w:adjustRightInd w:val="0"/>
              <w:snapToGrid w:val="0"/>
              <w:jc w:val="center"/>
              <w:rPr>
                <w:rFonts w:hint="eastAsia" w:ascii="仿宋" w:hAnsi="仿宋" w:eastAsia="仿宋" w:cs="仿宋"/>
                <w:sz w:val="24"/>
                <w:szCs w:val="24"/>
              </w:rPr>
            </w:pPr>
          </w:p>
        </w:tc>
        <w:tc>
          <w:tcPr>
            <w:tcW w:w="518"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518" w:type="pct"/>
            <w:vAlign w:val="center"/>
          </w:tcPr>
          <w:p>
            <w:pPr>
              <w:adjustRightInd w:val="0"/>
              <w:snapToGrid w:val="0"/>
              <w:jc w:val="center"/>
              <w:rPr>
                <w:rFonts w:hint="eastAsia" w:ascii="仿宋" w:hAnsi="仿宋" w:eastAsia="仿宋" w:cs="仿宋"/>
                <w:sz w:val="24"/>
                <w:szCs w:val="24"/>
              </w:rPr>
            </w:pPr>
          </w:p>
        </w:tc>
        <w:tc>
          <w:tcPr>
            <w:tcW w:w="518" w:type="pct"/>
            <w:vAlign w:val="center"/>
          </w:tcPr>
          <w:p>
            <w:pPr>
              <w:adjustRightInd w:val="0"/>
              <w:snapToGrid w:val="0"/>
              <w:jc w:val="center"/>
              <w:rPr>
                <w:rFonts w:hint="eastAsia" w:ascii="仿宋" w:hAnsi="仿宋" w:eastAsia="仿宋" w:cs="仿宋"/>
                <w:sz w:val="24"/>
                <w:szCs w:val="24"/>
              </w:rPr>
            </w:pPr>
          </w:p>
        </w:tc>
        <w:tc>
          <w:tcPr>
            <w:tcW w:w="518"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519" w:type="pct"/>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407"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5</w:t>
            </w:r>
          </w:p>
        </w:tc>
        <w:tc>
          <w:tcPr>
            <w:tcW w:w="824"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缩二脲</w:t>
            </w:r>
          </w:p>
        </w:tc>
        <w:tc>
          <w:tcPr>
            <w:tcW w:w="1173" w:type="pct"/>
            <w:vMerge w:val="continue"/>
            <w:vAlign w:val="center"/>
          </w:tcPr>
          <w:p>
            <w:pPr>
              <w:adjustRightInd w:val="0"/>
              <w:snapToGrid w:val="0"/>
              <w:jc w:val="center"/>
              <w:rPr>
                <w:rFonts w:hint="eastAsia" w:ascii="仿宋" w:hAnsi="仿宋" w:eastAsia="仿宋" w:cs="仿宋"/>
                <w:sz w:val="24"/>
                <w:szCs w:val="24"/>
              </w:rPr>
            </w:pPr>
          </w:p>
        </w:tc>
        <w:tc>
          <w:tcPr>
            <w:tcW w:w="518"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518" w:type="pct"/>
            <w:vAlign w:val="center"/>
          </w:tcPr>
          <w:p>
            <w:pPr>
              <w:adjustRightInd w:val="0"/>
              <w:snapToGrid w:val="0"/>
              <w:jc w:val="center"/>
              <w:rPr>
                <w:rFonts w:hint="eastAsia" w:ascii="仿宋" w:hAnsi="仿宋" w:eastAsia="仿宋" w:cs="仿宋"/>
                <w:sz w:val="24"/>
                <w:szCs w:val="24"/>
              </w:rPr>
            </w:pPr>
          </w:p>
        </w:tc>
        <w:tc>
          <w:tcPr>
            <w:tcW w:w="518"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518" w:type="pct"/>
            <w:vAlign w:val="center"/>
          </w:tcPr>
          <w:p>
            <w:pPr>
              <w:adjustRightInd w:val="0"/>
              <w:snapToGrid w:val="0"/>
              <w:jc w:val="center"/>
              <w:rPr>
                <w:rFonts w:hint="eastAsia" w:ascii="仿宋" w:hAnsi="仿宋" w:eastAsia="仿宋" w:cs="仿宋"/>
                <w:sz w:val="24"/>
                <w:szCs w:val="24"/>
              </w:rPr>
            </w:pPr>
          </w:p>
        </w:tc>
        <w:tc>
          <w:tcPr>
            <w:tcW w:w="519" w:type="pct"/>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407"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6</w:t>
            </w:r>
          </w:p>
        </w:tc>
        <w:tc>
          <w:tcPr>
            <w:tcW w:w="824"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醛类</w:t>
            </w:r>
          </w:p>
        </w:tc>
        <w:tc>
          <w:tcPr>
            <w:tcW w:w="1173" w:type="pct"/>
            <w:vMerge w:val="continue"/>
            <w:vAlign w:val="center"/>
          </w:tcPr>
          <w:p>
            <w:pPr>
              <w:adjustRightInd w:val="0"/>
              <w:snapToGrid w:val="0"/>
              <w:jc w:val="center"/>
              <w:rPr>
                <w:rFonts w:hint="eastAsia" w:ascii="仿宋" w:hAnsi="仿宋" w:eastAsia="仿宋" w:cs="仿宋"/>
                <w:sz w:val="24"/>
                <w:szCs w:val="24"/>
              </w:rPr>
            </w:pPr>
          </w:p>
        </w:tc>
        <w:tc>
          <w:tcPr>
            <w:tcW w:w="518"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518" w:type="pct"/>
            <w:vAlign w:val="center"/>
          </w:tcPr>
          <w:p>
            <w:pPr>
              <w:adjustRightInd w:val="0"/>
              <w:snapToGrid w:val="0"/>
              <w:jc w:val="center"/>
              <w:rPr>
                <w:rFonts w:hint="eastAsia" w:ascii="仿宋" w:hAnsi="仿宋" w:eastAsia="仿宋" w:cs="仿宋"/>
                <w:sz w:val="24"/>
                <w:szCs w:val="24"/>
              </w:rPr>
            </w:pPr>
          </w:p>
        </w:tc>
        <w:tc>
          <w:tcPr>
            <w:tcW w:w="518"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518" w:type="pct"/>
            <w:vAlign w:val="center"/>
          </w:tcPr>
          <w:p>
            <w:pPr>
              <w:adjustRightInd w:val="0"/>
              <w:snapToGrid w:val="0"/>
              <w:jc w:val="center"/>
              <w:rPr>
                <w:rFonts w:hint="eastAsia" w:ascii="仿宋" w:hAnsi="仿宋" w:eastAsia="仿宋" w:cs="仿宋"/>
                <w:sz w:val="24"/>
                <w:szCs w:val="24"/>
              </w:rPr>
            </w:pPr>
          </w:p>
        </w:tc>
        <w:tc>
          <w:tcPr>
            <w:tcW w:w="519" w:type="pct"/>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407"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7</w:t>
            </w:r>
          </w:p>
        </w:tc>
        <w:tc>
          <w:tcPr>
            <w:tcW w:w="824"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不溶物</w:t>
            </w:r>
          </w:p>
        </w:tc>
        <w:tc>
          <w:tcPr>
            <w:tcW w:w="1173" w:type="pct"/>
            <w:vMerge w:val="continue"/>
            <w:vAlign w:val="center"/>
          </w:tcPr>
          <w:p>
            <w:pPr>
              <w:adjustRightInd w:val="0"/>
              <w:snapToGrid w:val="0"/>
              <w:jc w:val="center"/>
              <w:rPr>
                <w:rFonts w:hint="eastAsia" w:ascii="仿宋" w:hAnsi="仿宋" w:eastAsia="仿宋" w:cs="仿宋"/>
                <w:sz w:val="24"/>
                <w:szCs w:val="24"/>
              </w:rPr>
            </w:pPr>
          </w:p>
        </w:tc>
        <w:tc>
          <w:tcPr>
            <w:tcW w:w="518"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518" w:type="pct"/>
            <w:vAlign w:val="center"/>
          </w:tcPr>
          <w:p>
            <w:pPr>
              <w:adjustRightInd w:val="0"/>
              <w:snapToGrid w:val="0"/>
              <w:jc w:val="center"/>
              <w:rPr>
                <w:rFonts w:hint="eastAsia" w:ascii="仿宋" w:hAnsi="仿宋" w:eastAsia="仿宋" w:cs="仿宋"/>
                <w:sz w:val="24"/>
                <w:szCs w:val="24"/>
              </w:rPr>
            </w:pPr>
          </w:p>
        </w:tc>
        <w:tc>
          <w:tcPr>
            <w:tcW w:w="518" w:type="pct"/>
            <w:vAlign w:val="center"/>
          </w:tcPr>
          <w:p>
            <w:pPr>
              <w:adjustRightInd w:val="0"/>
              <w:snapToGrid w:val="0"/>
              <w:jc w:val="center"/>
              <w:rPr>
                <w:rFonts w:hint="eastAsia" w:ascii="仿宋" w:hAnsi="仿宋" w:eastAsia="仿宋" w:cs="仿宋"/>
                <w:sz w:val="24"/>
                <w:szCs w:val="24"/>
              </w:rPr>
            </w:pPr>
          </w:p>
        </w:tc>
        <w:tc>
          <w:tcPr>
            <w:tcW w:w="518"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519" w:type="pct"/>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407"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8</w:t>
            </w:r>
          </w:p>
        </w:tc>
        <w:tc>
          <w:tcPr>
            <w:tcW w:w="824"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磷酸盐</w:t>
            </w:r>
          </w:p>
        </w:tc>
        <w:tc>
          <w:tcPr>
            <w:tcW w:w="1173" w:type="pct"/>
            <w:vMerge w:val="continue"/>
            <w:vAlign w:val="center"/>
          </w:tcPr>
          <w:p>
            <w:pPr>
              <w:adjustRightInd w:val="0"/>
              <w:snapToGrid w:val="0"/>
              <w:jc w:val="center"/>
              <w:rPr>
                <w:rFonts w:hint="eastAsia" w:ascii="仿宋" w:hAnsi="仿宋" w:eastAsia="仿宋" w:cs="仿宋"/>
                <w:sz w:val="24"/>
                <w:szCs w:val="24"/>
              </w:rPr>
            </w:pPr>
          </w:p>
        </w:tc>
        <w:tc>
          <w:tcPr>
            <w:tcW w:w="518"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518" w:type="pct"/>
            <w:vAlign w:val="center"/>
          </w:tcPr>
          <w:p>
            <w:pPr>
              <w:adjustRightInd w:val="0"/>
              <w:snapToGrid w:val="0"/>
              <w:jc w:val="center"/>
              <w:rPr>
                <w:rFonts w:hint="eastAsia" w:ascii="仿宋" w:hAnsi="仿宋" w:eastAsia="仿宋" w:cs="仿宋"/>
                <w:sz w:val="24"/>
                <w:szCs w:val="24"/>
              </w:rPr>
            </w:pPr>
          </w:p>
        </w:tc>
        <w:tc>
          <w:tcPr>
            <w:tcW w:w="518" w:type="pct"/>
            <w:vAlign w:val="center"/>
          </w:tcPr>
          <w:p>
            <w:pPr>
              <w:adjustRightInd w:val="0"/>
              <w:snapToGrid w:val="0"/>
              <w:jc w:val="center"/>
              <w:rPr>
                <w:rFonts w:hint="eastAsia" w:ascii="仿宋" w:hAnsi="仿宋" w:eastAsia="仿宋" w:cs="仿宋"/>
                <w:sz w:val="24"/>
                <w:szCs w:val="24"/>
              </w:rPr>
            </w:pPr>
          </w:p>
        </w:tc>
        <w:tc>
          <w:tcPr>
            <w:tcW w:w="518"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519" w:type="pct"/>
            <w:vAlign w:val="center"/>
          </w:tcPr>
          <w:p>
            <w:pPr>
              <w:adjustRightInd w:val="0"/>
              <w:snapToGrid w:val="0"/>
              <w:jc w:val="center"/>
              <w:rPr>
                <w:rFonts w:hint="eastAsia" w:ascii="仿宋" w:hAnsi="仿宋" w:eastAsia="仿宋" w:cs="仿宋"/>
                <w:sz w:val="24"/>
                <w:szCs w:val="24"/>
              </w:rPr>
            </w:pPr>
          </w:p>
        </w:tc>
      </w:tr>
    </w:tbl>
    <w:p>
      <w:pPr>
        <w:spacing w:line="578" w:lineRule="exact"/>
        <w:jc w:val="left"/>
        <w:rPr>
          <w:rFonts w:eastAsia="黑体"/>
        </w:rPr>
      </w:pPr>
    </w:p>
    <w:p>
      <w:pPr>
        <w:autoSpaceDE w:val="0"/>
        <w:autoSpaceDN w:val="0"/>
        <w:spacing w:line="578" w:lineRule="exact"/>
        <w:ind w:firstLine="640" w:firstLineChars="200"/>
        <w:jc w:val="left"/>
        <w:rPr>
          <w:rFonts w:eastAsia="黑体"/>
        </w:rPr>
      </w:pPr>
      <w:r>
        <w:rPr>
          <w:rFonts w:hint="eastAsia" w:eastAsia="黑体"/>
        </w:rPr>
        <w:t>三、判定规则</w:t>
      </w:r>
    </w:p>
    <w:p>
      <w:pPr>
        <w:autoSpaceDE w:val="0"/>
        <w:autoSpaceDN w:val="0"/>
        <w:spacing w:line="578" w:lineRule="exact"/>
        <w:ind w:firstLine="640" w:firstLineChars="200"/>
        <w:jc w:val="left"/>
        <w:rPr>
          <w:rFonts w:hint="eastAsia" w:ascii="楷体_GB2312" w:hAnsi="楷体_GB2312" w:eastAsia="楷体_GB2312" w:cs="楷体_GB2312"/>
          <w:kern w:val="0"/>
        </w:rPr>
      </w:pPr>
      <w:r>
        <w:rPr>
          <w:rFonts w:hint="eastAsia" w:ascii="楷体_GB2312" w:hAnsi="楷体_GB2312" w:eastAsia="楷体_GB2312" w:cs="楷体_GB2312"/>
          <w:kern w:val="0"/>
        </w:rPr>
        <w:t>（一）依据标准</w:t>
      </w:r>
    </w:p>
    <w:p>
      <w:pPr>
        <w:autoSpaceDE w:val="0"/>
        <w:autoSpaceDN w:val="0"/>
        <w:spacing w:line="578" w:lineRule="exact"/>
        <w:ind w:firstLine="640" w:firstLineChars="200"/>
        <w:jc w:val="left"/>
        <w:rPr>
          <w:rFonts w:hint="eastAsia" w:ascii="仿宋" w:hAnsi="仿宋" w:eastAsia="仿宋" w:cs="仿宋"/>
          <w:kern w:val="0"/>
        </w:rPr>
      </w:pPr>
      <w:r>
        <w:rPr>
          <w:rFonts w:hint="eastAsia" w:ascii="仿宋" w:hAnsi="仿宋" w:eastAsia="仿宋" w:cs="仿宋"/>
          <w:kern w:val="0"/>
        </w:rPr>
        <w:t>GB 29518-2013《柴油发动机氮氧化物还原剂 尿素水溶液（AUS32）》</w:t>
      </w:r>
    </w:p>
    <w:p>
      <w:pPr>
        <w:autoSpaceDE w:val="0"/>
        <w:autoSpaceDN w:val="0"/>
        <w:spacing w:line="578" w:lineRule="exact"/>
        <w:ind w:firstLine="640" w:firstLineChars="200"/>
        <w:jc w:val="left"/>
        <w:rPr>
          <w:rFonts w:hint="eastAsia" w:ascii="仿宋" w:hAnsi="仿宋" w:eastAsia="仿宋" w:cs="仿宋"/>
          <w:kern w:val="0"/>
        </w:rPr>
      </w:pPr>
      <w:r>
        <w:rPr>
          <w:rFonts w:hint="eastAsia" w:ascii="仿宋" w:hAnsi="仿宋" w:eastAsia="仿宋" w:cs="仿宋"/>
          <w:kern w:val="0"/>
        </w:rPr>
        <w:t>相关的法律法规、部门规章和规范及产品明示质量要求。</w:t>
      </w:r>
    </w:p>
    <w:p>
      <w:pPr>
        <w:autoSpaceDE w:val="0"/>
        <w:autoSpaceDN w:val="0"/>
        <w:spacing w:line="578" w:lineRule="exact"/>
        <w:ind w:firstLine="640" w:firstLineChars="200"/>
        <w:jc w:val="left"/>
        <w:rPr>
          <w:rFonts w:hint="eastAsia" w:ascii="仿宋" w:hAnsi="仿宋" w:eastAsia="仿宋" w:cs="仿宋"/>
          <w:kern w:val="0"/>
        </w:rPr>
      </w:pPr>
      <w:r>
        <w:rPr>
          <w:rFonts w:hint="eastAsia" w:ascii="楷体_GB2312" w:hAnsi="楷体_GB2312" w:eastAsia="楷体_GB2312" w:cs="楷体_GB2312"/>
          <w:kern w:val="0"/>
        </w:rPr>
        <w:t>（二）判定原则</w:t>
      </w:r>
    </w:p>
    <w:p>
      <w:pPr>
        <w:autoSpaceDE w:val="0"/>
        <w:autoSpaceDN w:val="0"/>
        <w:spacing w:line="578" w:lineRule="exact"/>
        <w:ind w:firstLine="640" w:firstLineChars="200"/>
        <w:jc w:val="left"/>
        <w:rPr>
          <w:rFonts w:hint="eastAsia" w:ascii="仿宋" w:hAnsi="仿宋" w:eastAsia="仿宋" w:cs="仿宋"/>
          <w:kern w:val="0"/>
        </w:rPr>
      </w:pPr>
      <w:r>
        <w:rPr>
          <w:rFonts w:hint="eastAsia" w:ascii="仿宋" w:hAnsi="仿宋" w:eastAsia="仿宋" w:cs="仿宋"/>
          <w:kern w:val="0"/>
        </w:rPr>
        <w:t>经检验，检验项目全部合格，判定为被抽查产品所检项目未发现不合格；检验项目中任一项或一项以上不合格，判定为被抽查产品不合格。</w:t>
      </w:r>
    </w:p>
    <w:p>
      <w:pPr>
        <w:autoSpaceDE w:val="0"/>
        <w:autoSpaceDN w:val="0"/>
        <w:spacing w:line="578" w:lineRule="exact"/>
        <w:ind w:firstLine="640" w:firstLineChars="200"/>
        <w:jc w:val="left"/>
        <w:rPr>
          <w:rFonts w:hint="eastAsia" w:ascii="仿宋" w:hAnsi="仿宋" w:eastAsia="仿宋" w:cs="仿宋"/>
          <w:kern w:val="0"/>
        </w:rPr>
      </w:pPr>
      <w:r>
        <w:rPr>
          <w:rFonts w:hint="eastAsia" w:ascii="仿宋" w:hAnsi="仿宋" w:eastAsia="仿宋" w:cs="仿宋"/>
          <w:kern w:val="0"/>
        </w:rPr>
        <w:t>当被检产品明示的质量要求高于本细则中检验项目依据的标准要求时，应按被检产品明示的质量要求判定。</w:t>
      </w:r>
    </w:p>
    <w:p>
      <w:pPr>
        <w:autoSpaceDE w:val="0"/>
        <w:autoSpaceDN w:val="0"/>
        <w:spacing w:line="578" w:lineRule="exact"/>
        <w:ind w:firstLine="640" w:firstLineChars="200"/>
        <w:jc w:val="left"/>
        <w:rPr>
          <w:rFonts w:hint="eastAsia" w:ascii="仿宋" w:hAnsi="仿宋" w:eastAsia="仿宋" w:cs="仿宋"/>
          <w:kern w:val="0"/>
        </w:rPr>
      </w:pPr>
      <w:r>
        <w:rPr>
          <w:rFonts w:hint="eastAsia" w:ascii="仿宋" w:hAnsi="仿宋" w:eastAsia="仿宋" w:cs="仿宋"/>
          <w:kern w:val="0"/>
        </w:rPr>
        <w:t>当被检产品明示的质量要求低于本细则中检验项目依据的强制性标准要求时，应按照强制性标准要求判定。</w:t>
      </w:r>
    </w:p>
    <w:p>
      <w:pPr>
        <w:autoSpaceDE w:val="0"/>
        <w:autoSpaceDN w:val="0"/>
        <w:spacing w:line="578" w:lineRule="exact"/>
        <w:ind w:firstLine="640" w:firstLineChars="200"/>
        <w:jc w:val="left"/>
        <w:rPr>
          <w:rFonts w:hint="eastAsia" w:ascii="仿宋" w:hAnsi="仿宋" w:eastAsia="仿宋" w:cs="仿宋"/>
          <w:kern w:val="0"/>
        </w:rPr>
      </w:pPr>
      <w:r>
        <w:rPr>
          <w:rFonts w:hint="eastAsia" w:ascii="仿宋" w:hAnsi="仿宋" w:eastAsia="仿宋" w:cs="仿宋"/>
          <w:kern w:val="0"/>
        </w:rPr>
        <w:t>当被检产品明示的质量要求缺少本细则中检验项目依据的强制性标准要求时，应按照强制性标准要求判定。</w:t>
      </w:r>
    </w:p>
    <w:p>
      <w:pPr>
        <w:autoSpaceDE w:val="0"/>
        <w:autoSpaceDN w:val="0"/>
        <w:spacing w:line="578" w:lineRule="exact"/>
        <w:ind w:firstLine="640" w:firstLineChars="200"/>
        <w:jc w:val="left"/>
        <w:rPr>
          <w:rFonts w:hint="eastAsia" w:ascii="仿宋" w:hAnsi="仿宋" w:eastAsia="仿宋" w:cs="仿宋"/>
          <w:kern w:val="0"/>
        </w:rPr>
      </w:pPr>
      <w:r>
        <w:rPr>
          <w:rFonts w:hint="eastAsia" w:ascii="仿宋" w:hAnsi="仿宋" w:eastAsia="仿宋" w:cs="仿宋"/>
          <w:kern w:val="0"/>
        </w:rPr>
        <w:t>当被检样品未能提供有效的企业标准时，按相关国家或行业标准进行判定。</w:t>
      </w:r>
    </w:p>
    <w:p>
      <w:pPr>
        <w:autoSpaceDE w:val="0"/>
        <w:autoSpaceDN w:val="0"/>
        <w:spacing w:line="578" w:lineRule="exact"/>
        <w:ind w:firstLine="640" w:firstLineChars="200"/>
        <w:jc w:val="left"/>
        <w:rPr>
          <w:rFonts w:hint="eastAsia" w:ascii="仿宋" w:hAnsi="仿宋" w:eastAsia="仿宋" w:cs="仿宋"/>
          <w:kern w:val="0"/>
        </w:rPr>
      </w:pPr>
      <w:r>
        <w:rPr>
          <w:rFonts w:hint="eastAsia" w:ascii="仿宋" w:hAnsi="仿宋" w:eastAsia="仿宋" w:cs="仿宋"/>
          <w:kern w:val="0"/>
        </w:rPr>
        <w:t>当被检样品标签标识中执行标准信息和产品类别信息不明或有误，影响检测和判定时，可根据产品特点等信息判断和选择相关标准进行检验，并应在检验报告中作出相关说明。</w:t>
      </w:r>
    </w:p>
    <w:p>
      <w:pPr>
        <w:autoSpaceDE w:val="0"/>
        <w:autoSpaceDN w:val="0"/>
        <w:spacing w:line="578" w:lineRule="exact"/>
        <w:ind w:firstLine="640" w:firstLineChars="200"/>
        <w:jc w:val="left"/>
        <w:rPr>
          <w:rFonts w:hint="eastAsia" w:ascii="仿宋" w:hAnsi="仿宋" w:eastAsia="仿宋" w:cs="仿宋"/>
          <w:kern w:val="0"/>
        </w:rPr>
      </w:pPr>
      <w:r>
        <w:rPr>
          <w:rFonts w:hint="eastAsia" w:ascii="仿宋" w:hAnsi="仿宋" w:eastAsia="仿宋" w:cs="仿宋"/>
          <w:kern w:val="0"/>
        </w:rPr>
        <w:t>按照产品质量相关法律法规的规定判定。</w:t>
      </w:r>
    </w:p>
    <w:p>
      <w:pPr>
        <w:autoSpaceDE w:val="0"/>
        <w:autoSpaceDN w:val="0"/>
        <w:spacing w:line="578" w:lineRule="exact"/>
        <w:ind w:firstLine="640" w:firstLineChars="200"/>
        <w:jc w:val="left"/>
        <w:rPr>
          <w:rFonts w:hint="eastAsia" w:ascii="仿宋" w:hAnsi="仿宋" w:eastAsia="仿宋" w:cs="仿宋"/>
          <w:kern w:val="0"/>
        </w:rPr>
      </w:pPr>
      <w:r>
        <w:rPr>
          <w:rFonts w:hint="eastAsia" w:ascii="仿宋" w:hAnsi="仿宋" w:eastAsia="仿宋" w:cs="仿宋"/>
          <w:kern w:val="0"/>
        </w:rPr>
        <w:t>检验中发现因样品失效或者其他原因致使检验无法进行的，检验人员应如实记录，并提供相关证明材料，报送组织监督抽查的市场监管部门。</w:t>
      </w:r>
    </w:p>
    <w:sectPr>
      <w:pgSz w:w="11906" w:h="16838"/>
      <w:pgMar w:top="2098" w:right="1474" w:bottom="1984" w:left="1587"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iYjVjNWI5MzAzZTZmMWUwMWJlOWMwMWQxNmZkMjMifQ=="/>
  </w:docVars>
  <w:rsids>
    <w:rsidRoot w:val="00FA7094"/>
    <w:rsid w:val="00002935"/>
    <w:rsid w:val="00036BC7"/>
    <w:rsid w:val="0005045D"/>
    <w:rsid w:val="00063BD5"/>
    <w:rsid w:val="00092ABD"/>
    <w:rsid w:val="00116270"/>
    <w:rsid w:val="00120EFB"/>
    <w:rsid w:val="001221DB"/>
    <w:rsid w:val="00192BBD"/>
    <w:rsid w:val="001F02A6"/>
    <w:rsid w:val="001F5DD4"/>
    <w:rsid w:val="00201CDD"/>
    <w:rsid w:val="00223348"/>
    <w:rsid w:val="00250DFA"/>
    <w:rsid w:val="002923B9"/>
    <w:rsid w:val="00294579"/>
    <w:rsid w:val="00310C73"/>
    <w:rsid w:val="0038205F"/>
    <w:rsid w:val="0039338B"/>
    <w:rsid w:val="004015F5"/>
    <w:rsid w:val="00455EB7"/>
    <w:rsid w:val="004757C1"/>
    <w:rsid w:val="004A5090"/>
    <w:rsid w:val="004B2573"/>
    <w:rsid w:val="004B3591"/>
    <w:rsid w:val="00544BE4"/>
    <w:rsid w:val="00592C01"/>
    <w:rsid w:val="005A0994"/>
    <w:rsid w:val="006238A1"/>
    <w:rsid w:val="00624315"/>
    <w:rsid w:val="00695250"/>
    <w:rsid w:val="006D4F7A"/>
    <w:rsid w:val="006D505E"/>
    <w:rsid w:val="006F4E7D"/>
    <w:rsid w:val="00732793"/>
    <w:rsid w:val="00735F9B"/>
    <w:rsid w:val="0074286E"/>
    <w:rsid w:val="00752F93"/>
    <w:rsid w:val="0075545D"/>
    <w:rsid w:val="007914F7"/>
    <w:rsid w:val="007A0EE2"/>
    <w:rsid w:val="007A10C3"/>
    <w:rsid w:val="007B0EC6"/>
    <w:rsid w:val="007F204B"/>
    <w:rsid w:val="00813B3E"/>
    <w:rsid w:val="00841ED0"/>
    <w:rsid w:val="00895950"/>
    <w:rsid w:val="008C102E"/>
    <w:rsid w:val="008C280B"/>
    <w:rsid w:val="008F74C7"/>
    <w:rsid w:val="00926BC7"/>
    <w:rsid w:val="009607A3"/>
    <w:rsid w:val="009F07C3"/>
    <w:rsid w:val="00A02A33"/>
    <w:rsid w:val="00A15231"/>
    <w:rsid w:val="00A40122"/>
    <w:rsid w:val="00A401D5"/>
    <w:rsid w:val="00A66D10"/>
    <w:rsid w:val="00A97411"/>
    <w:rsid w:val="00AC1C38"/>
    <w:rsid w:val="00B25DB1"/>
    <w:rsid w:val="00B378C7"/>
    <w:rsid w:val="00B7736F"/>
    <w:rsid w:val="00BA2151"/>
    <w:rsid w:val="00BA664E"/>
    <w:rsid w:val="00BA6840"/>
    <w:rsid w:val="00BB0B4C"/>
    <w:rsid w:val="00BC0EB4"/>
    <w:rsid w:val="00BC667E"/>
    <w:rsid w:val="00BD50D2"/>
    <w:rsid w:val="00C070D8"/>
    <w:rsid w:val="00C17D35"/>
    <w:rsid w:val="00C4082C"/>
    <w:rsid w:val="00C450FD"/>
    <w:rsid w:val="00C512B6"/>
    <w:rsid w:val="00CC19A7"/>
    <w:rsid w:val="00D1464E"/>
    <w:rsid w:val="00D224DD"/>
    <w:rsid w:val="00D357A6"/>
    <w:rsid w:val="00D53843"/>
    <w:rsid w:val="00D554F8"/>
    <w:rsid w:val="00D629E1"/>
    <w:rsid w:val="00DF6627"/>
    <w:rsid w:val="00E54840"/>
    <w:rsid w:val="00E56737"/>
    <w:rsid w:val="00E61CE3"/>
    <w:rsid w:val="00E72969"/>
    <w:rsid w:val="00E94DFB"/>
    <w:rsid w:val="00E9624B"/>
    <w:rsid w:val="00E977EC"/>
    <w:rsid w:val="00EC3EBE"/>
    <w:rsid w:val="00EE24A1"/>
    <w:rsid w:val="00EF5C3B"/>
    <w:rsid w:val="00F1323C"/>
    <w:rsid w:val="00F44F9E"/>
    <w:rsid w:val="00F5376E"/>
    <w:rsid w:val="00F60942"/>
    <w:rsid w:val="00F8007C"/>
    <w:rsid w:val="00F84D01"/>
    <w:rsid w:val="00FA7094"/>
    <w:rsid w:val="00FA791E"/>
    <w:rsid w:val="00FB22F7"/>
    <w:rsid w:val="00FE6536"/>
    <w:rsid w:val="0AC37DCE"/>
    <w:rsid w:val="0D900A5B"/>
    <w:rsid w:val="37DA2FE2"/>
    <w:rsid w:val="429D2B25"/>
    <w:rsid w:val="5B4F1ADA"/>
    <w:rsid w:val="5BEB6052"/>
    <w:rsid w:val="937612C2"/>
    <w:rsid w:val="BCDDD555"/>
    <w:rsid w:val="E0FE9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 w:cs="Times New Roman"/>
      <w:kern w:val="2"/>
      <w:sz w:val="32"/>
      <w:szCs w:val="32"/>
      <w:lang w:val="en-US" w:eastAsia="zh-CN" w:bidi="ar-SA"/>
    </w:rPr>
  </w:style>
  <w:style w:type="paragraph" w:styleId="2">
    <w:name w:val="heading 1"/>
    <w:basedOn w:val="1"/>
    <w:next w:val="1"/>
    <w:link w:val="9"/>
    <w:qFormat/>
    <w:uiPriority w:val="0"/>
    <w:pPr>
      <w:jc w:val="center"/>
      <w:outlineLvl w:val="0"/>
    </w:pPr>
    <w:rPr>
      <w:rFonts w:ascii="方正小标宋简体" w:eastAsia="方正小标宋简体"/>
      <w:kern w:val="44"/>
      <w:sz w:val="38"/>
      <w:szCs w:val="24"/>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0"/>
    <w:unhideWhenUsed/>
    <w:qFormat/>
    <w:uiPriority w:val="0"/>
    <w:rPr>
      <w:rFonts w:ascii="宋体" w:hAnsi="Courier New" w:eastAsia="宋体" w:cs="Courier New"/>
      <w:sz w:val="21"/>
      <w:szCs w:val="21"/>
    </w:rPr>
  </w:style>
  <w:style w:type="paragraph" w:styleId="4">
    <w:name w:val="footer"/>
    <w:basedOn w:val="1"/>
    <w:link w:val="15"/>
    <w:qFormat/>
    <w:uiPriority w:val="0"/>
    <w:pPr>
      <w:tabs>
        <w:tab w:val="center" w:pos="4153"/>
        <w:tab w:val="right" w:pos="8306"/>
      </w:tabs>
      <w:snapToGrid w:val="0"/>
      <w:jc w:val="left"/>
    </w:pPr>
    <w:rPr>
      <w:rFonts w:eastAsia="仿宋_GB2312"/>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rFonts w:eastAsia="仿宋_GB2312"/>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标题 1 Char"/>
    <w:basedOn w:val="8"/>
    <w:link w:val="2"/>
    <w:qFormat/>
    <w:uiPriority w:val="0"/>
    <w:rPr>
      <w:rFonts w:ascii="方正小标宋简体" w:eastAsia="方正小标宋简体"/>
      <w:kern w:val="44"/>
      <w:sz w:val="38"/>
      <w:szCs w:val="24"/>
    </w:rPr>
  </w:style>
  <w:style w:type="character" w:customStyle="1" w:styleId="10">
    <w:name w:val="纯文本 Char"/>
    <w:basedOn w:val="8"/>
    <w:link w:val="3"/>
    <w:qFormat/>
    <w:uiPriority w:val="0"/>
    <w:rPr>
      <w:rFonts w:ascii="宋体" w:hAnsi="Courier New" w:cs="Courier New"/>
      <w:kern w:val="2"/>
      <w:sz w:val="21"/>
      <w:szCs w:val="21"/>
    </w:rPr>
  </w:style>
  <w:style w:type="table" w:customStyle="1" w:styleId="11">
    <w:name w:val="网格型1"/>
    <w:basedOn w:val="6"/>
    <w:unhideWhenUsed/>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_Style 14"/>
    <w:basedOn w:val="1"/>
    <w:qFormat/>
    <w:uiPriority w:val="34"/>
    <w:pPr>
      <w:ind w:firstLine="420" w:firstLineChars="200"/>
    </w:pPr>
    <w:rPr>
      <w:rFonts w:eastAsia="仿宋_GB2312"/>
      <w:sz w:val="30"/>
      <w:szCs w:val="24"/>
    </w:rPr>
  </w:style>
  <w:style w:type="paragraph" w:customStyle="1" w:styleId="13">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character" w:customStyle="1" w:styleId="14">
    <w:name w:val="页眉 Char"/>
    <w:basedOn w:val="8"/>
    <w:link w:val="5"/>
    <w:qFormat/>
    <w:uiPriority w:val="0"/>
    <w:rPr>
      <w:rFonts w:eastAsia="仿宋_GB2312"/>
      <w:kern w:val="2"/>
      <w:sz w:val="18"/>
      <w:szCs w:val="18"/>
    </w:rPr>
  </w:style>
  <w:style w:type="character" w:customStyle="1" w:styleId="15">
    <w:name w:val="页脚 Char"/>
    <w:basedOn w:val="8"/>
    <w:link w:val="4"/>
    <w:qFormat/>
    <w:uiPriority w:val="0"/>
    <w:rPr>
      <w:rFonts w:eastAsia="仿宋_GB2312"/>
      <w:kern w:val="2"/>
      <w:sz w:val="18"/>
      <w:szCs w:val="18"/>
    </w:rPr>
  </w:style>
  <w:style w:type="paragraph" w:customStyle="1" w:styleId="16">
    <w:name w:val="公文"/>
    <w:basedOn w:val="1"/>
    <w:qFormat/>
    <w:uiPriority w:val="0"/>
    <w:pPr>
      <w:widowControl/>
      <w:adjustRightInd w:val="0"/>
      <w:snapToGrid w:val="0"/>
      <w:spacing w:beforeLines="25" w:afterLines="35"/>
      <w:ind w:firstLine="200" w:firstLineChars="200"/>
      <w:jc w:val="left"/>
    </w:pPr>
    <w:rPr>
      <w:rFonts w:ascii="仿宋_GB2312" w:eastAsia="仿宋_GB2312"/>
      <w:bCs/>
      <w:kern w:val="0"/>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167</Words>
  <Characters>954</Characters>
  <Lines>7</Lines>
  <Paragraphs>2</Paragraphs>
  <TotalTime>53</TotalTime>
  <ScaleCrop>false</ScaleCrop>
  <LinksUpToDate>false</LinksUpToDate>
  <CharactersWithSpaces>1119</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2022-03-15T10:10:00Z</dcterms:created>
  <dc:creator>范士平</dc:creator>
  <cp:lastModifiedBy>刘赞</cp:lastModifiedBy>
  <dcterms:modified xsi:type="dcterms:W3CDTF">2023-05-10T09:33:24Z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12A834A030D84B6AA6A8C44A12B97CF7_12</vt:lpwstr>
  </property>
</Properties>
</file>