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方正小标宋简体" w:hAnsi="Courier New" w:eastAsia="方正小标宋简体" w:cs="Courier New"/>
          <w:bCs/>
          <w:sz w:val="44"/>
          <w:szCs w:val="44"/>
        </w:rPr>
      </w:pPr>
      <w:r>
        <w:rPr>
          <w:rFonts w:hint="eastAsia" w:ascii="方正小标宋简体" w:hAnsi="Courier New" w:eastAsia="方正小标宋简体" w:cs="Courier New"/>
          <w:bCs/>
          <w:sz w:val="44"/>
          <w:szCs w:val="44"/>
        </w:rPr>
        <w:t>珠海市机动车辆制动液产品质量监督抽查</w:t>
      </w:r>
    </w:p>
    <w:p>
      <w:pPr>
        <w:spacing w:line="578" w:lineRule="exact"/>
        <w:jc w:val="center"/>
        <w:rPr>
          <w:rFonts w:ascii="方正小标宋简体" w:hAnsi="Courier New" w:eastAsia="方正小标宋简体" w:cs="Courier New"/>
          <w:bCs/>
          <w:sz w:val="44"/>
          <w:szCs w:val="44"/>
        </w:rPr>
      </w:pPr>
      <w:r>
        <w:rPr>
          <w:rFonts w:hint="eastAsia" w:ascii="方正小标宋简体" w:hAnsi="Courier New" w:eastAsia="方正小标宋简体" w:cs="Courier New"/>
          <w:bCs/>
          <w:sz w:val="44"/>
          <w:szCs w:val="44"/>
        </w:rPr>
        <w:t>实施细则</w:t>
      </w:r>
    </w:p>
    <w:p>
      <w:pPr>
        <w:spacing w:line="578" w:lineRule="exact"/>
        <w:jc w:val="left"/>
        <w:rPr>
          <w:rFonts w:ascii="方正小标宋简体" w:hAnsi="Courier New" w:eastAsia="方正小标宋简体" w:cs="Courier New"/>
          <w:bCs/>
          <w:sz w:val="44"/>
          <w:szCs w:val="44"/>
        </w:rPr>
      </w:pPr>
    </w:p>
    <w:p>
      <w:pPr>
        <w:spacing w:line="578" w:lineRule="exact"/>
        <w:ind w:firstLine="640" w:firstLineChars="200"/>
        <w:jc w:val="left"/>
        <w:rPr>
          <w:rFonts w:ascii="黑体" w:hAnsi="黑体" w:eastAsia="黑体" w:cs="Courier New"/>
        </w:rPr>
      </w:pPr>
      <w:r>
        <w:rPr>
          <w:rFonts w:hint="eastAsia" w:ascii="黑体" w:hAnsi="黑体" w:eastAsia="黑体" w:cs="Courier New"/>
        </w:rPr>
        <w:t>一、抽样方法</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以随机抽样的方式在被抽样生产、经营者的待销产品中抽取。</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随机数一般可使用随机数表等方法产生。</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抽查数量：每款产品抽取2组样本，第1组用于检验，第2组用于备样。具体抽样数量和方法如下：</w:t>
      </w:r>
    </w:p>
    <w:tbl>
      <w:tblPr>
        <w:tblStyle w:val="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5"/>
        <w:gridCol w:w="4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40" w:hRule="atLeast"/>
          <w:tblHeader/>
          <w:jc w:val="center"/>
        </w:trPr>
        <w:tc>
          <w:tcPr>
            <w:tcW w:w="2569" w:type="pct"/>
            <w:shd w:val="clear" w:color="auto" w:fill="D7D7D7" w:themeFill="background1" w:themeFillShade="D8"/>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第1组数量</w:t>
            </w:r>
          </w:p>
        </w:tc>
        <w:tc>
          <w:tcPr>
            <w:tcW w:w="2430" w:type="pct"/>
            <w:shd w:val="clear" w:color="auto" w:fill="D7D7D7" w:themeFill="background1" w:themeFillShade="D8"/>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2569"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至少2个独立包装，总量不少于1.5kg（或1.5L）</w:t>
            </w:r>
          </w:p>
        </w:tc>
        <w:tc>
          <w:tcPr>
            <w:tcW w:w="2430"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至少2个独立包装，总量不少于1.5kg（或1.5L）</w:t>
            </w:r>
          </w:p>
        </w:tc>
      </w:tr>
    </w:tbl>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确定被抽样对象应符合T/GDAQI 020-2022《产品质量监督抽查抽样检验技术服务规范》第5章和第7章抽样的相关要求。</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抽取样品应为标称同一商标（或标称同一生产者）、同一型号规格的产品。</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抽查样品基数满足抽样数量即可。</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检验样品和备用样品应分别签封，确保防止拆封、封条完整、清晰，并注明“检验样品”或“备用样品”，一起送给检验机构。封样单上应有被抽查企业和抽样人员双方的签名，注明抽样日期。封好样后，可采取拍照、封样单骑缝签名、漆封、特殊材料等其他附加的防拆封措施。在运送过程中应注意对样品进行适当防护，避免出现磕碰、雨淋、进水等情况。</w:t>
      </w:r>
    </w:p>
    <w:p>
      <w:pPr>
        <w:spacing w:line="578" w:lineRule="exact"/>
        <w:ind w:firstLine="640" w:firstLineChars="200"/>
        <w:jc w:val="left"/>
        <w:rPr>
          <w:rFonts w:eastAsia="黑体"/>
        </w:rPr>
      </w:pPr>
      <w:r>
        <w:rPr>
          <w:rFonts w:hint="eastAsia" w:eastAsia="黑体"/>
        </w:rPr>
        <w:t>二、主要检验项目及检验项目属性划分</w:t>
      </w:r>
      <w:r>
        <w:rPr>
          <w:rFonts w:eastAsia="楷体_GB2312"/>
        </w:rPr>
        <w:tab/>
      </w:r>
    </w:p>
    <w:tbl>
      <w:tblPr>
        <w:tblStyle w:val="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5"/>
        <w:gridCol w:w="2185"/>
        <w:gridCol w:w="2071"/>
        <w:gridCol w:w="812"/>
        <w:gridCol w:w="812"/>
        <w:gridCol w:w="812"/>
        <w:gridCol w:w="812"/>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06"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sz w:val="24"/>
                <w:szCs w:val="24"/>
              </w:rPr>
            </w:pPr>
            <w:r>
              <w:rPr>
                <w:rFonts w:hint="eastAsia" w:ascii="黑体" w:hAnsi="黑体" w:eastAsia="黑体" w:cs="黑体"/>
                <w:sz w:val="24"/>
                <w:szCs w:val="24"/>
              </w:rPr>
              <w:t>序号</w:t>
            </w:r>
          </w:p>
        </w:tc>
        <w:tc>
          <w:tcPr>
            <w:tcW w:w="1206"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sz w:val="24"/>
                <w:szCs w:val="24"/>
              </w:rPr>
            </w:pPr>
            <w:r>
              <w:rPr>
                <w:rFonts w:hint="eastAsia" w:ascii="黑体" w:hAnsi="黑体" w:eastAsia="黑体" w:cs="黑体"/>
                <w:sz w:val="24"/>
                <w:szCs w:val="24"/>
              </w:rPr>
              <w:t>检验项目</w:t>
            </w:r>
          </w:p>
        </w:tc>
        <w:tc>
          <w:tcPr>
            <w:tcW w:w="1143"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sz w:val="24"/>
                <w:szCs w:val="24"/>
              </w:rPr>
            </w:pPr>
            <w:r>
              <w:rPr>
                <w:rFonts w:hint="eastAsia" w:ascii="黑体" w:hAnsi="黑体" w:eastAsia="黑体" w:cs="黑体"/>
                <w:sz w:val="24"/>
                <w:szCs w:val="24"/>
              </w:rPr>
              <w:t>检</w:t>
            </w:r>
            <w:bookmarkStart w:id="0" w:name="_GoBack"/>
            <w:bookmarkEnd w:id="0"/>
            <w:r>
              <w:rPr>
                <w:rFonts w:hint="eastAsia" w:ascii="黑体" w:hAnsi="黑体" w:eastAsia="黑体" w:cs="黑体"/>
                <w:sz w:val="24"/>
                <w:szCs w:val="24"/>
              </w:rPr>
              <w:t>验方法</w:t>
            </w:r>
          </w:p>
        </w:tc>
        <w:tc>
          <w:tcPr>
            <w:tcW w:w="448"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sz w:val="24"/>
                <w:szCs w:val="24"/>
              </w:rPr>
            </w:pPr>
            <w:r>
              <w:rPr>
                <w:rFonts w:hint="eastAsia" w:ascii="黑体" w:hAnsi="黑体" w:eastAsia="黑体" w:cs="黑体"/>
                <w:sz w:val="24"/>
                <w:szCs w:val="24"/>
              </w:rPr>
              <w:t>强制性</w:t>
            </w:r>
          </w:p>
        </w:tc>
        <w:tc>
          <w:tcPr>
            <w:tcW w:w="448"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sz w:val="24"/>
                <w:szCs w:val="24"/>
              </w:rPr>
            </w:pPr>
            <w:r>
              <w:rPr>
                <w:rFonts w:hint="eastAsia" w:ascii="黑体" w:hAnsi="黑体" w:eastAsia="黑体" w:cs="黑体"/>
                <w:sz w:val="24"/>
                <w:szCs w:val="24"/>
              </w:rPr>
              <w:t>非强制性</w:t>
            </w:r>
          </w:p>
        </w:tc>
        <w:tc>
          <w:tcPr>
            <w:tcW w:w="448"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sz w:val="24"/>
                <w:szCs w:val="24"/>
              </w:rPr>
            </w:pPr>
            <w:r>
              <w:rPr>
                <w:rFonts w:hint="eastAsia" w:ascii="黑体" w:hAnsi="黑体" w:eastAsia="黑体" w:cs="黑体"/>
                <w:sz w:val="24"/>
                <w:szCs w:val="24"/>
              </w:rPr>
              <w:t>重要项</w:t>
            </w:r>
          </w:p>
        </w:tc>
        <w:tc>
          <w:tcPr>
            <w:tcW w:w="448"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sz w:val="24"/>
                <w:szCs w:val="24"/>
              </w:rPr>
            </w:pPr>
            <w:r>
              <w:rPr>
                <w:rFonts w:hint="eastAsia" w:ascii="黑体" w:hAnsi="黑体" w:eastAsia="黑体" w:cs="黑体"/>
                <w:sz w:val="24"/>
                <w:szCs w:val="24"/>
              </w:rPr>
              <w:t>较重要项</w:t>
            </w:r>
          </w:p>
        </w:tc>
        <w:tc>
          <w:tcPr>
            <w:tcW w:w="450" w:type="pct"/>
            <w:tcBorders>
              <w:top w:val="single" w:color="auto" w:sz="4" w:space="0"/>
              <w:left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sz w:val="24"/>
                <w:szCs w:val="24"/>
              </w:rPr>
            </w:pPr>
            <w:r>
              <w:rPr>
                <w:rFonts w:hint="eastAsia" w:ascii="黑体" w:hAnsi="黑体" w:eastAsia="黑体" w:cs="黑体"/>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06" w:type="pct"/>
            <w:vAlign w:val="center"/>
          </w:tcPr>
          <w:p>
            <w:pPr>
              <w:adjustRightInd w:val="0"/>
              <w:snapToGrid w:val="0"/>
              <w:jc w:val="center"/>
              <w:rPr>
                <w:rFonts w:hint="eastAsia" w:ascii="仿宋" w:hAnsi="仿宋" w:eastAsia="仿宋" w:cs="仿宋"/>
                <w:sz w:val="24"/>
                <w:szCs w:val="24"/>
                <w:lang w:val="en"/>
              </w:rPr>
            </w:pPr>
            <w:r>
              <w:rPr>
                <w:rFonts w:hint="eastAsia" w:ascii="仿宋" w:hAnsi="仿宋" w:eastAsia="仿宋" w:cs="仿宋"/>
                <w:sz w:val="24"/>
                <w:szCs w:val="24"/>
                <w:lang w:val="en"/>
              </w:rPr>
              <w:t>1</w:t>
            </w:r>
          </w:p>
        </w:tc>
        <w:tc>
          <w:tcPr>
            <w:tcW w:w="1206"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运动黏度</w:t>
            </w:r>
          </w:p>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（-40℃、100℃）</w:t>
            </w:r>
          </w:p>
        </w:tc>
        <w:tc>
          <w:tcPr>
            <w:tcW w:w="1143"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GB/T 265-1988</w:t>
            </w:r>
          </w:p>
        </w:tc>
        <w:tc>
          <w:tcPr>
            <w:tcW w:w="448"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8" w:type="pct"/>
            <w:vAlign w:val="center"/>
          </w:tcPr>
          <w:p>
            <w:pPr>
              <w:adjustRightInd w:val="0"/>
              <w:snapToGrid w:val="0"/>
              <w:jc w:val="center"/>
              <w:rPr>
                <w:rFonts w:hint="eastAsia" w:ascii="仿宋" w:hAnsi="仿宋" w:eastAsia="仿宋" w:cs="仿宋"/>
                <w:sz w:val="24"/>
                <w:szCs w:val="24"/>
              </w:rPr>
            </w:pPr>
          </w:p>
        </w:tc>
        <w:tc>
          <w:tcPr>
            <w:tcW w:w="448"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8" w:type="pct"/>
            <w:vAlign w:val="center"/>
          </w:tcPr>
          <w:p>
            <w:pPr>
              <w:adjustRightInd w:val="0"/>
              <w:snapToGrid w:val="0"/>
              <w:jc w:val="center"/>
              <w:rPr>
                <w:rFonts w:hint="eastAsia" w:ascii="仿宋" w:hAnsi="仿宋" w:eastAsia="仿宋" w:cs="仿宋"/>
                <w:sz w:val="24"/>
                <w:szCs w:val="24"/>
              </w:rPr>
            </w:pPr>
          </w:p>
        </w:tc>
        <w:tc>
          <w:tcPr>
            <w:tcW w:w="450"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06" w:type="pct"/>
            <w:vAlign w:val="center"/>
          </w:tcPr>
          <w:p>
            <w:pPr>
              <w:adjustRightInd w:val="0"/>
              <w:snapToGrid w:val="0"/>
              <w:jc w:val="center"/>
              <w:rPr>
                <w:rFonts w:hint="eastAsia" w:ascii="仿宋" w:hAnsi="仿宋" w:eastAsia="仿宋" w:cs="仿宋"/>
                <w:sz w:val="24"/>
                <w:szCs w:val="24"/>
                <w:lang w:val="en"/>
              </w:rPr>
            </w:pPr>
            <w:r>
              <w:rPr>
                <w:rFonts w:hint="eastAsia" w:ascii="仿宋" w:hAnsi="仿宋" w:eastAsia="仿宋" w:cs="仿宋"/>
                <w:sz w:val="24"/>
                <w:szCs w:val="24"/>
                <w:lang w:val="en"/>
              </w:rPr>
              <w:t>2</w:t>
            </w:r>
          </w:p>
        </w:tc>
        <w:tc>
          <w:tcPr>
            <w:tcW w:w="1206"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平衡回流沸点（ERBP）</w:t>
            </w:r>
          </w:p>
        </w:tc>
        <w:tc>
          <w:tcPr>
            <w:tcW w:w="1143"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NB/SH/T 0430-2019</w:t>
            </w:r>
          </w:p>
        </w:tc>
        <w:tc>
          <w:tcPr>
            <w:tcW w:w="448"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8" w:type="pct"/>
            <w:vAlign w:val="center"/>
          </w:tcPr>
          <w:p>
            <w:pPr>
              <w:adjustRightInd w:val="0"/>
              <w:snapToGrid w:val="0"/>
              <w:jc w:val="center"/>
              <w:rPr>
                <w:rFonts w:hint="eastAsia" w:ascii="仿宋" w:hAnsi="仿宋" w:eastAsia="仿宋" w:cs="仿宋"/>
                <w:sz w:val="24"/>
                <w:szCs w:val="24"/>
              </w:rPr>
            </w:pPr>
          </w:p>
        </w:tc>
        <w:tc>
          <w:tcPr>
            <w:tcW w:w="448"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8" w:type="pct"/>
            <w:vAlign w:val="center"/>
          </w:tcPr>
          <w:p>
            <w:pPr>
              <w:adjustRightInd w:val="0"/>
              <w:snapToGrid w:val="0"/>
              <w:jc w:val="center"/>
              <w:rPr>
                <w:rFonts w:hint="eastAsia" w:ascii="仿宋" w:hAnsi="仿宋" w:eastAsia="仿宋" w:cs="仿宋"/>
                <w:sz w:val="24"/>
                <w:szCs w:val="24"/>
              </w:rPr>
            </w:pPr>
          </w:p>
        </w:tc>
        <w:tc>
          <w:tcPr>
            <w:tcW w:w="450"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06" w:type="pct"/>
            <w:vAlign w:val="center"/>
          </w:tcPr>
          <w:p>
            <w:pPr>
              <w:adjustRightInd w:val="0"/>
              <w:snapToGrid w:val="0"/>
              <w:jc w:val="center"/>
              <w:rPr>
                <w:rFonts w:hint="eastAsia" w:ascii="仿宋" w:hAnsi="仿宋" w:eastAsia="仿宋" w:cs="仿宋"/>
                <w:sz w:val="24"/>
                <w:szCs w:val="24"/>
                <w:lang w:val="en"/>
              </w:rPr>
            </w:pPr>
            <w:r>
              <w:rPr>
                <w:rFonts w:hint="eastAsia" w:ascii="仿宋" w:hAnsi="仿宋" w:eastAsia="仿宋" w:cs="仿宋"/>
                <w:sz w:val="24"/>
                <w:szCs w:val="24"/>
                <w:lang w:val="en"/>
              </w:rPr>
              <w:t>3</w:t>
            </w:r>
          </w:p>
        </w:tc>
        <w:tc>
          <w:tcPr>
            <w:tcW w:w="1206"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湿平衡回流沸点（WERBP）</w:t>
            </w:r>
          </w:p>
        </w:tc>
        <w:tc>
          <w:tcPr>
            <w:tcW w:w="1143"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GB 12981-2012</w:t>
            </w:r>
          </w:p>
        </w:tc>
        <w:tc>
          <w:tcPr>
            <w:tcW w:w="448"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8" w:type="pct"/>
            <w:vAlign w:val="center"/>
          </w:tcPr>
          <w:p>
            <w:pPr>
              <w:adjustRightInd w:val="0"/>
              <w:snapToGrid w:val="0"/>
              <w:jc w:val="center"/>
              <w:rPr>
                <w:rFonts w:hint="eastAsia" w:ascii="仿宋" w:hAnsi="仿宋" w:eastAsia="仿宋" w:cs="仿宋"/>
                <w:sz w:val="24"/>
                <w:szCs w:val="24"/>
              </w:rPr>
            </w:pPr>
          </w:p>
        </w:tc>
        <w:tc>
          <w:tcPr>
            <w:tcW w:w="448"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8" w:type="pct"/>
            <w:vAlign w:val="center"/>
          </w:tcPr>
          <w:p>
            <w:pPr>
              <w:adjustRightInd w:val="0"/>
              <w:snapToGrid w:val="0"/>
              <w:jc w:val="center"/>
              <w:rPr>
                <w:rFonts w:hint="eastAsia" w:ascii="仿宋" w:hAnsi="仿宋" w:eastAsia="仿宋" w:cs="仿宋"/>
                <w:sz w:val="24"/>
                <w:szCs w:val="24"/>
              </w:rPr>
            </w:pPr>
          </w:p>
        </w:tc>
        <w:tc>
          <w:tcPr>
            <w:tcW w:w="450"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06" w:type="pct"/>
            <w:vAlign w:val="center"/>
          </w:tcPr>
          <w:p>
            <w:pPr>
              <w:adjustRightInd w:val="0"/>
              <w:snapToGrid w:val="0"/>
              <w:jc w:val="center"/>
              <w:rPr>
                <w:rFonts w:hint="eastAsia" w:ascii="仿宋" w:hAnsi="仿宋" w:eastAsia="仿宋" w:cs="仿宋"/>
                <w:sz w:val="24"/>
                <w:szCs w:val="24"/>
                <w:lang w:val="en"/>
              </w:rPr>
            </w:pPr>
            <w:r>
              <w:rPr>
                <w:rFonts w:hint="eastAsia" w:ascii="仿宋" w:hAnsi="仿宋" w:eastAsia="仿宋" w:cs="仿宋"/>
                <w:sz w:val="24"/>
                <w:szCs w:val="24"/>
                <w:lang w:val="en"/>
              </w:rPr>
              <w:t>4</w:t>
            </w:r>
          </w:p>
        </w:tc>
        <w:tc>
          <w:tcPr>
            <w:tcW w:w="1206"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pH值</w:t>
            </w:r>
          </w:p>
        </w:tc>
        <w:tc>
          <w:tcPr>
            <w:tcW w:w="1143"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GB 12981-2012</w:t>
            </w:r>
          </w:p>
        </w:tc>
        <w:tc>
          <w:tcPr>
            <w:tcW w:w="448"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8" w:type="pct"/>
            <w:vAlign w:val="center"/>
          </w:tcPr>
          <w:p>
            <w:pPr>
              <w:adjustRightInd w:val="0"/>
              <w:snapToGrid w:val="0"/>
              <w:jc w:val="center"/>
              <w:rPr>
                <w:rFonts w:hint="eastAsia" w:ascii="仿宋" w:hAnsi="仿宋" w:eastAsia="仿宋" w:cs="仿宋"/>
                <w:sz w:val="24"/>
                <w:szCs w:val="24"/>
              </w:rPr>
            </w:pPr>
          </w:p>
        </w:tc>
        <w:tc>
          <w:tcPr>
            <w:tcW w:w="448" w:type="pct"/>
            <w:vAlign w:val="center"/>
          </w:tcPr>
          <w:p>
            <w:pPr>
              <w:adjustRightInd w:val="0"/>
              <w:snapToGrid w:val="0"/>
              <w:jc w:val="center"/>
              <w:rPr>
                <w:rFonts w:hint="eastAsia" w:ascii="仿宋" w:hAnsi="仿宋" w:eastAsia="仿宋" w:cs="仿宋"/>
                <w:sz w:val="24"/>
                <w:szCs w:val="24"/>
              </w:rPr>
            </w:pPr>
          </w:p>
        </w:tc>
        <w:tc>
          <w:tcPr>
            <w:tcW w:w="448"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50" w:type="pct"/>
            <w:vAlign w:val="center"/>
          </w:tcPr>
          <w:p>
            <w:pPr>
              <w:adjustRightInd w:val="0"/>
              <w:snapToGrid w:val="0"/>
              <w:jc w:val="center"/>
              <w:rPr>
                <w:rFonts w:hint="eastAsia" w:ascii="仿宋" w:hAnsi="仿宋" w:eastAsia="仿宋" w:cs="仿宋"/>
                <w:sz w:val="24"/>
                <w:szCs w:val="24"/>
              </w:rPr>
            </w:pPr>
          </w:p>
        </w:tc>
      </w:tr>
    </w:tbl>
    <w:p>
      <w:pPr>
        <w:spacing w:line="578" w:lineRule="exact"/>
        <w:ind w:firstLine="640" w:firstLineChars="200"/>
        <w:jc w:val="left"/>
        <w:rPr>
          <w:rFonts w:eastAsia="黑体"/>
        </w:rPr>
      </w:pPr>
      <w:r>
        <w:rPr>
          <w:rFonts w:hint="eastAsia" w:eastAsia="黑体"/>
        </w:rPr>
        <w:t>三、判定规则</w:t>
      </w:r>
    </w:p>
    <w:p>
      <w:pPr>
        <w:autoSpaceDE w:val="0"/>
        <w:autoSpaceDN w:val="0"/>
        <w:spacing w:line="578" w:lineRule="exact"/>
        <w:ind w:firstLine="640" w:firstLineChars="200"/>
        <w:jc w:val="left"/>
        <w:rPr>
          <w:rFonts w:hint="eastAsia" w:ascii="仿宋" w:hAnsi="仿宋" w:eastAsia="仿宋" w:cs="仿宋"/>
          <w:kern w:val="0"/>
        </w:rPr>
      </w:pPr>
      <w:r>
        <w:rPr>
          <w:rFonts w:hint="eastAsia" w:ascii="楷体_GB2312" w:hAnsi="楷体_GB2312" w:eastAsia="楷体_GB2312" w:cs="楷体_GB2312"/>
          <w:kern w:val="0"/>
        </w:rPr>
        <w:t>（一）依据标准</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GB 12981-2012 《机动车辆制动液》</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相关的法律法规、部门规章和规范、现行有效的企业标准、团体标准、地方标准及产品明示质量要求。</w:t>
      </w:r>
    </w:p>
    <w:p>
      <w:pPr>
        <w:autoSpaceDE w:val="0"/>
        <w:autoSpaceDN w:val="0"/>
        <w:spacing w:line="578" w:lineRule="exact"/>
        <w:ind w:firstLine="640" w:firstLineChars="200"/>
        <w:jc w:val="left"/>
        <w:rPr>
          <w:rFonts w:hint="eastAsia" w:ascii="楷体_GB2312" w:hAnsi="楷体_GB2312" w:eastAsia="楷体_GB2312" w:cs="楷体_GB2312"/>
          <w:kern w:val="0"/>
        </w:rPr>
      </w:pPr>
      <w:r>
        <w:rPr>
          <w:rFonts w:hint="eastAsia" w:ascii="楷体_GB2312" w:hAnsi="楷体_GB2312" w:eastAsia="楷体_GB2312" w:cs="楷体_GB2312"/>
          <w:kern w:val="0"/>
        </w:rPr>
        <w:t>（二）判定原则</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经检验，检验项目全部合格，判定为被抽查产品所检项目未发现不合格；检验项目中任一项或一项以上不合格，判定为被抽查产品不合格。</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当被检产品明示的质量要求高于本细则中检验项目依据的标准要求时，应按被检产品明示的质量要求判定。</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当被检产品明示的质量要求低于本细则中检验项目依据的强制性标准要求时，应按照强制性标准要求判定。</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当被检产品明示的质量要求缺少本细则中检验项目依据的强制性标准要求时，应按照强制性标准要求判定。</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当被检样品未能提供有效的企业标准时，按相关国家或行业标准进行判定。</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当被检样品标签标识中执行标准信息和产品类别信息不明或有误，影响检测和判定时，可根据产品特点等信息判断和选择相关标准进行检验，并应在检验报告中作出相关说明。</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按照产品质量相关法律法规的规定判定。</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检验中发现因样品失效或者其他原因致使检验无法进行的，检验人员应如实记录，并提供相关证明材料，报送组织监督抽查的市场监管部门。</w:t>
      </w:r>
    </w:p>
    <w:sectPr>
      <w:pgSz w:w="11906" w:h="16838"/>
      <w:pgMar w:top="2098" w:right="1474" w:bottom="1984" w:left="1587"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iYjVjNWI5MzAzZTZmMWUwMWJlOWMwMWQxNmZkMjMifQ=="/>
  </w:docVars>
  <w:rsids>
    <w:rsidRoot w:val="00FA7094"/>
    <w:rsid w:val="00036BC7"/>
    <w:rsid w:val="0005045D"/>
    <w:rsid w:val="00063BD5"/>
    <w:rsid w:val="00092ABD"/>
    <w:rsid w:val="00105EE6"/>
    <w:rsid w:val="00116270"/>
    <w:rsid w:val="00120EFB"/>
    <w:rsid w:val="001221DB"/>
    <w:rsid w:val="00192BBD"/>
    <w:rsid w:val="001B5F68"/>
    <w:rsid w:val="001F5DD4"/>
    <w:rsid w:val="002013A5"/>
    <w:rsid w:val="00201CDD"/>
    <w:rsid w:val="00223348"/>
    <w:rsid w:val="00250DFA"/>
    <w:rsid w:val="002923B9"/>
    <w:rsid w:val="00294579"/>
    <w:rsid w:val="00310C73"/>
    <w:rsid w:val="0039338B"/>
    <w:rsid w:val="004015F5"/>
    <w:rsid w:val="004757C1"/>
    <w:rsid w:val="004A5090"/>
    <w:rsid w:val="004B2573"/>
    <w:rsid w:val="00544BE4"/>
    <w:rsid w:val="00554DA0"/>
    <w:rsid w:val="00592C01"/>
    <w:rsid w:val="005A0994"/>
    <w:rsid w:val="006238A1"/>
    <w:rsid w:val="00624315"/>
    <w:rsid w:val="00695250"/>
    <w:rsid w:val="006D4F7A"/>
    <w:rsid w:val="006D505E"/>
    <w:rsid w:val="006F4E7D"/>
    <w:rsid w:val="00732793"/>
    <w:rsid w:val="00735F9B"/>
    <w:rsid w:val="0074286E"/>
    <w:rsid w:val="00752F93"/>
    <w:rsid w:val="0075545D"/>
    <w:rsid w:val="007914F7"/>
    <w:rsid w:val="007A0EE2"/>
    <w:rsid w:val="007A10C3"/>
    <w:rsid w:val="007B0EC6"/>
    <w:rsid w:val="007F204B"/>
    <w:rsid w:val="00841ED0"/>
    <w:rsid w:val="00895950"/>
    <w:rsid w:val="008C102E"/>
    <w:rsid w:val="008C280B"/>
    <w:rsid w:val="008F74C7"/>
    <w:rsid w:val="00926BC7"/>
    <w:rsid w:val="00944BCE"/>
    <w:rsid w:val="0097411B"/>
    <w:rsid w:val="009F07C3"/>
    <w:rsid w:val="009F7EC1"/>
    <w:rsid w:val="00A02A33"/>
    <w:rsid w:val="00A40122"/>
    <w:rsid w:val="00A66D10"/>
    <w:rsid w:val="00A97411"/>
    <w:rsid w:val="00AC1C38"/>
    <w:rsid w:val="00AE4C72"/>
    <w:rsid w:val="00B25DB1"/>
    <w:rsid w:val="00B56E49"/>
    <w:rsid w:val="00B7736F"/>
    <w:rsid w:val="00BA2151"/>
    <w:rsid w:val="00BA664E"/>
    <w:rsid w:val="00BB0B4C"/>
    <w:rsid w:val="00BC667E"/>
    <w:rsid w:val="00BD50D2"/>
    <w:rsid w:val="00C070D8"/>
    <w:rsid w:val="00C17D35"/>
    <w:rsid w:val="00C4082C"/>
    <w:rsid w:val="00C450FD"/>
    <w:rsid w:val="00C512B6"/>
    <w:rsid w:val="00CC19A7"/>
    <w:rsid w:val="00D06F7F"/>
    <w:rsid w:val="00D1464E"/>
    <w:rsid w:val="00D224DD"/>
    <w:rsid w:val="00D357A6"/>
    <w:rsid w:val="00D554F8"/>
    <w:rsid w:val="00D629E1"/>
    <w:rsid w:val="00E54840"/>
    <w:rsid w:val="00E56737"/>
    <w:rsid w:val="00E574DF"/>
    <w:rsid w:val="00E61CE3"/>
    <w:rsid w:val="00E72969"/>
    <w:rsid w:val="00E94DFB"/>
    <w:rsid w:val="00E9624B"/>
    <w:rsid w:val="00E977EC"/>
    <w:rsid w:val="00EC3EBE"/>
    <w:rsid w:val="00EE24A1"/>
    <w:rsid w:val="00F1323C"/>
    <w:rsid w:val="00F5376E"/>
    <w:rsid w:val="00F60942"/>
    <w:rsid w:val="00F8007C"/>
    <w:rsid w:val="00FA7094"/>
    <w:rsid w:val="00FA791E"/>
    <w:rsid w:val="00FB02C7"/>
    <w:rsid w:val="00FB22F7"/>
    <w:rsid w:val="00FE6536"/>
    <w:rsid w:val="096253D1"/>
    <w:rsid w:val="15AF69CB"/>
    <w:rsid w:val="33F60CBD"/>
    <w:rsid w:val="5BEB6052"/>
    <w:rsid w:val="5ED5123B"/>
    <w:rsid w:val="715FA486"/>
    <w:rsid w:val="7FFB3E74"/>
    <w:rsid w:val="EF7AFBB2"/>
    <w:rsid w:val="FBFD5EF7"/>
    <w:rsid w:val="FF4D0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kern w:val="2"/>
      <w:sz w:val="32"/>
      <w:szCs w:val="32"/>
      <w:lang w:val="en-US" w:eastAsia="zh-CN" w:bidi="ar-SA"/>
    </w:rPr>
  </w:style>
  <w:style w:type="paragraph" w:styleId="2">
    <w:name w:val="heading 1"/>
    <w:basedOn w:val="1"/>
    <w:next w:val="1"/>
    <w:link w:val="9"/>
    <w:qFormat/>
    <w:uiPriority w:val="0"/>
    <w:pPr>
      <w:jc w:val="center"/>
      <w:outlineLvl w:val="0"/>
    </w:pPr>
    <w:rPr>
      <w:rFonts w:ascii="方正小标宋简体" w:eastAsia="方正小标宋简体"/>
      <w:kern w:val="44"/>
      <w:sz w:val="38"/>
      <w:szCs w:val="24"/>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0"/>
    <w:unhideWhenUsed/>
    <w:qFormat/>
    <w:uiPriority w:val="0"/>
    <w:rPr>
      <w:rFonts w:ascii="宋体" w:hAnsi="Courier New" w:eastAsia="宋体" w:cs="Courier New"/>
      <w:sz w:val="21"/>
      <w:szCs w:val="21"/>
    </w:rPr>
  </w:style>
  <w:style w:type="paragraph" w:styleId="4">
    <w:name w:val="footer"/>
    <w:basedOn w:val="1"/>
    <w:link w:val="15"/>
    <w:qFormat/>
    <w:uiPriority w:val="0"/>
    <w:pPr>
      <w:tabs>
        <w:tab w:val="center" w:pos="4153"/>
        <w:tab w:val="right" w:pos="8306"/>
      </w:tabs>
      <w:snapToGrid w:val="0"/>
      <w:jc w:val="left"/>
    </w:pPr>
    <w:rPr>
      <w:rFonts w:eastAsia="仿宋_GB2312"/>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rFonts w:eastAsia="仿宋_GB2312"/>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标题 1 Char"/>
    <w:basedOn w:val="8"/>
    <w:link w:val="2"/>
    <w:qFormat/>
    <w:uiPriority w:val="0"/>
    <w:rPr>
      <w:rFonts w:ascii="方正小标宋简体" w:eastAsia="方正小标宋简体"/>
      <w:kern w:val="44"/>
      <w:sz w:val="38"/>
      <w:szCs w:val="24"/>
    </w:rPr>
  </w:style>
  <w:style w:type="character" w:customStyle="1" w:styleId="10">
    <w:name w:val="纯文本 Char"/>
    <w:basedOn w:val="8"/>
    <w:link w:val="3"/>
    <w:qFormat/>
    <w:uiPriority w:val="0"/>
    <w:rPr>
      <w:rFonts w:ascii="宋体" w:hAnsi="Courier New" w:cs="Courier New"/>
      <w:kern w:val="2"/>
      <w:sz w:val="21"/>
      <w:szCs w:val="21"/>
    </w:rPr>
  </w:style>
  <w:style w:type="table" w:customStyle="1" w:styleId="11">
    <w:name w:val="网格型1"/>
    <w:basedOn w:val="6"/>
    <w:unhideWhenUsed/>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_Style 14"/>
    <w:basedOn w:val="1"/>
    <w:qFormat/>
    <w:uiPriority w:val="34"/>
    <w:pPr>
      <w:ind w:firstLine="420" w:firstLineChars="200"/>
    </w:pPr>
    <w:rPr>
      <w:rFonts w:eastAsia="仿宋_GB2312"/>
      <w:sz w:val="30"/>
      <w:szCs w:val="24"/>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4">
    <w:name w:val="页眉 Char"/>
    <w:basedOn w:val="8"/>
    <w:link w:val="5"/>
    <w:qFormat/>
    <w:uiPriority w:val="0"/>
    <w:rPr>
      <w:rFonts w:eastAsia="仿宋_GB2312"/>
      <w:kern w:val="2"/>
      <w:sz w:val="18"/>
      <w:szCs w:val="18"/>
    </w:rPr>
  </w:style>
  <w:style w:type="character" w:customStyle="1" w:styleId="15">
    <w:name w:val="页脚 Char"/>
    <w:basedOn w:val="8"/>
    <w:link w:val="4"/>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173</Words>
  <Characters>987</Characters>
  <Lines>8</Lines>
  <Paragraphs>2</Paragraphs>
  <TotalTime>188</TotalTime>
  <ScaleCrop>false</ScaleCrop>
  <LinksUpToDate>false</LinksUpToDate>
  <CharactersWithSpaces>1158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2022-03-15T02:18:00Z</dcterms:created>
  <dc:creator>范士平</dc:creator>
  <cp:lastModifiedBy>刘赞</cp:lastModifiedBy>
  <dcterms:modified xsi:type="dcterms:W3CDTF">2023-05-10T09:32:41Z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30D1BD6C66604F06A93FED6A7F7EAB36_12</vt:lpwstr>
  </property>
</Properties>
</file>