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珠海市车用润滑油产品质量监督抽查实施细则</w:t>
      </w:r>
    </w:p>
    <w:p>
      <w:pPr>
        <w:spacing w:line="600" w:lineRule="exact"/>
        <w:jc w:val="left"/>
        <w:rPr>
          <w:rFonts w:ascii="方正小标宋简体" w:hAnsi="Courier New" w:eastAsia="方正小标宋简体" w:cs="Courier New"/>
          <w:bCs/>
          <w:sz w:val="44"/>
          <w:szCs w:val="44"/>
        </w:rPr>
      </w:pPr>
    </w:p>
    <w:p>
      <w:pPr>
        <w:spacing w:line="600"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以随机抽样的方式在被抽样生产、经营者的待销产品中抽取。</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随机数一般可使用随机数表等方法产生。</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抽查数量：每款产品抽取2组样本，第1组用于检验，第2组用于备样。具体抽样数量和方法如下：</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5"/>
        <w:gridCol w:w="4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blHeader/>
          <w:jc w:val="center"/>
        </w:trPr>
        <w:tc>
          <w:tcPr>
            <w:tcW w:w="2569" w:type="pct"/>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第1组数量</w:t>
            </w:r>
          </w:p>
        </w:tc>
        <w:tc>
          <w:tcPr>
            <w:tcW w:w="2430" w:type="pct"/>
            <w:vAlign w:val="center"/>
          </w:tcPr>
          <w:p>
            <w:pPr>
              <w:jc w:val="center"/>
              <w:rPr>
                <w:rFonts w:hint="eastAsia" w:ascii="黑体" w:hAnsi="黑体" w:eastAsia="黑体" w:cs="黑体"/>
                <w:bCs/>
                <w:sz w:val="24"/>
                <w:szCs w:val="24"/>
              </w:rPr>
            </w:pPr>
            <w:r>
              <w:rPr>
                <w:rFonts w:hint="eastAsia" w:ascii="黑体" w:hAnsi="黑体" w:eastAsia="黑体" w:cs="黑体"/>
                <w:bCs/>
                <w:sz w:val="24"/>
                <w:szCs w:val="24"/>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2569"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不少于1L</w:t>
            </w:r>
          </w:p>
        </w:tc>
        <w:tc>
          <w:tcPr>
            <w:tcW w:w="2430" w:type="pct"/>
            <w:vAlign w:val="center"/>
          </w:tcPr>
          <w:p>
            <w:pPr>
              <w:jc w:val="center"/>
              <w:rPr>
                <w:rFonts w:hint="eastAsia" w:ascii="仿宋" w:hAnsi="仿宋" w:eastAsia="仿宋" w:cs="仿宋"/>
                <w:sz w:val="24"/>
                <w:szCs w:val="24"/>
              </w:rPr>
            </w:pPr>
            <w:r>
              <w:rPr>
                <w:rFonts w:hint="eastAsia" w:ascii="仿宋" w:hAnsi="仿宋" w:eastAsia="仿宋" w:cs="仿宋"/>
                <w:sz w:val="24"/>
                <w:szCs w:val="24"/>
              </w:rPr>
              <w:t>不少于1L</w:t>
            </w:r>
          </w:p>
        </w:tc>
      </w:tr>
    </w:tbl>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 020-2020《产品质量监督抽查抽样检验技术服务规范》5.3.3.3和第6章抽样的相关要求。</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抽取样品应为同一型号规格、同一批次的产品。</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抽查样品基数满足抽样数量即可。</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送给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黑体"/>
        </w:rPr>
      </w:pPr>
      <w:r>
        <w:rPr>
          <w:rFonts w:hint="eastAsia" w:eastAsia="黑体"/>
        </w:rPr>
        <w:t>二、主要检验项目及检验项目属性划分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楷体_GB2312"/>
        </w:rPr>
      </w:pPr>
      <w:r>
        <w:rPr>
          <w:rFonts w:hint="eastAsia" w:eastAsia="楷体_GB2312"/>
        </w:rPr>
        <w:t>（一）柴油机油</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2110"/>
        <w:gridCol w:w="2496"/>
        <w:gridCol w:w="1017"/>
        <w:gridCol w:w="785"/>
        <w:gridCol w:w="549"/>
        <w:gridCol w:w="785"/>
        <w:gridCol w:w="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56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3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303"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33"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304"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低温动力粘度</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6538-2010</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边界泵送温度</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9171-1988</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运动黏度</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265-1988</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黏度指数</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1995-1998</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倾点</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NB/SH/T 0562-2013</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低温泵送黏度</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3535-2006</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高温高剪切黏度</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NB/SH/T 0703-2020</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水分</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260-2016</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21" w:type="pct"/>
            <w:tcBorders>
              <w:top w:val="single" w:color="auto" w:sz="4" w:space="0"/>
              <w:left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泡沫性</w:t>
            </w:r>
          </w:p>
        </w:tc>
        <w:tc>
          <w:tcPr>
            <w:tcW w:w="1377" w:type="pc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12579-2002、SH/T 0722-2002</w:t>
            </w:r>
          </w:p>
        </w:tc>
        <w:tc>
          <w:tcPr>
            <w:tcW w:w="561" w:type="pct"/>
            <w:tcBorders>
              <w:top w:val="single" w:color="auto" w:sz="4" w:space="0"/>
              <w:left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机械杂质</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511-2010</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闪点（开口）</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3536-2008</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碱值</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SH/T 0251-1993（2004）</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硫酸盐灰分</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508-1985（1991）</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硫（质量分数）</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SH/T 0749-2004</w:t>
            </w:r>
          </w:p>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17476-1998</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磷（质量分数）</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17476-1998</w:t>
            </w:r>
          </w:p>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SH/T 0749-2004</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1" w:type="pct"/>
            <w:tcBorders>
              <w:top w:val="single" w:color="auto" w:sz="4" w:space="0"/>
              <w:left w:val="single" w:color="auto" w:sz="4" w:space="0"/>
              <w:bottom w:val="single" w:color="auto" w:sz="4" w:space="0"/>
              <w:right w:val="single" w:color="auto" w:sz="4" w:space="0"/>
            </w:tcBorders>
            <w:vAlign w:val="center"/>
          </w:tcPr>
          <w:p>
            <w:pPr>
              <w:widowControl/>
              <w:numPr>
                <w:ilvl w:val="0"/>
                <w:numId w:val="1"/>
              </w:numPr>
              <w:spacing w:line="240" w:lineRule="exact"/>
              <w:jc w:val="center"/>
              <w:rPr>
                <w:rFonts w:hint="eastAsia" w:ascii="仿宋" w:hAnsi="仿宋" w:eastAsia="仿宋" w:cs="仿宋"/>
                <w:sz w:val="24"/>
                <w:szCs w:val="24"/>
              </w:rPr>
            </w:pPr>
          </w:p>
        </w:tc>
        <w:tc>
          <w:tcPr>
            <w:tcW w:w="11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氮（质量分数）</w:t>
            </w:r>
          </w:p>
        </w:tc>
        <w:tc>
          <w:tcPr>
            <w:tcW w:w="137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NB/SH/T 0704-2010</w:t>
            </w:r>
          </w:p>
        </w:tc>
        <w:tc>
          <w:tcPr>
            <w:tcW w:w="561"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33"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c>
          <w:tcPr>
            <w:tcW w:w="304" w:type="pc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楷体_GB2312"/>
        </w:rPr>
      </w:pPr>
      <w:r>
        <w:rPr>
          <w:rFonts w:hint="eastAsia" w:eastAsia="楷体_GB2312"/>
        </w:rPr>
        <w:t>（二）汽油机油</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841"/>
        <w:gridCol w:w="2465"/>
        <w:gridCol w:w="868"/>
        <w:gridCol w:w="879"/>
        <w:gridCol w:w="734"/>
        <w:gridCol w:w="734"/>
        <w:gridCol w:w="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8" w:hRule="atLeast"/>
          <w:jc w:val="center"/>
        </w:trPr>
        <w:tc>
          <w:tcPr>
            <w:tcW w:w="43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101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36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47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8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05"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05" w:type="pc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17" w:type="pct"/>
            <w:tcBorders>
              <w:top w:val="single" w:color="auto" w:sz="4" w:space="0"/>
              <w:left w:val="single" w:color="auto" w:sz="4" w:space="0"/>
              <w:right w:val="single" w:color="auto" w:sz="4" w:space="0"/>
            </w:tcBorders>
            <w:vAlign w:val="center"/>
          </w:tcPr>
          <w:p>
            <w:pPr>
              <w:spacing w:line="240" w:lineRule="atLeas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低温动力粘度</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6538-2010</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边界泵送温度</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9171-1988</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运动黏度</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265-1988</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黏度指数</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1995-1998</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倾点</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NB/SH/T 0562-2013</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01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b/>
                <w:bCs/>
                <w:sz w:val="24"/>
                <w:szCs w:val="24"/>
              </w:rPr>
              <w:t>检验项目</w:t>
            </w:r>
          </w:p>
        </w:tc>
        <w:tc>
          <w:tcPr>
            <w:tcW w:w="136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b/>
                <w:bCs/>
                <w:sz w:val="24"/>
                <w:szCs w:val="24"/>
              </w:rPr>
              <w:t>检验方法</w:t>
            </w:r>
          </w:p>
        </w:tc>
        <w:tc>
          <w:tcPr>
            <w:tcW w:w="479"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b/>
                <w:bCs/>
                <w:sz w:val="24"/>
                <w:szCs w:val="24"/>
              </w:rPr>
            </w:pPr>
            <w:r>
              <w:rPr>
                <w:rFonts w:hint="eastAsia" w:ascii="仿宋" w:hAnsi="仿宋" w:eastAsia="仿宋" w:cs="仿宋"/>
                <w:b/>
                <w:bCs/>
                <w:sz w:val="24"/>
                <w:szCs w:val="24"/>
              </w:rPr>
              <w:t>强制性</w:t>
            </w:r>
          </w:p>
        </w:tc>
        <w:tc>
          <w:tcPr>
            <w:tcW w:w="485" w:type="pct"/>
            <w:tcBorders>
              <w:top w:val="single" w:color="auto" w:sz="4" w:space="0"/>
              <w:left w:val="single" w:color="auto" w:sz="4" w:space="0"/>
              <w:bottom w:val="single" w:color="auto" w:sz="4" w:space="0"/>
              <w:right w:val="single" w:color="auto" w:sz="4" w:space="0"/>
            </w:tcBorders>
          </w:tcPr>
          <w:p>
            <w:pPr>
              <w:adjustRightInd w:val="0"/>
              <w:spacing w:line="360" w:lineRule="exact"/>
              <w:jc w:val="center"/>
              <w:rPr>
                <w:rFonts w:hint="eastAsia" w:ascii="仿宋" w:hAnsi="仿宋" w:eastAsia="仿宋" w:cs="仿宋"/>
                <w:b/>
                <w:bCs/>
                <w:sz w:val="24"/>
                <w:szCs w:val="24"/>
              </w:rPr>
            </w:pPr>
            <w:r>
              <w:rPr>
                <w:rFonts w:hint="eastAsia" w:ascii="仿宋" w:hAnsi="仿宋" w:eastAsia="仿宋" w:cs="仿宋"/>
                <w:b/>
                <w:bCs/>
                <w:sz w:val="24"/>
                <w:szCs w:val="24"/>
              </w:rPr>
              <w:t>非强制性</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b/>
                <w:bCs/>
                <w:sz w:val="24"/>
                <w:szCs w:val="24"/>
              </w:rPr>
            </w:pPr>
            <w:r>
              <w:rPr>
                <w:rFonts w:hint="eastAsia" w:ascii="仿宋" w:hAnsi="仿宋" w:eastAsia="仿宋" w:cs="仿宋"/>
                <w:b/>
                <w:bCs/>
                <w:sz w:val="24"/>
                <w:szCs w:val="24"/>
              </w:rPr>
              <w:t>重要项</w:t>
            </w:r>
          </w:p>
        </w:tc>
        <w:tc>
          <w:tcPr>
            <w:tcW w:w="405" w:type="pct"/>
            <w:tcBorders>
              <w:top w:val="single" w:color="auto" w:sz="4" w:space="0"/>
              <w:left w:val="single" w:color="auto" w:sz="4" w:space="0"/>
              <w:bottom w:val="single" w:color="auto" w:sz="4" w:space="0"/>
              <w:right w:val="single" w:color="auto" w:sz="4" w:space="0"/>
            </w:tcBorders>
            <w:vAlign w:val="center"/>
          </w:tcPr>
          <w:p>
            <w:pPr>
              <w:adjustRightInd w:val="0"/>
              <w:spacing w:line="360" w:lineRule="exact"/>
              <w:jc w:val="center"/>
              <w:rPr>
                <w:rFonts w:hint="eastAsia" w:ascii="仿宋" w:hAnsi="仿宋" w:eastAsia="仿宋" w:cs="仿宋"/>
                <w:b/>
                <w:bCs/>
                <w:sz w:val="24"/>
                <w:szCs w:val="24"/>
              </w:rPr>
            </w:pPr>
            <w:r>
              <w:rPr>
                <w:rFonts w:hint="eastAsia" w:ascii="仿宋" w:hAnsi="仿宋" w:eastAsia="仿宋" w:cs="仿宋"/>
                <w:b/>
                <w:bCs/>
                <w:sz w:val="24"/>
                <w:szCs w:val="24"/>
              </w:rPr>
              <w:t>较重要项</w:t>
            </w:r>
          </w:p>
        </w:tc>
        <w:tc>
          <w:tcPr>
            <w:tcW w:w="41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b/>
                <w:bCs/>
                <w:sz w:val="24"/>
                <w:szCs w:val="24"/>
              </w:rPr>
            </w:pPr>
            <w:r>
              <w:rPr>
                <w:rFonts w:hint="eastAsia" w:ascii="仿宋" w:hAnsi="仿宋" w:eastAsia="仿宋" w:cs="仿宋"/>
                <w:b/>
                <w:bCs/>
                <w:sz w:val="24"/>
                <w:szCs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低温泵送黏度</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3535-2006</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高温高剪切黏度</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NB/SH/T 0703-2020</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水分</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260-2016</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Merge w:val="restar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Merge w:val="restar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泡沫性</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12579-2002</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Merge w:val="continue"/>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Merge w:val="continue"/>
            <w:vAlign w:val="center"/>
          </w:tcPr>
          <w:p>
            <w:pPr>
              <w:spacing w:line="360" w:lineRule="exact"/>
              <w:jc w:val="center"/>
              <w:rPr>
                <w:rFonts w:hint="eastAsia" w:ascii="仿宋" w:hAnsi="仿宋" w:eastAsia="仿宋" w:cs="仿宋"/>
                <w:sz w:val="24"/>
                <w:szCs w:val="24"/>
              </w:rPr>
            </w:pP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SH/T 0722-2002</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机械杂质</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511-2010</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闪点（开口）</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3536-2008</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碱值</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SH/T 0251-1993（2004）</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硫酸盐灰分</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508-1985（1991）</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硫（质量分数）</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SH/T 0749-2004/GB/T 17476-1998</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磷（质量分数）</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GB/T 17476-1998/SH/T 0749-2004</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30" w:type="pct"/>
            <w:vAlign w:val="center"/>
          </w:tcPr>
          <w:p>
            <w:pPr>
              <w:widowControl/>
              <w:numPr>
                <w:ilvl w:val="0"/>
                <w:numId w:val="2"/>
              </w:numPr>
              <w:spacing w:line="240" w:lineRule="exact"/>
              <w:jc w:val="center"/>
              <w:rPr>
                <w:rFonts w:hint="eastAsia" w:ascii="仿宋" w:hAnsi="仿宋" w:eastAsia="仿宋" w:cs="仿宋"/>
                <w:sz w:val="24"/>
                <w:szCs w:val="24"/>
              </w:rPr>
            </w:pPr>
          </w:p>
        </w:tc>
        <w:tc>
          <w:tcPr>
            <w:tcW w:w="1016"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氮（质量分数）</w:t>
            </w:r>
          </w:p>
        </w:tc>
        <w:tc>
          <w:tcPr>
            <w:tcW w:w="1360" w:type="pct"/>
            <w:vAlign w:val="center"/>
          </w:tcPr>
          <w:p>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NB/SH/T 0704-2010</w:t>
            </w:r>
          </w:p>
        </w:tc>
        <w:tc>
          <w:tcPr>
            <w:tcW w:w="479"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85" w:type="pct"/>
          </w:tcPr>
          <w:p>
            <w:pPr>
              <w:adjustRightInd w:val="0"/>
              <w:spacing w:line="240" w:lineRule="exact"/>
              <w:jc w:val="center"/>
              <w:rPr>
                <w:rFonts w:hint="eastAsia" w:ascii="仿宋" w:hAnsi="仿宋" w:eastAsia="仿宋" w:cs="仿宋"/>
                <w:sz w:val="24"/>
                <w:szCs w:val="24"/>
              </w:rPr>
            </w:pPr>
          </w:p>
        </w:tc>
        <w:tc>
          <w:tcPr>
            <w:tcW w:w="405" w:type="pct"/>
            <w:vAlign w:val="center"/>
          </w:tcPr>
          <w:p>
            <w:pPr>
              <w:adjustRightInd w:val="0"/>
              <w:spacing w:line="240" w:lineRule="exact"/>
              <w:jc w:val="center"/>
              <w:rPr>
                <w:rFonts w:hint="eastAsia" w:ascii="仿宋" w:hAnsi="仿宋" w:eastAsia="仿宋" w:cs="仿宋"/>
                <w:sz w:val="24"/>
                <w:szCs w:val="24"/>
              </w:rPr>
            </w:pPr>
            <w:r>
              <w:rPr>
                <w:rFonts w:hint="eastAsia" w:ascii="仿宋" w:hAnsi="仿宋" w:eastAsia="仿宋" w:cs="仿宋"/>
                <w:sz w:val="24"/>
                <w:szCs w:val="24"/>
              </w:rPr>
              <w:t>●</w:t>
            </w:r>
          </w:p>
        </w:tc>
        <w:tc>
          <w:tcPr>
            <w:tcW w:w="405" w:type="pct"/>
            <w:vAlign w:val="center"/>
          </w:tcPr>
          <w:p>
            <w:pPr>
              <w:adjustRightInd w:val="0"/>
              <w:spacing w:line="240" w:lineRule="exact"/>
              <w:jc w:val="center"/>
              <w:rPr>
                <w:rFonts w:hint="eastAsia" w:ascii="仿宋" w:hAnsi="仿宋" w:eastAsia="仿宋" w:cs="仿宋"/>
                <w:sz w:val="24"/>
                <w:szCs w:val="24"/>
              </w:rPr>
            </w:pPr>
          </w:p>
        </w:tc>
        <w:tc>
          <w:tcPr>
            <w:tcW w:w="417" w:type="pct"/>
            <w:vAlign w:val="center"/>
          </w:tcPr>
          <w:p>
            <w:pPr>
              <w:spacing w:line="240" w:lineRule="exact"/>
              <w:jc w:val="center"/>
              <w:rPr>
                <w:rFonts w:hint="eastAsia" w:ascii="仿宋" w:hAnsi="仿宋" w:eastAsia="仿宋" w:cs="仿宋"/>
                <w:sz w:val="24"/>
                <w:szCs w:val="24"/>
              </w:rPr>
            </w:pPr>
          </w:p>
        </w:tc>
      </w:tr>
    </w:tbl>
    <w:p>
      <w:pPr>
        <w:keepNext w:val="0"/>
        <w:keepLines w:val="0"/>
        <w:pageBreakBefore w:val="0"/>
        <w:widowControl w:val="0"/>
        <w:kinsoku/>
        <w:wordWrap/>
        <w:overflowPunct/>
        <w:topLinePunct w:val="0"/>
        <w:bidi w:val="0"/>
        <w:adjustRightInd/>
        <w:snapToGrid/>
        <w:ind w:firstLine="640" w:firstLineChars="200"/>
        <w:jc w:val="left"/>
        <w:textAlignment w:val="auto"/>
        <w:rPr>
          <w:rFonts w:eastAsia="黑体"/>
        </w:rPr>
      </w:pPr>
      <w:bookmarkStart w:id="0" w:name="_GoBack"/>
      <w:bookmarkEnd w:id="0"/>
      <w:r>
        <w:rPr>
          <w:rFonts w:hint="eastAsia" w:eastAsia="黑体"/>
        </w:rPr>
        <w:t>三、判定规则</w:t>
      </w:r>
    </w:p>
    <w:p>
      <w:pPr>
        <w:keepNext w:val="0"/>
        <w:keepLines w:val="0"/>
        <w:pageBreakBefore w:val="0"/>
        <w:widowControl w:val="0"/>
        <w:kinsoku/>
        <w:wordWrap/>
        <w:overflowPunct/>
        <w:topLinePunct w:val="0"/>
        <w:bidi w:val="0"/>
        <w:adjustRightInd/>
        <w:snapToGrid/>
        <w:ind w:firstLine="640" w:firstLineChars="200"/>
        <w:jc w:val="left"/>
        <w:textAlignment w:val="auto"/>
        <w:rPr>
          <w:rFonts w:ascii="楷体_GB2312" w:hAnsi="楷体_GB2312" w:eastAsia="楷体_GB2312" w:cs="楷体_GB2312"/>
        </w:rPr>
      </w:pPr>
      <w:r>
        <w:rPr>
          <w:rFonts w:hint="eastAsia" w:ascii="楷体_GB2312" w:hAnsi="楷体_GB2312" w:eastAsia="楷体_GB2312" w:cs="楷体_GB2312"/>
        </w:rPr>
        <w:t>（一）依据标准</w:t>
      </w:r>
    </w:p>
    <w:p>
      <w:pPr>
        <w:keepNext w:val="0"/>
        <w:keepLines w:val="0"/>
        <w:pageBreakBefore w:val="0"/>
        <w:widowControl w:val="0"/>
        <w:kinsoku/>
        <w:wordWrap/>
        <w:overflowPunct/>
        <w:topLinePunct w:val="0"/>
        <w:bidi w:val="0"/>
        <w:adjustRightInd/>
        <w:snapToGrid/>
        <w:spacing w:line="600" w:lineRule="exact"/>
        <w:ind w:firstLine="640" w:firstLineChars="200"/>
        <w:jc w:val="left"/>
        <w:textAlignment w:val="auto"/>
        <w:rPr>
          <w:rFonts w:hint="eastAsia" w:ascii="仿宋" w:hAnsi="仿宋" w:eastAsia="仿宋" w:cs="仿宋"/>
        </w:rPr>
      </w:pPr>
      <w:r>
        <w:rPr>
          <w:rFonts w:hint="eastAsia" w:ascii="仿宋" w:hAnsi="仿宋" w:eastAsia="仿宋" w:cs="仿宋"/>
        </w:rPr>
        <w:t>GB 11122-2006《柴油机油》</w:t>
      </w:r>
    </w:p>
    <w:p>
      <w:pPr>
        <w:keepNext w:val="0"/>
        <w:keepLines w:val="0"/>
        <w:pageBreakBefore w:val="0"/>
        <w:widowControl w:val="0"/>
        <w:kinsoku/>
        <w:wordWrap/>
        <w:overflowPunct/>
        <w:topLinePunct w:val="0"/>
        <w:bidi w:val="0"/>
        <w:adjustRightInd/>
        <w:snapToGrid/>
        <w:spacing w:line="600" w:lineRule="exact"/>
        <w:ind w:firstLine="640" w:firstLineChars="200"/>
        <w:jc w:val="left"/>
        <w:textAlignment w:val="auto"/>
        <w:rPr>
          <w:rFonts w:hint="eastAsia" w:ascii="仿宋" w:hAnsi="仿宋" w:eastAsia="仿宋" w:cs="仿宋"/>
        </w:rPr>
      </w:pPr>
      <w:r>
        <w:rPr>
          <w:rFonts w:hint="eastAsia" w:ascii="仿宋" w:hAnsi="仿宋" w:eastAsia="仿宋" w:cs="仿宋"/>
        </w:rPr>
        <w:t>GB 11121-2006《汽油机油》</w:t>
      </w:r>
    </w:p>
    <w:p>
      <w:pPr>
        <w:keepNext w:val="0"/>
        <w:keepLines w:val="0"/>
        <w:pageBreakBefore w:val="0"/>
        <w:widowControl w:val="0"/>
        <w:kinsoku/>
        <w:wordWrap/>
        <w:overflowPunct/>
        <w:topLinePunct w:val="0"/>
        <w:autoSpaceDE w:val="0"/>
        <w:autoSpaceDN w:val="0"/>
        <w:bidi w:val="0"/>
        <w:adjustRightInd/>
        <w:snapToGrid/>
        <w:spacing w:line="600" w:lineRule="exact"/>
        <w:ind w:firstLine="640" w:firstLineChars="200"/>
        <w:jc w:val="left"/>
        <w:textAlignment w:val="auto"/>
        <w:rPr>
          <w:rFonts w:hint="eastAsia" w:ascii="仿宋" w:hAnsi="仿宋" w:eastAsia="仿宋" w:cs="仿宋"/>
          <w:kern w:val="0"/>
        </w:rPr>
      </w:pPr>
      <w:r>
        <w:rPr>
          <w:rFonts w:hint="eastAsia" w:ascii="仿宋" w:hAnsi="仿宋" w:eastAsia="仿宋" w:cs="仿宋"/>
          <w:kern w:val="0"/>
        </w:rPr>
        <w:t>相关的法律法规、部门规章和规范、现行有效的企业标准、团体标准、地方标准及产品明示质量要求。</w:t>
      </w:r>
    </w:p>
    <w:p>
      <w:pPr>
        <w:keepNext w:val="0"/>
        <w:keepLines w:val="0"/>
        <w:pageBreakBefore w:val="0"/>
        <w:widowControl w:val="0"/>
        <w:kinsoku/>
        <w:wordWrap/>
        <w:overflowPunct/>
        <w:topLinePunct w:val="0"/>
        <w:bidi w:val="0"/>
        <w:adjustRightInd/>
        <w:snapToGrid/>
        <w:ind w:firstLine="640" w:firstLineChars="200"/>
        <w:jc w:val="left"/>
        <w:textAlignment w:val="auto"/>
        <w:rPr>
          <w:rFonts w:ascii="楷体_GB2312" w:hAnsi="楷体_GB2312" w:eastAsia="楷体_GB2312" w:cs="楷体_GB2312"/>
        </w:rPr>
      </w:pPr>
      <w:r>
        <w:rPr>
          <w:rFonts w:hint="eastAsia" w:ascii="楷体_GB2312" w:hAnsi="楷体_GB2312" w:eastAsia="楷体_GB2312" w:cs="楷体_GB2312"/>
        </w:rPr>
        <w:t>（二）判定原则</w:t>
      </w:r>
    </w:p>
    <w:p>
      <w:pPr>
        <w:spacing w:line="600" w:lineRule="exact"/>
        <w:ind w:firstLine="640" w:firstLineChars="200"/>
        <w:jc w:val="left"/>
        <w:rPr>
          <w:rFonts w:hint="eastAsia" w:ascii="仿宋" w:hAnsi="仿宋" w:eastAsia="仿宋" w:cs="仿宋"/>
        </w:rPr>
      </w:pPr>
      <w:r>
        <w:rPr>
          <w:rFonts w:hint="eastAsia" w:ascii="仿宋" w:hAnsi="仿宋" w:eastAsia="仿宋" w:cs="仿宋"/>
        </w:rPr>
        <w:t>经检验，检验项目全部合格，判定为被抽查产品合格；检验项目中任一项或一项以上不合格，判定为被抽查产品不合格。</w:t>
      </w:r>
    </w:p>
    <w:p>
      <w:pPr>
        <w:spacing w:line="600" w:lineRule="exact"/>
        <w:ind w:firstLine="640" w:firstLineChars="200"/>
        <w:jc w:val="left"/>
        <w:rPr>
          <w:rFonts w:hint="eastAsia" w:ascii="仿宋" w:hAnsi="仿宋" w:eastAsia="仿宋" w:cs="仿宋"/>
        </w:rPr>
      </w:pPr>
      <w:r>
        <w:rPr>
          <w:rFonts w:hint="eastAsia" w:ascii="仿宋" w:hAnsi="仿宋" w:eastAsia="仿宋" w:cs="仿宋"/>
        </w:rPr>
        <w:t>当被检产品明示的质量要求高于本细则中检验项目依据的标准要求时，应按被检产品明示的质量要求判定。</w:t>
      </w:r>
    </w:p>
    <w:p>
      <w:pPr>
        <w:spacing w:line="600" w:lineRule="exact"/>
        <w:ind w:firstLine="640" w:firstLineChars="200"/>
        <w:jc w:val="left"/>
        <w:rPr>
          <w:rFonts w:hint="eastAsia" w:ascii="仿宋" w:hAnsi="仿宋" w:eastAsia="仿宋" w:cs="仿宋"/>
        </w:rPr>
      </w:pPr>
      <w:r>
        <w:rPr>
          <w:rFonts w:hint="eastAsia" w:ascii="仿宋" w:hAnsi="仿宋" w:eastAsia="仿宋" w:cs="仿宋"/>
        </w:rPr>
        <w:t>当被检产品明示的质量要求低于本细则中检验项目依据的强制性标准要求时，应按照强制性标准要求判定。</w:t>
      </w:r>
    </w:p>
    <w:p>
      <w:pPr>
        <w:spacing w:line="600" w:lineRule="exact"/>
        <w:ind w:firstLine="640" w:firstLineChars="200"/>
        <w:jc w:val="left"/>
        <w:rPr>
          <w:rFonts w:hint="eastAsia" w:ascii="仿宋" w:hAnsi="仿宋" w:eastAsia="仿宋" w:cs="仿宋"/>
        </w:rPr>
      </w:pPr>
      <w:r>
        <w:rPr>
          <w:rFonts w:hint="eastAsia" w:ascii="仿宋" w:hAnsi="仿宋" w:eastAsia="仿宋" w:cs="仿宋"/>
        </w:rPr>
        <w:t>当被检产品明示的质量要求缺少本细则中检验项目依据的强制性标准要求时，应按照强制性标准要求判定。</w:t>
      </w:r>
    </w:p>
    <w:p>
      <w:pPr>
        <w:spacing w:line="600" w:lineRule="exact"/>
        <w:ind w:firstLine="640" w:firstLineChars="200"/>
        <w:jc w:val="left"/>
        <w:rPr>
          <w:rFonts w:hint="eastAsia" w:ascii="仿宋" w:hAnsi="仿宋" w:eastAsia="仿宋" w:cs="仿宋"/>
        </w:rPr>
      </w:pPr>
      <w:r>
        <w:rPr>
          <w:rFonts w:hint="eastAsia" w:ascii="仿宋" w:hAnsi="仿宋" w:eastAsia="仿宋" w:cs="仿宋"/>
        </w:rPr>
        <w:t>当被检样品未能提供有效的企业标准时，按相关国家或行业标准进行判定。</w:t>
      </w:r>
    </w:p>
    <w:p>
      <w:pPr>
        <w:spacing w:line="600" w:lineRule="exact"/>
        <w:ind w:firstLine="640" w:firstLineChars="200"/>
        <w:jc w:val="left"/>
        <w:rPr>
          <w:rFonts w:hint="eastAsia" w:ascii="仿宋" w:hAnsi="仿宋" w:eastAsia="仿宋" w:cs="仿宋"/>
        </w:rPr>
      </w:pPr>
      <w:r>
        <w:rPr>
          <w:rFonts w:hint="eastAsia" w:ascii="仿宋" w:hAnsi="仿宋" w:eastAsia="仿宋" w:cs="仿宋"/>
        </w:rPr>
        <w:t>当被检样品标签标识中执行标准信息和产品类别信息不明或有误，影响检测和判定时，可根据产品特点等信息判断和选择相关标准进行检验，并应在检验报告中作出相关说明。</w:t>
      </w:r>
    </w:p>
    <w:p>
      <w:pPr>
        <w:spacing w:line="600" w:lineRule="exact"/>
        <w:ind w:firstLine="640" w:firstLineChars="200"/>
        <w:jc w:val="left"/>
        <w:rPr>
          <w:rFonts w:hint="eastAsia" w:ascii="仿宋" w:hAnsi="仿宋" w:eastAsia="仿宋" w:cs="仿宋"/>
        </w:rPr>
      </w:pPr>
      <w:r>
        <w:rPr>
          <w:rFonts w:hint="eastAsia" w:ascii="仿宋" w:hAnsi="仿宋" w:eastAsia="仿宋" w:cs="仿宋"/>
        </w:rPr>
        <w:t>按照产品质量相关法律法规的规定判定。</w:t>
      </w:r>
    </w:p>
    <w:p>
      <w:pPr>
        <w:spacing w:line="600" w:lineRule="exact"/>
        <w:ind w:firstLine="640" w:firstLineChars="200"/>
        <w:jc w:val="left"/>
        <w:rPr>
          <w:rFonts w:hint="eastAsia" w:ascii="仿宋" w:hAnsi="仿宋" w:eastAsia="仿宋" w:cs="仿宋"/>
        </w:rPr>
      </w:pPr>
      <w:r>
        <w:rPr>
          <w:rFonts w:hint="eastAsia" w:ascii="仿宋" w:hAnsi="仿宋" w:eastAsia="仿宋" w:cs="仿宋"/>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6B1F8A"/>
    <w:multiLevelType w:val="multilevel"/>
    <w:tmpl w:val="0C6B1F8A"/>
    <w:lvl w:ilvl="0" w:tentative="0">
      <w:start w:val="1"/>
      <w:numFmt w:val="decimal"/>
      <w:lvlText w:val="%1"/>
      <w:lvlJc w:val="center"/>
      <w:pPr>
        <w:tabs>
          <w:tab w:val="left" w:pos="0"/>
        </w:tabs>
        <w:ind w:left="0" w:firstLine="17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8D00E10"/>
    <w:multiLevelType w:val="multilevel"/>
    <w:tmpl w:val="18D00E10"/>
    <w:lvl w:ilvl="0" w:tentative="0">
      <w:start w:val="1"/>
      <w:numFmt w:val="decimal"/>
      <w:lvlText w:val="%1"/>
      <w:lvlJc w:val="center"/>
      <w:pPr>
        <w:tabs>
          <w:tab w:val="left" w:pos="0"/>
        </w:tabs>
        <w:ind w:left="0" w:firstLine="17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36BC7"/>
    <w:rsid w:val="0005045D"/>
    <w:rsid w:val="00063BD5"/>
    <w:rsid w:val="00092ABD"/>
    <w:rsid w:val="00116270"/>
    <w:rsid w:val="00120EFB"/>
    <w:rsid w:val="001221DB"/>
    <w:rsid w:val="00192BBD"/>
    <w:rsid w:val="001B5F68"/>
    <w:rsid w:val="001F5DD4"/>
    <w:rsid w:val="002013A5"/>
    <w:rsid w:val="00201CDD"/>
    <w:rsid w:val="00223348"/>
    <w:rsid w:val="00250DFA"/>
    <w:rsid w:val="002923B9"/>
    <w:rsid w:val="00294579"/>
    <w:rsid w:val="00310C73"/>
    <w:rsid w:val="0039338B"/>
    <w:rsid w:val="004015F5"/>
    <w:rsid w:val="004757C1"/>
    <w:rsid w:val="004A5090"/>
    <w:rsid w:val="004B2573"/>
    <w:rsid w:val="00544BE4"/>
    <w:rsid w:val="00554DA0"/>
    <w:rsid w:val="00592C01"/>
    <w:rsid w:val="005A0994"/>
    <w:rsid w:val="006238A1"/>
    <w:rsid w:val="00624315"/>
    <w:rsid w:val="00692A96"/>
    <w:rsid w:val="00695250"/>
    <w:rsid w:val="006D4F7A"/>
    <w:rsid w:val="006D505E"/>
    <w:rsid w:val="006F4E7D"/>
    <w:rsid w:val="00732793"/>
    <w:rsid w:val="00735F9B"/>
    <w:rsid w:val="0074286E"/>
    <w:rsid w:val="00752F93"/>
    <w:rsid w:val="0075545D"/>
    <w:rsid w:val="007914F7"/>
    <w:rsid w:val="007A0EE2"/>
    <w:rsid w:val="007A10C3"/>
    <w:rsid w:val="007B0EC6"/>
    <w:rsid w:val="007F204B"/>
    <w:rsid w:val="00841ED0"/>
    <w:rsid w:val="00895950"/>
    <w:rsid w:val="008C102E"/>
    <w:rsid w:val="008C280B"/>
    <w:rsid w:val="008F74C7"/>
    <w:rsid w:val="00926BC7"/>
    <w:rsid w:val="00944BCE"/>
    <w:rsid w:val="0097411B"/>
    <w:rsid w:val="009F07C3"/>
    <w:rsid w:val="00A02A33"/>
    <w:rsid w:val="00A40122"/>
    <w:rsid w:val="00A66D10"/>
    <w:rsid w:val="00A97411"/>
    <w:rsid w:val="00AC1C38"/>
    <w:rsid w:val="00AE4C72"/>
    <w:rsid w:val="00B25DB1"/>
    <w:rsid w:val="00B7736F"/>
    <w:rsid w:val="00BA2151"/>
    <w:rsid w:val="00BA664E"/>
    <w:rsid w:val="00BB0B4C"/>
    <w:rsid w:val="00BC667E"/>
    <w:rsid w:val="00BD50D2"/>
    <w:rsid w:val="00C070D8"/>
    <w:rsid w:val="00C17D35"/>
    <w:rsid w:val="00C4082C"/>
    <w:rsid w:val="00C450FD"/>
    <w:rsid w:val="00C47686"/>
    <w:rsid w:val="00C512B6"/>
    <w:rsid w:val="00C942F9"/>
    <w:rsid w:val="00CC19A7"/>
    <w:rsid w:val="00D1464E"/>
    <w:rsid w:val="00D224DD"/>
    <w:rsid w:val="00D357A6"/>
    <w:rsid w:val="00D554F8"/>
    <w:rsid w:val="00D629E1"/>
    <w:rsid w:val="00E54840"/>
    <w:rsid w:val="00E56737"/>
    <w:rsid w:val="00E61CE3"/>
    <w:rsid w:val="00E72969"/>
    <w:rsid w:val="00E94DFB"/>
    <w:rsid w:val="00E9624B"/>
    <w:rsid w:val="00E977EC"/>
    <w:rsid w:val="00EC3EBE"/>
    <w:rsid w:val="00EE24A1"/>
    <w:rsid w:val="00F1323C"/>
    <w:rsid w:val="00F5376E"/>
    <w:rsid w:val="00F60942"/>
    <w:rsid w:val="00F8007C"/>
    <w:rsid w:val="00FA7094"/>
    <w:rsid w:val="00FA791E"/>
    <w:rsid w:val="00FB02C7"/>
    <w:rsid w:val="00FB22F7"/>
    <w:rsid w:val="00FE6536"/>
    <w:rsid w:val="00FF12CE"/>
    <w:rsid w:val="55A51C36"/>
    <w:rsid w:val="5BEB6052"/>
    <w:rsid w:val="60F66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uiPriority w:val="0"/>
    <w:pPr>
      <w:tabs>
        <w:tab w:val="center" w:pos="4153"/>
        <w:tab w:val="right" w:pos="8306"/>
      </w:tabs>
      <w:snapToGrid w:val="0"/>
      <w:jc w:val="left"/>
    </w:pPr>
    <w:rPr>
      <w:rFonts w:eastAsia="仿宋_GB2312"/>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uiPriority w:val="0"/>
    <w:rPr>
      <w:rFonts w:ascii="方正小标宋简体" w:eastAsia="方正小标宋简体"/>
      <w:kern w:val="44"/>
      <w:sz w:val="38"/>
      <w:szCs w:val="24"/>
    </w:rPr>
  </w:style>
  <w:style w:type="character" w:customStyle="1" w:styleId="10">
    <w:name w:val="纯文本 Char"/>
    <w:basedOn w:val="8"/>
    <w:link w:val="3"/>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uiPriority w:val="0"/>
    <w:rPr>
      <w:rFonts w:eastAsia="仿宋_GB2312"/>
      <w:kern w:val="2"/>
      <w:sz w:val="18"/>
      <w:szCs w:val="18"/>
    </w:rPr>
  </w:style>
  <w:style w:type="character" w:customStyle="1" w:styleId="15">
    <w:name w:val="页脚 Char"/>
    <w:basedOn w:val="8"/>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321</Words>
  <Characters>1836</Characters>
  <Lines>15</Lines>
  <Paragraphs>4</Paragraphs>
  <TotalTime>38</TotalTime>
  <ScaleCrop>false</ScaleCrop>
  <LinksUpToDate>false</LinksUpToDate>
  <CharactersWithSpaces>2153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2022-01-17T15:49:00Z</dcterms:created>
  <dc:creator>范士平</dc:creator>
  <cp:lastModifiedBy>刘赞</cp:lastModifiedBy>
  <dcterms:modified xsi:type="dcterms:W3CDTF">2023-05-10T09:32:05Z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DB766CAEDD474624AED94859AB82A98D</vt:lpwstr>
  </property>
</Properties>
</file>