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Courier New" w:eastAsia="方正小标宋简体" w:cs="Courier New"/>
          <w:bCs/>
          <w:sz w:val="44"/>
          <w:szCs w:val="44"/>
        </w:rPr>
      </w:pPr>
      <w:r>
        <w:rPr>
          <w:rFonts w:hint="eastAsia" w:ascii="方正小标宋简体" w:hAnsi="Courier New" w:eastAsia="方正小标宋简体" w:cs="Courier New"/>
          <w:bCs/>
          <w:sz w:val="44"/>
          <w:szCs w:val="44"/>
        </w:rPr>
        <w:t>珠海市车用汽油产品质量监督抽查实施细则</w:t>
      </w:r>
    </w:p>
    <w:p>
      <w:pPr>
        <w:spacing w:line="600" w:lineRule="exact"/>
        <w:ind w:firstLine="640" w:firstLineChars="200"/>
        <w:jc w:val="left"/>
        <w:rPr>
          <w:rFonts w:hint="eastAsia" w:ascii="黑体" w:hAnsi="黑体" w:eastAsia="黑体" w:cs="Courier New"/>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以随机抽样的方式在被抽样生产、经营者的待销产品中抽取。随机数一般可使用随机数表等方法产生。</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抽查数量：每款产品抽取2组样本，第1组用于检验，第2组用于备样。</w:t>
      </w:r>
    </w:p>
    <w:p>
      <w:pPr>
        <w:autoSpaceDE w:val="0"/>
        <w:autoSpaceDN w:val="0"/>
        <w:spacing w:line="600" w:lineRule="exact"/>
        <w:ind w:firstLine="640" w:firstLineChars="200"/>
        <w:jc w:val="left"/>
        <w:rPr>
          <w:rFonts w:ascii="仿宋_GB2312" w:hAnsi="仿宋_GB2312" w:eastAsia="仿宋_GB2312" w:cs="仿宋_GB2312"/>
          <w:kern w:val="0"/>
        </w:rPr>
      </w:pPr>
      <w:r>
        <w:rPr>
          <w:rFonts w:hint="eastAsia" w:ascii="仿宋" w:hAnsi="仿宋" w:eastAsia="仿宋" w:cs="仿宋"/>
          <w:kern w:val="0"/>
        </w:rPr>
        <w:t>具体抽样数量及方法如下：</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2"/>
        <w:gridCol w:w="4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2545" w:type="pct"/>
            <w:vAlign w:val="center"/>
          </w:tcPr>
          <w:p>
            <w:pPr>
              <w:adjustRightInd w:val="0"/>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第1组数量</w:t>
            </w:r>
          </w:p>
        </w:tc>
        <w:tc>
          <w:tcPr>
            <w:tcW w:w="2455" w:type="pct"/>
            <w:vAlign w:val="center"/>
          </w:tcPr>
          <w:p>
            <w:pPr>
              <w:adjustRightInd w:val="0"/>
              <w:snapToGrid w:val="0"/>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545"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至少2L</w:t>
            </w:r>
          </w:p>
        </w:tc>
        <w:tc>
          <w:tcPr>
            <w:tcW w:w="2455" w:type="pct"/>
            <w:vAlign w:val="center"/>
          </w:tcPr>
          <w:p>
            <w:pPr>
              <w:adjustRightInd w:val="0"/>
              <w:snapToGrid w:val="0"/>
              <w:spacing w:line="360" w:lineRule="exact"/>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至少2L</w:t>
            </w:r>
          </w:p>
        </w:tc>
      </w:tr>
    </w:tbl>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rPr>
        <w:t>在生产企业（油库）抽样时，按GB/T 4756-2015《石油液体手工取样法》规定的方法抽取样本；在加油站或燃油供应船舶或燃油供应车辆抽样时，直接在加油机加油枪或加油管出口处（或取样处）随机抽取样本。</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抽取样品应为同一型号规格、同一批次的产品，检验样品和备用样品必须取自同一油枪或储罐。</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送至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autoSpaceDE w:val="0"/>
        <w:autoSpaceDN w:val="0"/>
        <w:spacing w:line="600" w:lineRule="exact"/>
        <w:ind w:firstLine="640" w:firstLineChars="200"/>
        <w:jc w:val="left"/>
        <w:rPr>
          <w:rFonts w:eastAsia="黑体"/>
        </w:rPr>
      </w:pPr>
      <w:r>
        <w:rPr>
          <w:rFonts w:hint="eastAsia" w:eastAsia="黑体"/>
        </w:rPr>
        <w:t>二、主要检验项目及检验项目属性划分</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852"/>
        <w:gridCol w:w="2538"/>
        <w:gridCol w:w="770"/>
        <w:gridCol w:w="772"/>
        <w:gridCol w:w="772"/>
        <w:gridCol w:w="772"/>
        <w:gridCol w:w="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429"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1022"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400"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425"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26"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26"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26"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42" w:type="pct"/>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机械杂质</w:t>
            </w:r>
          </w:p>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及水分</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目测</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硫含量</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SH/T 0689-2000</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馏程</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6536-2010</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密度</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1884－2000</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硫醇</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NB/SH/T 0174-2015</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蒸气压</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8017-2012</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研究法辛烷值</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5487-2015</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铅含量</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8020-2015</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诱导期</w:t>
            </w:r>
          </w:p>
        </w:tc>
        <w:tc>
          <w:tcPr>
            <w:tcW w:w="1400" w:type="pct"/>
            <w:vAlign w:val="center"/>
          </w:tcPr>
          <w:p>
            <w:pPr>
              <w:spacing w:line="360" w:lineRule="exact"/>
              <w:jc w:val="center"/>
              <w:rPr>
                <w:rFonts w:hint="eastAsia" w:ascii="仿宋" w:hAnsi="仿宋" w:eastAsia="仿宋" w:cs="仿宋"/>
                <w:bCs/>
                <w:sz w:val="24"/>
                <w:szCs w:val="24"/>
              </w:rPr>
            </w:pPr>
            <w:bookmarkStart w:id="0" w:name="_GoBack"/>
            <w:bookmarkEnd w:id="0"/>
            <w:r>
              <w:rPr>
                <w:rFonts w:hint="eastAsia" w:ascii="仿宋" w:hAnsi="仿宋" w:eastAsia="仿宋" w:cs="仿宋"/>
                <w:bCs/>
                <w:sz w:val="24"/>
                <w:szCs w:val="24"/>
              </w:rPr>
              <w:t>GB/T 8018-2015</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铜片腐蚀</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5096-2017</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水溶性酸或碱</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GB/T 259-1988</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苯含量</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SH/T 0713-2002</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氧含量</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NB/SH/T 0663-2014</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p>
        </w:tc>
        <w:tc>
          <w:tcPr>
            <w:tcW w:w="426" w:type="pct"/>
            <w:vAlign w:val="center"/>
          </w:tcPr>
          <w:p>
            <w:pPr>
              <w:adjustRightIn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甲醇含量</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NB/SH/T 0663-2014</w:t>
            </w:r>
          </w:p>
        </w:tc>
        <w:tc>
          <w:tcPr>
            <w:tcW w:w="425"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widowControl/>
              <w:adjustRightInd w:val="0"/>
              <w:snapToGrid w:val="0"/>
              <w:spacing w:before="100" w:beforeAutospacing="1" w:after="100" w:afterAutospacing="1" w:line="360" w:lineRule="exact"/>
              <w:jc w:val="center"/>
              <w:rPr>
                <w:rFonts w:hint="eastAsia" w:ascii="仿宋" w:hAnsi="仿宋" w:eastAsia="仿宋" w:cs="仿宋"/>
                <w:sz w:val="24"/>
                <w:szCs w:val="24"/>
              </w:rPr>
            </w:pPr>
          </w:p>
        </w:tc>
        <w:tc>
          <w:tcPr>
            <w:tcW w:w="426" w:type="pct"/>
            <w:vAlign w:val="center"/>
          </w:tcPr>
          <w:p>
            <w:pPr>
              <w:spacing w:line="360" w:lineRule="exact"/>
              <w:jc w:val="center"/>
              <w:rPr>
                <w:rFonts w:hint="eastAsia" w:ascii="仿宋" w:hAnsi="仿宋" w:eastAsia="仿宋" w:cs="仿宋"/>
                <w:sz w:val="24"/>
                <w:szCs w:val="24"/>
              </w:rPr>
            </w:pPr>
          </w:p>
        </w:tc>
        <w:tc>
          <w:tcPr>
            <w:tcW w:w="42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锰含量</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NB/SH/T 0711-2019</w:t>
            </w:r>
          </w:p>
        </w:tc>
        <w:tc>
          <w:tcPr>
            <w:tcW w:w="42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widowControl/>
              <w:adjustRightInd w:val="0"/>
              <w:snapToGrid w:val="0"/>
              <w:spacing w:before="100" w:beforeAutospacing="1" w:after="100" w:afterAutospacing="1" w:line="240" w:lineRule="exact"/>
              <w:jc w:val="center"/>
              <w:rPr>
                <w:rFonts w:hint="eastAsia" w:ascii="仿宋" w:hAnsi="仿宋" w:eastAsia="仿宋" w:cs="仿宋"/>
                <w:sz w:val="24"/>
                <w:szCs w:val="24"/>
              </w:rPr>
            </w:pPr>
          </w:p>
        </w:tc>
        <w:tc>
          <w:tcPr>
            <w:tcW w:w="426" w:type="pct"/>
            <w:vAlign w:val="center"/>
          </w:tcPr>
          <w:p>
            <w:pPr>
              <w:jc w:val="center"/>
              <w:rPr>
                <w:rFonts w:hint="eastAsia" w:ascii="仿宋" w:hAnsi="仿宋" w:eastAsia="仿宋" w:cs="仿宋"/>
                <w:sz w:val="24"/>
                <w:szCs w:val="24"/>
              </w:rPr>
            </w:pPr>
          </w:p>
        </w:tc>
        <w:tc>
          <w:tcPr>
            <w:tcW w:w="426"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429" w:type="pct"/>
            <w:vAlign w:val="center"/>
          </w:tcPr>
          <w:p>
            <w:pPr>
              <w:widowControl/>
              <w:numPr>
                <w:ilvl w:val="0"/>
                <w:numId w:val="1"/>
              </w:numPr>
              <w:spacing w:line="240" w:lineRule="exact"/>
              <w:jc w:val="left"/>
              <w:rPr>
                <w:rFonts w:hint="eastAsia" w:ascii="仿宋" w:hAnsi="仿宋" w:eastAsia="仿宋" w:cs="仿宋"/>
                <w:sz w:val="24"/>
                <w:szCs w:val="24"/>
              </w:rPr>
            </w:pPr>
          </w:p>
        </w:tc>
        <w:tc>
          <w:tcPr>
            <w:tcW w:w="1022"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铁含量</w:t>
            </w:r>
          </w:p>
        </w:tc>
        <w:tc>
          <w:tcPr>
            <w:tcW w:w="1400" w:type="pct"/>
            <w:vAlign w:val="center"/>
          </w:tcPr>
          <w:p>
            <w:pPr>
              <w:spacing w:line="360" w:lineRule="exact"/>
              <w:jc w:val="center"/>
              <w:rPr>
                <w:rFonts w:hint="eastAsia" w:ascii="仿宋" w:hAnsi="仿宋" w:eastAsia="仿宋" w:cs="仿宋"/>
                <w:bCs/>
                <w:sz w:val="24"/>
                <w:szCs w:val="24"/>
              </w:rPr>
            </w:pPr>
            <w:r>
              <w:rPr>
                <w:rFonts w:hint="eastAsia" w:ascii="仿宋" w:hAnsi="仿宋" w:eastAsia="仿宋" w:cs="仿宋"/>
                <w:bCs/>
                <w:sz w:val="24"/>
                <w:szCs w:val="24"/>
              </w:rPr>
              <w:t>SH/T 0712-2002</w:t>
            </w:r>
          </w:p>
        </w:tc>
        <w:tc>
          <w:tcPr>
            <w:tcW w:w="42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26" w:type="pct"/>
            <w:vAlign w:val="center"/>
          </w:tcPr>
          <w:p>
            <w:pPr>
              <w:widowControl/>
              <w:adjustRightInd w:val="0"/>
              <w:snapToGrid w:val="0"/>
              <w:spacing w:before="100" w:beforeAutospacing="1" w:after="100" w:afterAutospacing="1" w:line="240" w:lineRule="exact"/>
              <w:jc w:val="center"/>
              <w:rPr>
                <w:rFonts w:hint="eastAsia" w:ascii="仿宋" w:hAnsi="仿宋" w:eastAsia="仿宋" w:cs="仿宋"/>
                <w:sz w:val="24"/>
                <w:szCs w:val="24"/>
              </w:rPr>
            </w:pPr>
          </w:p>
        </w:tc>
        <w:tc>
          <w:tcPr>
            <w:tcW w:w="426" w:type="pct"/>
            <w:vAlign w:val="center"/>
          </w:tcPr>
          <w:p>
            <w:pPr>
              <w:jc w:val="center"/>
              <w:rPr>
                <w:rFonts w:hint="eastAsia" w:ascii="仿宋" w:hAnsi="仿宋" w:eastAsia="仿宋" w:cs="仿宋"/>
                <w:sz w:val="24"/>
                <w:szCs w:val="24"/>
              </w:rPr>
            </w:pPr>
          </w:p>
        </w:tc>
        <w:tc>
          <w:tcPr>
            <w:tcW w:w="426"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vAlign w:val="center"/>
          </w:tcPr>
          <w:p>
            <w:pPr>
              <w:spacing w:line="360" w:lineRule="exact"/>
              <w:jc w:val="center"/>
              <w:rPr>
                <w:rFonts w:hint="eastAsia" w:ascii="仿宋" w:hAnsi="仿宋" w:eastAsia="仿宋" w:cs="仿宋"/>
                <w:sz w:val="24"/>
                <w:szCs w:val="24"/>
              </w:rPr>
            </w:pPr>
          </w:p>
        </w:tc>
      </w:tr>
    </w:tbl>
    <w:p>
      <w:pPr>
        <w:autoSpaceDE w:val="0"/>
        <w:autoSpaceDN w:val="0"/>
        <w:spacing w:line="600" w:lineRule="exact"/>
        <w:ind w:firstLine="640" w:firstLineChars="200"/>
        <w:jc w:val="left"/>
        <w:rPr>
          <w:rFonts w:eastAsia="黑体"/>
        </w:rPr>
      </w:pPr>
      <w:r>
        <w:rPr>
          <w:rFonts w:hint="eastAsia" w:eastAsia="黑体"/>
        </w:rPr>
        <w:t>三、判定规则</w:t>
      </w:r>
    </w:p>
    <w:p>
      <w:pPr>
        <w:spacing w:before="156" w:beforeLines="50"/>
        <w:ind w:firstLine="480" w:firstLineChars="150"/>
        <w:jc w:val="left"/>
        <w:rPr>
          <w:rFonts w:ascii="楷体_GB2312" w:hAnsi="楷体_GB2312" w:eastAsia="楷体_GB2312" w:cs="楷体_GB2312"/>
        </w:rPr>
      </w:pPr>
      <w:r>
        <w:rPr>
          <w:rFonts w:hint="eastAsia" w:ascii="楷体_GB2312" w:hAnsi="楷体_GB2312" w:eastAsia="楷体_GB2312" w:cs="楷体_GB2312"/>
        </w:rPr>
        <w:t>（一）依据标准</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GB 17930-2016《车用汽油》</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相关的法律法规、部门规章和规范及产品明示质量要求。</w:t>
      </w:r>
    </w:p>
    <w:p>
      <w:pPr>
        <w:spacing w:before="156" w:beforeLines="50"/>
        <w:ind w:firstLine="480" w:firstLineChars="150"/>
        <w:jc w:val="left"/>
        <w:rPr>
          <w:rFonts w:ascii="楷体_GB2312" w:hAnsi="楷体_GB2312" w:eastAsia="楷体_GB2312" w:cs="楷体_GB2312"/>
        </w:rPr>
      </w:pPr>
      <w:r>
        <w:rPr>
          <w:rFonts w:hint="eastAsia" w:ascii="楷体_GB2312" w:hAnsi="楷体_GB2312" w:eastAsia="楷体_GB2312" w:cs="楷体_GB2312"/>
        </w:rPr>
        <w:t>（二）判定原则</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经检验，检验项目全部合格，判定为被抽查产品合格；检验项目中任一项或一项以上不合格，判定为被抽查产品不合格。</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当被检产品明示的质量要求高于本细则中检验项目依据的标准要求时，应按被检产品明示的质量要求判定。</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当被检产品明示的质量要求低于本细则中检验项目依据的强制性标准要求时，应按照强制性标准要求判定。</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当被检产品明示的质量要求缺少本细则中检验项目依据的强制性标准要求时，应按照强制性标准要求判定。</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当被检样品未能提供有效的企业标准时，按相关国家或行业标准进行判定。</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当被检样品标签标识中执行标准信息和产品类别信息不明或有误，影响检测和判定时，可根据产品特点等信息判断和选择相关标准进行检验，并应在检验报告中作出相关说明。</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按照产品质量相关法律法规的规定判定。</w:t>
      </w:r>
    </w:p>
    <w:p>
      <w:pPr>
        <w:autoSpaceDE w:val="0"/>
        <w:autoSpaceDN w:val="0"/>
        <w:spacing w:line="600" w:lineRule="exact"/>
        <w:ind w:firstLine="640" w:firstLineChars="200"/>
        <w:jc w:val="left"/>
        <w:rPr>
          <w:rFonts w:hint="eastAsia" w:ascii="仿宋" w:hAnsi="仿宋" w:eastAsia="仿宋" w:cs="仿宋"/>
        </w:rPr>
      </w:pPr>
      <w:r>
        <w:rPr>
          <w:rFonts w:hint="eastAsia" w:ascii="仿宋" w:hAnsi="仿宋" w:eastAsia="仿宋" w:cs="仿宋"/>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01FD5"/>
    <w:multiLevelType w:val="multilevel"/>
    <w:tmpl w:val="2CA01FD5"/>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02935"/>
    <w:rsid w:val="00036BC7"/>
    <w:rsid w:val="0005045D"/>
    <w:rsid w:val="00063BD5"/>
    <w:rsid w:val="00092ABD"/>
    <w:rsid w:val="00116270"/>
    <w:rsid w:val="00120EFB"/>
    <w:rsid w:val="001221DB"/>
    <w:rsid w:val="00192BBD"/>
    <w:rsid w:val="001A201C"/>
    <w:rsid w:val="001F5DD4"/>
    <w:rsid w:val="00201CDD"/>
    <w:rsid w:val="00223348"/>
    <w:rsid w:val="00250DFA"/>
    <w:rsid w:val="002923B9"/>
    <w:rsid w:val="00294579"/>
    <w:rsid w:val="00305921"/>
    <w:rsid w:val="00310C73"/>
    <w:rsid w:val="0038205F"/>
    <w:rsid w:val="0039338B"/>
    <w:rsid w:val="004015F5"/>
    <w:rsid w:val="004757C1"/>
    <w:rsid w:val="004A5090"/>
    <w:rsid w:val="004B2573"/>
    <w:rsid w:val="004B3591"/>
    <w:rsid w:val="004E253E"/>
    <w:rsid w:val="00530EC3"/>
    <w:rsid w:val="00544BE4"/>
    <w:rsid w:val="00592C01"/>
    <w:rsid w:val="005A0994"/>
    <w:rsid w:val="00606736"/>
    <w:rsid w:val="006238A1"/>
    <w:rsid w:val="00624315"/>
    <w:rsid w:val="00657783"/>
    <w:rsid w:val="00695250"/>
    <w:rsid w:val="006D4F7A"/>
    <w:rsid w:val="006D505E"/>
    <w:rsid w:val="006F4E7D"/>
    <w:rsid w:val="00732793"/>
    <w:rsid w:val="00735F9B"/>
    <w:rsid w:val="0074286E"/>
    <w:rsid w:val="00752F93"/>
    <w:rsid w:val="0075545D"/>
    <w:rsid w:val="007914F7"/>
    <w:rsid w:val="007A0EE2"/>
    <w:rsid w:val="007A10C3"/>
    <w:rsid w:val="007B0EC6"/>
    <w:rsid w:val="007D2634"/>
    <w:rsid w:val="007F204B"/>
    <w:rsid w:val="00841ED0"/>
    <w:rsid w:val="00895950"/>
    <w:rsid w:val="008C102E"/>
    <w:rsid w:val="008C280B"/>
    <w:rsid w:val="008F74C7"/>
    <w:rsid w:val="00926BC7"/>
    <w:rsid w:val="009F07C3"/>
    <w:rsid w:val="00A02A33"/>
    <w:rsid w:val="00A15231"/>
    <w:rsid w:val="00A40122"/>
    <w:rsid w:val="00A401D5"/>
    <w:rsid w:val="00A66D10"/>
    <w:rsid w:val="00A97411"/>
    <w:rsid w:val="00AC1C38"/>
    <w:rsid w:val="00B25DB1"/>
    <w:rsid w:val="00B7736F"/>
    <w:rsid w:val="00BA2151"/>
    <w:rsid w:val="00BA664E"/>
    <w:rsid w:val="00BB0B4C"/>
    <w:rsid w:val="00BC0EB4"/>
    <w:rsid w:val="00BC579F"/>
    <w:rsid w:val="00BC667E"/>
    <w:rsid w:val="00BD50D2"/>
    <w:rsid w:val="00C070D8"/>
    <w:rsid w:val="00C13D9C"/>
    <w:rsid w:val="00C17D35"/>
    <w:rsid w:val="00C4082C"/>
    <w:rsid w:val="00C450FD"/>
    <w:rsid w:val="00C512B6"/>
    <w:rsid w:val="00CC19A7"/>
    <w:rsid w:val="00D1464E"/>
    <w:rsid w:val="00D224DD"/>
    <w:rsid w:val="00D357A6"/>
    <w:rsid w:val="00D554F8"/>
    <w:rsid w:val="00D629E1"/>
    <w:rsid w:val="00E54840"/>
    <w:rsid w:val="00E56737"/>
    <w:rsid w:val="00E61CE3"/>
    <w:rsid w:val="00E72969"/>
    <w:rsid w:val="00E94DFB"/>
    <w:rsid w:val="00E9624B"/>
    <w:rsid w:val="00E977EC"/>
    <w:rsid w:val="00EC3EBE"/>
    <w:rsid w:val="00EC7C16"/>
    <w:rsid w:val="00EE24A1"/>
    <w:rsid w:val="00EF5C3B"/>
    <w:rsid w:val="00F1323C"/>
    <w:rsid w:val="00F44F9E"/>
    <w:rsid w:val="00F5376E"/>
    <w:rsid w:val="00F60942"/>
    <w:rsid w:val="00F72A88"/>
    <w:rsid w:val="00F8007C"/>
    <w:rsid w:val="00FA7094"/>
    <w:rsid w:val="00FA791E"/>
    <w:rsid w:val="00FB22F7"/>
    <w:rsid w:val="00FE6536"/>
    <w:rsid w:val="00FF0B8F"/>
    <w:rsid w:val="5BEB6052"/>
    <w:rsid w:val="7B6B29F3"/>
    <w:rsid w:val="7E895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uiPriority w:val="0"/>
    <w:pPr>
      <w:tabs>
        <w:tab w:val="center" w:pos="4153"/>
        <w:tab w:val="right" w:pos="8306"/>
      </w:tabs>
      <w:snapToGrid w:val="0"/>
      <w:jc w:val="left"/>
    </w:pPr>
    <w:rPr>
      <w:rFonts w:eastAsia="仿宋_GB2312"/>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uiPriority w:val="0"/>
    <w:rPr>
      <w:rFonts w:eastAsia="仿宋_GB2312"/>
      <w:kern w:val="2"/>
      <w:sz w:val="18"/>
      <w:szCs w:val="18"/>
    </w:rPr>
  </w:style>
  <w:style w:type="character" w:customStyle="1" w:styleId="15">
    <w:name w:val="页脚 Char"/>
    <w:basedOn w:val="8"/>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221</Words>
  <Characters>1264</Characters>
  <Lines>10</Lines>
  <Paragraphs>2</Paragraphs>
  <TotalTime>1</TotalTime>
  <ScaleCrop>false</ScaleCrop>
  <LinksUpToDate>false</LinksUpToDate>
  <CharactersWithSpaces>1483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2022-01-17T15:49:00Z</dcterms:created>
  <dc:creator>范士平</dc:creator>
  <cp:lastModifiedBy>刘赞</cp:lastModifiedBy>
  <dcterms:modified xsi:type="dcterms:W3CDTF">2023-05-10T09:30:49Z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4FAB7625B9B2423497A2EE41E42AF2F1</vt:lpwstr>
  </property>
</Properties>
</file>