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珠海市车用柴油产品质量监督抽查实施细则</w:t>
      </w:r>
    </w:p>
    <w:p>
      <w:pPr>
        <w:spacing w:line="600" w:lineRule="exact"/>
        <w:jc w:val="left"/>
        <w:rPr>
          <w:rFonts w:ascii="方正小标宋简体" w:hAnsi="Courier New" w:eastAsia="方正小标宋简体" w:cs="Courier New"/>
          <w:bCs/>
          <w:sz w:val="44"/>
          <w:szCs w:val="44"/>
        </w:rPr>
      </w:pPr>
    </w:p>
    <w:p>
      <w:pPr>
        <w:spacing w:line="600" w:lineRule="exact"/>
        <w:ind w:firstLine="640" w:firstLineChars="200"/>
        <w:jc w:val="left"/>
        <w:rPr>
          <w:rFonts w:ascii="黑体" w:hAnsi="黑体" w:eastAsia="黑体" w:cs="Courier New"/>
        </w:rPr>
      </w:pPr>
      <w:r>
        <w:rPr>
          <w:rFonts w:hint="eastAsia" w:ascii="黑体" w:hAnsi="黑体" w:eastAsia="黑体" w:cs="Courier New"/>
        </w:rPr>
        <w:t>一、抽样方法</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以随机抽样的方式在被抽样生产、经营者的待销产品中抽取。</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随机数一般可使用随机数表等方法产生。</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抽查数量：每款产品抽取2组样本，第1组用于检验，第2组用于备样。具体抽样数量及方法如下：</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2"/>
        <w:gridCol w:w="4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2545" w:type="pct"/>
            <w:vAlign w:val="center"/>
          </w:tcPr>
          <w:p>
            <w:pPr>
              <w:adjustRightInd w:val="0"/>
              <w:snapToGrid w:val="0"/>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第1组数量</w:t>
            </w:r>
          </w:p>
        </w:tc>
        <w:tc>
          <w:tcPr>
            <w:tcW w:w="2455" w:type="pct"/>
            <w:vAlign w:val="center"/>
          </w:tcPr>
          <w:p>
            <w:pPr>
              <w:adjustRightInd w:val="0"/>
              <w:snapToGrid w:val="0"/>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545" w:type="pct"/>
            <w:vAlign w:val="center"/>
          </w:tcPr>
          <w:p>
            <w:pPr>
              <w:adjustRightInd w:val="0"/>
              <w:snapToGrid w:val="0"/>
              <w:spacing w:line="360" w:lineRule="exact"/>
              <w:jc w:val="center"/>
              <w:rPr>
                <w:rFonts w:eastAsia="仿宋_GB2312"/>
                <w:b w:val="0"/>
                <w:bCs w:val="0"/>
                <w:sz w:val="24"/>
                <w:szCs w:val="24"/>
              </w:rPr>
            </w:pPr>
            <w:r>
              <w:rPr>
                <w:rFonts w:hint="eastAsia" w:eastAsia="仿宋_GB2312" w:cs="仿宋_GB2312"/>
                <w:b w:val="0"/>
                <w:bCs w:val="0"/>
                <w:sz w:val="24"/>
                <w:szCs w:val="24"/>
              </w:rPr>
              <w:t>至少2L</w:t>
            </w:r>
          </w:p>
        </w:tc>
        <w:tc>
          <w:tcPr>
            <w:tcW w:w="2455" w:type="pct"/>
            <w:vAlign w:val="center"/>
          </w:tcPr>
          <w:p>
            <w:pPr>
              <w:adjustRightInd w:val="0"/>
              <w:snapToGrid w:val="0"/>
              <w:spacing w:line="360" w:lineRule="exact"/>
              <w:jc w:val="center"/>
              <w:rPr>
                <w:rFonts w:eastAsia="仿宋_GB2312"/>
                <w:b w:val="0"/>
                <w:bCs w:val="0"/>
                <w:sz w:val="24"/>
                <w:szCs w:val="24"/>
              </w:rPr>
            </w:pPr>
            <w:r>
              <w:rPr>
                <w:rFonts w:hint="eastAsia" w:eastAsia="仿宋_GB2312" w:cs="仿宋_GB2312"/>
                <w:b w:val="0"/>
                <w:bCs w:val="0"/>
                <w:sz w:val="24"/>
                <w:szCs w:val="24"/>
              </w:rPr>
              <w:t>至少2L</w:t>
            </w:r>
          </w:p>
        </w:tc>
      </w:tr>
    </w:tbl>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在生产企业（油库）抽样时，按GB/T 4756-2015《石油液体手工取样法》规定的方法抽取样本；在加油站或燃油供应船舶或燃油供应车辆抽样时，直接在加油机加油枪或加油管出口处（或取样处）随机抽取样本。</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确定被抽样对象应符合T/GDAQI 020-2020《产品质量监督抽查抽样检验技术服务规范》5.3.3.3和第6章抽样的相关要求。</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抽取样品应为同一型号规格、同一批次的产品，检验样品和备用样品必须取自同一油枪或储罐。</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检验样品和备用样品应分别签封，确保防止拆封、封条完整、清晰，并注明“检验样品”或“备用样品”，一起送至检验机构。封样单上应有被抽查企业和抽样人员双方的签名，注明抽样日期。封好样后，可采取拍照、封样单骑缝签名、漆封、特殊材料等其他附加的防拆封措施。在运送过程中应注意对样品进行适当防护，避免出现磕碰、雨淋、进水等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eastAsia="黑体"/>
        </w:rPr>
      </w:pPr>
      <w:r>
        <w:rPr>
          <w:rFonts w:hint="eastAsia" w:eastAsia="黑体"/>
        </w:rPr>
        <w:t>二、主要检验项目及检验项目属性划分</w:t>
      </w:r>
    </w:p>
    <w:tbl>
      <w:tblPr>
        <w:tblStyle w:val="6"/>
        <w:tblW w:w="4998" w:type="pct"/>
        <w:jc w:val="right"/>
        <w:tblLayout w:type="autofit"/>
        <w:tblCellMar>
          <w:top w:w="0" w:type="dxa"/>
          <w:left w:w="108" w:type="dxa"/>
          <w:bottom w:w="0" w:type="dxa"/>
          <w:right w:w="108" w:type="dxa"/>
        </w:tblCellMar>
      </w:tblPr>
      <w:tblGrid>
        <w:gridCol w:w="874"/>
        <w:gridCol w:w="1993"/>
        <w:gridCol w:w="2402"/>
        <w:gridCol w:w="669"/>
        <w:gridCol w:w="693"/>
        <w:gridCol w:w="845"/>
        <w:gridCol w:w="789"/>
        <w:gridCol w:w="792"/>
      </w:tblGrid>
      <w:tr>
        <w:tblPrEx>
          <w:tblCellMar>
            <w:top w:w="0" w:type="dxa"/>
            <w:left w:w="108" w:type="dxa"/>
            <w:bottom w:w="0" w:type="dxa"/>
            <w:right w:w="108" w:type="dxa"/>
          </w:tblCellMar>
        </w:tblPrEx>
        <w:trPr>
          <w:trHeight w:val="510" w:hRule="atLeast"/>
          <w:jc w:val="right"/>
        </w:trPr>
        <w:tc>
          <w:tcPr>
            <w:tcW w:w="4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序号</w:t>
            </w:r>
          </w:p>
        </w:tc>
        <w:tc>
          <w:tcPr>
            <w:tcW w:w="1099"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检验项目</w:t>
            </w:r>
          </w:p>
        </w:tc>
        <w:tc>
          <w:tcPr>
            <w:tcW w:w="132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检验方法</w:t>
            </w:r>
          </w:p>
        </w:tc>
        <w:tc>
          <w:tcPr>
            <w:tcW w:w="3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强制性</w:t>
            </w:r>
          </w:p>
        </w:tc>
        <w:tc>
          <w:tcPr>
            <w:tcW w:w="3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非强制性</w:t>
            </w:r>
          </w:p>
        </w:tc>
        <w:tc>
          <w:tcPr>
            <w:tcW w:w="4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重要项</w:t>
            </w:r>
          </w:p>
        </w:tc>
        <w:tc>
          <w:tcPr>
            <w:tcW w:w="4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较重要项</w:t>
            </w:r>
          </w:p>
        </w:tc>
        <w:tc>
          <w:tcPr>
            <w:tcW w:w="43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次要项</w:t>
            </w:r>
          </w:p>
        </w:tc>
      </w:tr>
      <w:tr>
        <w:tblPrEx>
          <w:tblCellMar>
            <w:top w:w="0" w:type="dxa"/>
            <w:left w:w="108" w:type="dxa"/>
            <w:bottom w:w="0" w:type="dxa"/>
            <w:right w:w="108" w:type="dxa"/>
          </w:tblCellMar>
        </w:tblPrEx>
        <w:trPr>
          <w:trHeight w:val="510" w:hRule="atLeast"/>
          <w:jc w:val="right"/>
        </w:trPr>
        <w:tc>
          <w:tcPr>
            <w:tcW w:w="4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1"/>
              </w:numPr>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p>
        </w:tc>
        <w:tc>
          <w:tcPr>
            <w:tcW w:w="1099"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硫含量</w:t>
            </w:r>
          </w:p>
        </w:tc>
        <w:tc>
          <w:tcPr>
            <w:tcW w:w="132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SH/T 0689-2000</w:t>
            </w:r>
          </w:p>
        </w:tc>
        <w:tc>
          <w:tcPr>
            <w:tcW w:w="3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3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r>
      <w:tr>
        <w:tblPrEx>
          <w:tblCellMar>
            <w:top w:w="0" w:type="dxa"/>
            <w:left w:w="108" w:type="dxa"/>
            <w:bottom w:w="0" w:type="dxa"/>
            <w:right w:w="108" w:type="dxa"/>
          </w:tblCellMar>
        </w:tblPrEx>
        <w:trPr>
          <w:trHeight w:val="510" w:hRule="atLeast"/>
          <w:jc w:val="right"/>
        </w:trPr>
        <w:tc>
          <w:tcPr>
            <w:tcW w:w="4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1"/>
              </w:numPr>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p>
        </w:tc>
        <w:tc>
          <w:tcPr>
            <w:tcW w:w="1099"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酸度</w:t>
            </w:r>
          </w:p>
        </w:tc>
        <w:tc>
          <w:tcPr>
            <w:tcW w:w="132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GB/T 258-2016</w:t>
            </w:r>
          </w:p>
        </w:tc>
        <w:tc>
          <w:tcPr>
            <w:tcW w:w="3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3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r>
      <w:tr>
        <w:tblPrEx>
          <w:tblCellMar>
            <w:top w:w="0" w:type="dxa"/>
            <w:left w:w="108" w:type="dxa"/>
            <w:bottom w:w="0" w:type="dxa"/>
            <w:right w:w="108" w:type="dxa"/>
          </w:tblCellMar>
        </w:tblPrEx>
        <w:trPr>
          <w:trHeight w:val="510" w:hRule="atLeast"/>
          <w:jc w:val="right"/>
        </w:trPr>
        <w:tc>
          <w:tcPr>
            <w:tcW w:w="4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1"/>
              </w:numPr>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p>
        </w:tc>
        <w:tc>
          <w:tcPr>
            <w:tcW w:w="1099"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10%蒸余物残炭</w:t>
            </w:r>
          </w:p>
        </w:tc>
        <w:tc>
          <w:tcPr>
            <w:tcW w:w="132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GB/T 17144-2021</w:t>
            </w:r>
          </w:p>
        </w:tc>
        <w:tc>
          <w:tcPr>
            <w:tcW w:w="3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3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r>
      <w:tr>
        <w:tblPrEx>
          <w:tblCellMar>
            <w:top w:w="0" w:type="dxa"/>
            <w:left w:w="108" w:type="dxa"/>
            <w:bottom w:w="0" w:type="dxa"/>
            <w:right w:w="108" w:type="dxa"/>
          </w:tblCellMar>
        </w:tblPrEx>
        <w:trPr>
          <w:trHeight w:val="510" w:hRule="atLeast"/>
          <w:jc w:val="right"/>
        </w:trPr>
        <w:tc>
          <w:tcPr>
            <w:tcW w:w="4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1"/>
              </w:numPr>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p>
        </w:tc>
        <w:tc>
          <w:tcPr>
            <w:tcW w:w="1099"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灰分</w:t>
            </w:r>
          </w:p>
        </w:tc>
        <w:tc>
          <w:tcPr>
            <w:tcW w:w="132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GB/T 508-1985</w:t>
            </w:r>
          </w:p>
        </w:tc>
        <w:tc>
          <w:tcPr>
            <w:tcW w:w="3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3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r>
      <w:tr>
        <w:tblPrEx>
          <w:tblCellMar>
            <w:top w:w="0" w:type="dxa"/>
            <w:left w:w="108" w:type="dxa"/>
            <w:bottom w:w="0" w:type="dxa"/>
            <w:right w:w="108" w:type="dxa"/>
          </w:tblCellMar>
        </w:tblPrEx>
        <w:trPr>
          <w:trHeight w:val="510" w:hRule="atLeast"/>
          <w:jc w:val="right"/>
        </w:trPr>
        <w:tc>
          <w:tcPr>
            <w:tcW w:w="4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1"/>
              </w:numPr>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p>
        </w:tc>
        <w:tc>
          <w:tcPr>
            <w:tcW w:w="1099"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铜片腐蚀</w:t>
            </w:r>
          </w:p>
        </w:tc>
        <w:tc>
          <w:tcPr>
            <w:tcW w:w="132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GB/T 5096-2017</w:t>
            </w:r>
          </w:p>
        </w:tc>
        <w:tc>
          <w:tcPr>
            <w:tcW w:w="3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3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r>
      <w:tr>
        <w:tblPrEx>
          <w:tblCellMar>
            <w:top w:w="0" w:type="dxa"/>
            <w:left w:w="108" w:type="dxa"/>
            <w:bottom w:w="0" w:type="dxa"/>
            <w:right w:w="108" w:type="dxa"/>
          </w:tblCellMar>
        </w:tblPrEx>
        <w:trPr>
          <w:trHeight w:val="510" w:hRule="atLeast"/>
          <w:jc w:val="right"/>
        </w:trPr>
        <w:tc>
          <w:tcPr>
            <w:tcW w:w="4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1"/>
              </w:numPr>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p>
        </w:tc>
        <w:tc>
          <w:tcPr>
            <w:tcW w:w="1099"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水含量</w:t>
            </w:r>
          </w:p>
        </w:tc>
        <w:tc>
          <w:tcPr>
            <w:tcW w:w="132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GB/T 260-2016</w:t>
            </w:r>
          </w:p>
        </w:tc>
        <w:tc>
          <w:tcPr>
            <w:tcW w:w="3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3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r>
      <w:tr>
        <w:tblPrEx>
          <w:tblCellMar>
            <w:top w:w="0" w:type="dxa"/>
            <w:left w:w="108" w:type="dxa"/>
            <w:bottom w:w="0" w:type="dxa"/>
            <w:right w:w="108" w:type="dxa"/>
          </w:tblCellMar>
        </w:tblPrEx>
        <w:trPr>
          <w:trHeight w:val="510" w:hRule="atLeast"/>
          <w:jc w:val="right"/>
        </w:trPr>
        <w:tc>
          <w:tcPr>
            <w:tcW w:w="4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1"/>
              </w:numPr>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p>
        </w:tc>
        <w:tc>
          <w:tcPr>
            <w:tcW w:w="1099"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润滑性</w:t>
            </w:r>
          </w:p>
        </w:tc>
        <w:tc>
          <w:tcPr>
            <w:tcW w:w="132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NB/SH/T 0765-2022</w:t>
            </w:r>
          </w:p>
        </w:tc>
        <w:tc>
          <w:tcPr>
            <w:tcW w:w="3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3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r>
      <w:tr>
        <w:tblPrEx>
          <w:tblCellMar>
            <w:top w:w="0" w:type="dxa"/>
            <w:left w:w="108" w:type="dxa"/>
            <w:bottom w:w="0" w:type="dxa"/>
            <w:right w:w="108" w:type="dxa"/>
          </w:tblCellMar>
        </w:tblPrEx>
        <w:trPr>
          <w:trHeight w:val="510" w:hRule="atLeast"/>
          <w:jc w:val="right"/>
        </w:trPr>
        <w:tc>
          <w:tcPr>
            <w:tcW w:w="4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1"/>
              </w:numPr>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p>
        </w:tc>
        <w:tc>
          <w:tcPr>
            <w:tcW w:w="1099"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多环芳烃含量</w:t>
            </w:r>
          </w:p>
        </w:tc>
        <w:tc>
          <w:tcPr>
            <w:tcW w:w="132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NB/SH/T 0606-2019</w:t>
            </w:r>
          </w:p>
        </w:tc>
        <w:tc>
          <w:tcPr>
            <w:tcW w:w="3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3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r>
      <w:tr>
        <w:tblPrEx>
          <w:tblCellMar>
            <w:top w:w="0" w:type="dxa"/>
            <w:left w:w="108" w:type="dxa"/>
            <w:bottom w:w="0" w:type="dxa"/>
            <w:right w:w="108" w:type="dxa"/>
          </w:tblCellMar>
        </w:tblPrEx>
        <w:trPr>
          <w:trHeight w:val="510" w:hRule="atLeast"/>
          <w:jc w:val="right"/>
        </w:trPr>
        <w:tc>
          <w:tcPr>
            <w:tcW w:w="4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1"/>
              </w:numPr>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p>
        </w:tc>
        <w:tc>
          <w:tcPr>
            <w:tcW w:w="1099"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运动黏度</w:t>
            </w:r>
          </w:p>
        </w:tc>
        <w:tc>
          <w:tcPr>
            <w:tcW w:w="132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GB/T 265-1988</w:t>
            </w:r>
          </w:p>
        </w:tc>
        <w:tc>
          <w:tcPr>
            <w:tcW w:w="3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3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r>
      <w:tr>
        <w:tblPrEx>
          <w:tblCellMar>
            <w:top w:w="0" w:type="dxa"/>
            <w:left w:w="108" w:type="dxa"/>
            <w:bottom w:w="0" w:type="dxa"/>
            <w:right w:w="108" w:type="dxa"/>
          </w:tblCellMar>
        </w:tblPrEx>
        <w:trPr>
          <w:trHeight w:val="510" w:hRule="atLeast"/>
          <w:jc w:val="right"/>
        </w:trPr>
        <w:tc>
          <w:tcPr>
            <w:tcW w:w="4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1"/>
              </w:numPr>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p>
        </w:tc>
        <w:tc>
          <w:tcPr>
            <w:tcW w:w="1099"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凝点</w:t>
            </w:r>
          </w:p>
        </w:tc>
        <w:tc>
          <w:tcPr>
            <w:tcW w:w="132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GB/T 510-2018</w:t>
            </w:r>
          </w:p>
        </w:tc>
        <w:tc>
          <w:tcPr>
            <w:tcW w:w="3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3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r>
      <w:tr>
        <w:tblPrEx>
          <w:tblCellMar>
            <w:top w:w="0" w:type="dxa"/>
            <w:left w:w="108" w:type="dxa"/>
            <w:bottom w:w="0" w:type="dxa"/>
            <w:right w:w="108" w:type="dxa"/>
          </w:tblCellMar>
        </w:tblPrEx>
        <w:trPr>
          <w:trHeight w:val="510" w:hRule="atLeast"/>
          <w:jc w:val="right"/>
        </w:trPr>
        <w:tc>
          <w:tcPr>
            <w:tcW w:w="4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1"/>
              </w:numPr>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p>
        </w:tc>
        <w:tc>
          <w:tcPr>
            <w:tcW w:w="1099"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冷滤点</w:t>
            </w:r>
          </w:p>
        </w:tc>
        <w:tc>
          <w:tcPr>
            <w:tcW w:w="132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NB/SH/T 0248-2019</w:t>
            </w:r>
          </w:p>
        </w:tc>
        <w:tc>
          <w:tcPr>
            <w:tcW w:w="3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3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r>
      <w:tr>
        <w:tblPrEx>
          <w:tblCellMar>
            <w:top w:w="0" w:type="dxa"/>
            <w:left w:w="108" w:type="dxa"/>
            <w:bottom w:w="0" w:type="dxa"/>
            <w:right w:w="108" w:type="dxa"/>
          </w:tblCellMar>
        </w:tblPrEx>
        <w:trPr>
          <w:trHeight w:val="510" w:hRule="atLeast"/>
          <w:jc w:val="right"/>
        </w:trPr>
        <w:tc>
          <w:tcPr>
            <w:tcW w:w="4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1"/>
              </w:numPr>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p>
        </w:tc>
        <w:tc>
          <w:tcPr>
            <w:tcW w:w="1099"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闪点（闭口）</w:t>
            </w:r>
          </w:p>
        </w:tc>
        <w:tc>
          <w:tcPr>
            <w:tcW w:w="132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GB/T 261-2021</w:t>
            </w:r>
          </w:p>
        </w:tc>
        <w:tc>
          <w:tcPr>
            <w:tcW w:w="3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3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r>
      <w:tr>
        <w:tblPrEx>
          <w:tblCellMar>
            <w:top w:w="0" w:type="dxa"/>
            <w:left w:w="108" w:type="dxa"/>
            <w:bottom w:w="0" w:type="dxa"/>
            <w:right w:w="108" w:type="dxa"/>
          </w:tblCellMar>
        </w:tblPrEx>
        <w:trPr>
          <w:trHeight w:val="510" w:hRule="atLeast"/>
          <w:jc w:val="right"/>
        </w:trPr>
        <w:tc>
          <w:tcPr>
            <w:tcW w:w="4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1"/>
              </w:numPr>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p>
        </w:tc>
        <w:tc>
          <w:tcPr>
            <w:tcW w:w="1099"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十六烷指数</w:t>
            </w:r>
          </w:p>
        </w:tc>
        <w:tc>
          <w:tcPr>
            <w:tcW w:w="132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SH/T 0694-2000</w:t>
            </w:r>
          </w:p>
        </w:tc>
        <w:tc>
          <w:tcPr>
            <w:tcW w:w="3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3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r>
      <w:tr>
        <w:tblPrEx>
          <w:tblCellMar>
            <w:top w:w="0" w:type="dxa"/>
            <w:left w:w="108" w:type="dxa"/>
            <w:bottom w:w="0" w:type="dxa"/>
            <w:right w:w="108" w:type="dxa"/>
          </w:tblCellMar>
        </w:tblPrEx>
        <w:trPr>
          <w:trHeight w:val="510" w:hRule="atLeast"/>
          <w:jc w:val="right"/>
        </w:trPr>
        <w:tc>
          <w:tcPr>
            <w:tcW w:w="4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1"/>
              </w:numPr>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p>
        </w:tc>
        <w:tc>
          <w:tcPr>
            <w:tcW w:w="1099"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馏程</w:t>
            </w:r>
          </w:p>
        </w:tc>
        <w:tc>
          <w:tcPr>
            <w:tcW w:w="132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GB/T 6536-2010</w:t>
            </w:r>
          </w:p>
        </w:tc>
        <w:tc>
          <w:tcPr>
            <w:tcW w:w="3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3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r>
      <w:tr>
        <w:tblPrEx>
          <w:tblCellMar>
            <w:top w:w="0" w:type="dxa"/>
            <w:left w:w="108" w:type="dxa"/>
            <w:bottom w:w="0" w:type="dxa"/>
            <w:right w:w="108" w:type="dxa"/>
          </w:tblCellMar>
        </w:tblPrEx>
        <w:trPr>
          <w:trHeight w:val="510" w:hRule="atLeast"/>
          <w:jc w:val="right"/>
        </w:trPr>
        <w:tc>
          <w:tcPr>
            <w:tcW w:w="4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1"/>
              </w:numPr>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p>
        </w:tc>
        <w:tc>
          <w:tcPr>
            <w:tcW w:w="1099"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密度</w:t>
            </w:r>
          </w:p>
        </w:tc>
        <w:tc>
          <w:tcPr>
            <w:tcW w:w="132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GB/T 1884-2000</w:t>
            </w:r>
          </w:p>
        </w:tc>
        <w:tc>
          <w:tcPr>
            <w:tcW w:w="3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3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r>
      <w:tr>
        <w:tblPrEx>
          <w:tblCellMar>
            <w:top w:w="0" w:type="dxa"/>
            <w:left w:w="108" w:type="dxa"/>
            <w:bottom w:w="0" w:type="dxa"/>
            <w:right w:w="108" w:type="dxa"/>
          </w:tblCellMar>
        </w:tblPrEx>
        <w:trPr>
          <w:trHeight w:val="510" w:hRule="atLeast"/>
          <w:jc w:val="right"/>
        </w:trPr>
        <w:tc>
          <w:tcPr>
            <w:tcW w:w="4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1"/>
              </w:numPr>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p>
        </w:tc>
        <w:tc>
          <w:tcPr>
            <w:tcW w:w="1099"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脂肪酸甲酯含量</w:t>
            </w:r>
          </w:p>
        </w:tc>
        <w:tc>
          <w:tcPr>
            <w:tcW w:w="132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GB/T 23801-2021</w:t>
            </w:r>
          </w:p>
        </w:tc>
        <w:tc>
          <w:tcPr>
            <w:tcW w:w="3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3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r>
      <w:tr>
        <w:tblPrEx>
          <w:tblCellMar>
            <w:top w:w="0" w:type="dxa"/>
            <w:left w:w="108" w:type="dxa"/>
            <w:bottom w:w="0" w:type="dxa"/>
            <w:right w:w="108" w:type="dxa"/>
          </w:tblCellMar>
        </w:tblPrEx>
        <w:trPr>
          <w:trHeight w:val="510" w:hRule="atLeast"/>
          <w:jc w:val="right"/>
        </w:trPr>
        <w:tc>
          <w:tcPr>
            <w:tcW w:w="4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1"/>
              </w:numPr>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p>
        </w:tc>
        <w:tc>
          <w:tcPr>
            <w:tcW w:w="1099"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总污染物含量</w:t>
            </w:r>
          </w:p>
        </w:tc>
        <w:tc>
          <w:tcPr>
            <w:tcW w:w="132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GB/T 33400-2016</w:t>
            </w:r>
          </w:p>
        </w:tc>
        <w:tc>
          <w:tcPr>
            <w:tcW w:w="3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8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c>
          <w:tcPr>
            <w:tcW w:w="4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3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rPr>
            </w:pPr>
          </w:p>
        </w:tc>
      </w:tr>
    </w:tbl>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eastAsia="黑体"/>
        </w:rPr>
      </w:pPr>
      <w:r>
        <w:rPr>
          <w:rFonts w:hint="eastAsia" w:eastAsia="黑体"/>
        </w:rPr>
        <w:t>三、判定规则</w:t>
      </w:r>
    </w:p>
    <w:p>
      <w:pPr>
        <w:keepNext w:val="0"/>
        <w:keepLines w:val="0"/>
        <w:pageBreakBefore w:val="0"/>
        <w:widowControl w:val="0"/>
        <w:kinsoku/>
        <w:wordWrap/>
        <w:overflowPunct/>
        <w:topLinePunct w:val="0"/>
        <w:bidi w:val="0"/>
        <w:adjustRightInd/>
        <w:snapToGrid/>
        <w:spacing w:line="580" w:lineRule="exact"/>
        <w:ind w:firstLine="640" w:firstLineChars="200"/>
        <w:jc w:val="left"/>
        <w:textAlignment w:val="auto"/>
        <w:rPr>
          <w:rFonts w:hint="eastAsia" w:ascii="楷体_GB2312" w:hAnsi="楷体_GB2312" w:eastAsia="楷体_GB2312" w:cs="楷体_GB2312"/>
        </w:rPr>
      </w:pPr>
      <w:r>
        <w:rPr>
          <w:rFonts w:hint="eastAsia" w:ascii="楷体_GB2312" w:hAnsi="楷体_GB2312" w:eastAsia="楷体_GB2312" w:cs="楷体_GB2312"/>
        </w:rPr>
        <w:t>（一）依据标准</w:t>
      </w:r>
    </w:p>
    <w:p>
      <w:pPr>
        <w:keepNext w:val="0"/>
        <w:keepLines w:val="0"/>
        <w:pageBreakBefore w:val="0"/>
        <w:widowControl w:val="0"/>
        <w:kinsoku/>
        <w:wordWrap/>
        <w:overflowPunct/>
        <w:topLinePunct w:val="0"/>
        <w:bidi w:val="0"/>
        <w:adjustRightInd/>
        <w:snapToGrid/>
        <w:spacing w:line="580" w:lineRule="exact"/>
        <w:ind w:firstLine="640" w:firstLineChars="200"/>
        <w:jc w:val="left"/>
        <w:textAlignment w:val="auto"/>
        <w:rPr>
          <w:rFonts w:hint="eastAsia" w:ascii="仿宋" w:hAnsi="仿宋" w:eastAsia="仿宋" w:cs="仿宋"/>
        </w:rPr>
      </w:pPr>
      <w:r>
        <w:rPr>
          <w:rFonts w:hint="eastAsia" w:ascii="仿宋" w:hAnsi="仿宋" w:eastAsia="仿宋" w:cs="仿宋"/>
        </w:rPr>
        <w:t>GB 19147-2016《车用柴油》</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相关的法律法规、部门规章和规范、现行有效的企业标准、团体标准、地方标准及产品明示质量要求。</w:t>
      </w:r>
    </w:p>
    <w:p>
      <w:pPr>
        <w:keepNext w:val="0"/>
        <w:keepLines w:val="0"/>
        <w:pageBreakBefore w:val="0"/>
        <w:widowControl w:val="0"/>
        <w:kinsoku/>
        <w:wordWrap/>
        <w:overflowPunct/>
        <w:topLinePunct w:val="0"/>
        <w:bidi w:val="0"/>
        <w:adjustRightInd/>
        <w:snapToGrid/>
        <w:spacing w:line="580" w:lineRule="exact"/>
        <w:ind w:firstLine="640" w:firstLineChars="200"/>
        <w:jc w:val="left"/>
        <w:textAlignment w:val="auto"/>
        <w:rPr>
          <w:rFonts w:hint="eastAsia" w:ascii="楷体_GB2312" w:hAnsi="楷体_GB2312" w:eastAsia="楷体_GB2312" w:cs="楷体_GB2312"/>
        </w:rPr>
      </w:pPr>
      <w:r>
        <w:rPr>
          <w:rFonts w:hint="eastAsia" w:ascii="楷体_GB2312" w:hAnsi="楷体_GB2312" w:eastAsia="楷体_GB2312" w:cs="楷体_GB2312"/>
        </w:rPr>
        <w:t>（二）判定原则</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经检验，检验项目全部合格，判定为被抽查产品合格；检验项目中任一项或一项以上不合格，判定为被抽查产品不合格。</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当被检产品明示的质量要求高于本细则中检验项目依据的标准要求时，应按被检产品明示的质量要求判定。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当被检产品明示的质量要求低于本细则中检验项目依据的强制性标准要求时，应按照强制性标准要求判定。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当被检产品明示的质量要求缺少本细则中检验项目依据的强制性标准</w:t>
      </w:r>
      <w:bookmarkStart w:id="0" w:name="_GoBack"/>
      <w:bookmarkEnd w:id="0"/>
      <w:r>
        <w:rPr>
          <w:rFonts w:hint="eastAsia" w:ascii="仿宋" w:hAnsi="仿宋" w:eastAsia="仿宋" w:cs="仿宋"/>
          <w:kern w:val="0"/>
        </w:rPr>
        <w:t>要求时，应按照强制性标准要求判定。</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当被检样品未能提供有效的企业标准时，按相关国家或行业标准进行判定。</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当被检样品标签标识中执行标准信息和产品类别信息不明或有误，影响检测和判定时，可根据产品特点等信息判断和选择相关标准进行检验，并应在检验报告中作出相关说明。</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按照产品质量相关法律法规的规定判定。</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检验中发现因样品失效或者其他原因致使检验无法进行的，检验人员应如实记录，并提供相关证明材料，报送组织监督抽查的市场监管部门。</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E9569B"/>
    <w:multiLevelType w:val="multilevel"/>
    <w:tmpl w:val="7CE9569B"/>
    <w:lvl w:ilvl="0" w:tentative="0">
      <w:start w:val="1"/>
      <w:numFmt w:val="decimal"/>
      <w:lvlText w:val="%1"/>
      <w:lvlJc w:val="center"/>
      <w:pPr>
        <w:ind w:left="420" w:hanging="132"/>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094"/>
    <w:rsid w:val="00036BC7"/>
    <w:rsid w:val="00045C20"/>
    <w:rsid w:val="0005045D"/>
    <w:rsid w:val="00063BD5"/>
    <w:rsid w:val="00092ABD"/>
    <w:rsid w:val="00116270"/>
    <w:rsid w:val="00120EFB"/>
    <w:rsid w:val="001221DB"/>
    <w:rsid w:val="00192BBD"/>
    <w:rsid w:val="001D0EAC"/>
    <w:rsid w:val="001F5DD4"/>
    <w:rsid w:val="00201CDD"/>
    <w:rsid w:val="00223348"/>
    <w:rsid w:val="00250DFA"/>
    <w:rsid w:val="002923B9"/>
    <w:rsid w:val="00294579"/>
    <w:rsid w:val="003042B1"/>
    <w:rsid w:val="00310C73"/>
    <w:rsid w:val="00333B62"/>
    <w:rsid w:val="0039338B"/>
    <w:rsid w:val="004015F5"/>
    <w:rsid w:val="00441A40"/>
    <w:rsid w:val="00441D0E"/>
    <w:rsid w:val="00467558"/>
    <w:rsid w:val="004757C1"/>
    <w:rsid w:val="004A5090"/>
    <w:rsid w:val="004B2573"/>
    <w:rsid w:val="004D7439"/>
    <w:rsid w:val="00544BE4"/>
    <w:rsid w:val="005923AA"/>
    <w:rsid w:val="005924E9"/>
    <w:rsid w:val="00592C01"/>
    <w:rsid w:val="005A0994"/>
    <w:rsid w:val="006238A1"/>
    <w:rsid w:val="00624315"/>
    <w:rsid w:val="00652531"/>
    <w:rsid w:val="00695250"/>
    <w:rsid w:val="006B1D22"/>
    <w:rsid w:val="006D07E0"/>
    <w:rsid w:val="006D4F7A"/>
    <w:rsid w:val="006D505E"/>
    <w:rsid w:val="006E20D4"/>
    <w:rsid w:val="006F4E7D"/>
    <w:rsid w:val="00732793"/>
    <w:rsid w:val="00735F9B"/>
    <w:rsid w:val="0074286E"/>
    <w:rsid w:val="00752F93"/>
    <w:rsid w:val="0075545D"/>
    <w:rsid w:val="007914F7"/>
    <w:rsid w:val="007A0EE2"/>
    <w:rsid w:val="007A10C3"/>
    <w:rsid w:val="007B0EC6"/>
    <w:rsid w:val="007F204B"/>
    <w:rsid w:val="008265CD"/>
    <w:rsid w:val="00841ED0"/>
    <w:rsid w:val="00895950"/>
    <w:rsid w:val="008C102E"/>
    <w:rsid w:val="008C280B"/>
    <w:rsid w:val="008F74C7"/>
    <w:rsid w:val="00926BC7"/>
    <w:rsid w:val="009F07C3"/>
    <w:rsid w:val="00A02A33"/>
    <w:rsid w:val="00A40122"/>
    <w:rsid w:val="00A56B46"/>
    <w:rsid w:val="00A66D10"/>
    <w:rsid w:val="00A97411"/>
    <w:rsid w:val="00AC1C38"/>
    <w:rsid w:val="00B25DB1"/>
    <w:rsid w:val="00B7736F"/>
    <w:rsid w:val="00BA2151"/>
    <w:rsid w:val="00BA664E"/>
    <w:rsid w:val="00BB0486"/>
    <w:rsid w:val="00BB0B4C"/>
    <w:rsid w:val="00BC667E"/>
    <w:rsid w:val="00BD50D2"/>
    <w:rsid w:val="00C070D8"/>
    <w:rsid w:val="00C17D35"/>
    <w:rsid w:val="00C4082C"/>
    <w:rsid w:val="00C450FD"/>
    <w:rsid w:val="00C512B6"/>
    <w:rsid w:val="00CC19A7"/>
    <w:rsid w:val="00D1464E"/>
    <w:rsid w:val="00D224DD"/>
    <w:rsid w:val="00D357A6"/>
    <w:rsid w:val="00D554F8"/>
    <w:rsid w:val="00D629E1"/>
    <w:rsid w:val="00DC058E"/>
    <w:rsid w:val="00DE1180"/>
    <w:rsid w:val="00E54840"/>
    <w:rsid w:val="00E56737"/>
    <w:rsid w:val="00E61CE3"/>
    <w:rsid w:val="00E72969"/>
    <w:rsid w:val="00E86D1B"/>
    <w:rsid w:val="00E94DFB"/>
    <w:rsid w:val="00E9624B"/>
    <w:rsid w:val="00E977EC"/>
    <w:rsid w:val="00EC3EBE"/>
    <w:rsid w:val="00EE24A1"/>
    <w:rsid w:val="00EE31D6"/>
    <w:rsid w:val="00F1323C"/>
    <w:rsid w:val="00F5376E"/>
    <w:rsid w:val="00F60942"/>
    <w:rsid w:val="00F8007C"/>
    <w:rsid w:val="00FA7094"/>
    <w:rsid w:val="00FA791E"/>
    <w:rsid w:val="00FB22F7"/>
    <w:rsid w:val="00FC173D"/>
    <w:rsid w:val="00FC3578"/>
    <w:rsid w:val="00FE6536"/>
    <w:rsid w:val="2B5B58EC"/>
    <w:rsid w:val="5BEB6052"/>
    <w:rsid w:val="729D3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32"/>
      <w:szCs w:val="32"/>
      <w:lang w:val="en-US" w:eastAsia="zh-CN" w:bidi="ar-SA"/>
    </w:rPr>
  </w:style>
  <w:style w:type="paragraph" w:styleId="2">
    <w:name w:val="heading 1"/>
    <w:basedOn w:val="1"/>
    <w:next w:val="1"/>
    <w:link w:val="9"/>
    <w:qFormat/>
    <w:uiPriority w:val="0"/>
    <w:pPr>
      <w:jc w:val="center"/>
      <w:outlineLvl w:val="0"/>
    </w:pPr>
    <w:rPr>
      <w:rFonts w:ascii="方正小标宋简体" w:eastAsia="方正小标宋简体"/>
      <w:kern w:val="44"/>
      <w:sz w:val="38"/>
      <w:szCs w:val="24"/>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0"/>
    <w:unhideWhenUsed/>
    <w:qFormat/>
    <w:uiPriority w:val="0"/>
    <w:rPr>
      <w:rFonts w:ascii="宋体" w:hAnsi="Courier New" w:eastAsia="宋体" w:cs="Courier New"/>
      <w:sz w:val="21"/>
      <w:szCs w:val="21"/>
    </w:rPr>
  </w:style>
  <w:style w:type="paragraph" w:styleId="4">
    <w:name w:val="footer"/>
    <w:basedOn w:val="1"/>
    <w:link w:val="15"/>
    <w:uiPriority w:val="0"/>
    <w:pPr>
      <w:tabs>
        <w:tab w:val="center" w:pos="4153"/>
        <w:tab w:val="right" w:pos="8306"/>
      </w:tabs>
      <w:snapToGrid w:val="0"/>
      <w:jc w:val="left"/>
    </w:pPr>
    <w:rPr>
      <w:rFonts w:eastAsia="仿宋_GB2312"/>
      <w:sz w:val="18"/>
      <w:szCs w:val="18"/>
    </w:rPr>
  </w:style>
  <w:style w:type="paragraph" w:styleId="5">
    <w:name w:val="header"/>
    <w:basedOn w:val="1"/>
    <w:link w:val="14"/>
    <w:uiPriority w:val="0"/>
    <w:pPr>
      <w:pBdr>
        <w:bottom w:val="single" w:color="auto" w:sz="6" w:space="1"/>
      </w:pBdr>
      <w:tabs>
        <w:tab w:val="center" w:pos="4153"/>
        <w:tab w:val="right" w:pos="8306"/>
      </w:tabs>
      <w:snapToGrid w:val="0"/>
      <w:jc w:val="center"/>
    </w:pPr>
    <w:rPr>
      <w:rFonts w:eastAsia="仿宋_GB2312"/>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标题 1 Char"/>
    <w:basedOn w:val="8"/>
    <w:link w:val="2"/>
    <w:qFormat/>
    <w:uiPriority w:val="0"/>
    <w:rPr>
      <w:rFonts w:ascii="方正小标宋简体" w:eastAsia="方正小标宋简体"/>
      <w:kern w:val="44"/>
      <w:sz w:val="38"/>
      <w:szCs w:val="24"/>
    </w:rPr>
  </w:style>
  <w:style w:type="character" w:customStyle="1" w:styleId="10">
    <w:name w:val="纯文本 Char"/>
    <w:basedOn w:val="8"/>
    <w:link w:val="3"/>
    <w:uiPriority w:val="0"/>
    <w:rPr>
      <w:rFonts w:ascii="宋体" w:hAnsi="Courier New" w:cs="Courier New"/>
      <w:kern w:val="2"/>
      <w:sz w:val="21"/>
      <w:szCs w:val="21"/>
    </w:rPr>
  </w:style>
  <w:style w:type="table" w:customStyle="1" w:styleId="11">
    <w:name w:val="网格型1"/>
    <w:basedOn w:val="6"/>
    <w:unhideWhenUsed/>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_Style 14"/>
    <w:basedOn w:val="1"/>
    <w:qFormat/>
    <w:uiPriority w:val="34"/>
    <w:pPr>
      <w:ind w:firstLine="420" w:firstLineChars="200"/>
    </w:pPr>
    <w:rPr>
      <w:rFonts w:eastAsia="仿宋_GB2312"/>
      <w:sz w:val="30"/>
      <w:szCs w:val="24"/>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4">
    <w:name w:val="页眉 Char"/>
    <w:basedOn w:val="8"/>
    <w:link w:val="5"/>
    <w:qFormat/>
    <w:uiPriority w:val="0"/>
    <w:rPr>
      <w:rFonts w:eastAsia="仿宋_GB2312"/>
      <w:kern w:val="2"/>
      <w:sz w:val="18"/>
      <w:szCs w:val="18"/>
    </w:rPr>
  </w:style>
  <w:style w:type="character" w:customStyle="1" w:styleId="15">
    <w:name w:val="页脚 Char"/>
    <w:basedOn w:val="8"/>
    <w:link w:val="4"/>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231</Words>
  <Characters>1317</Characters>
  <Lines>10</Lines>
  <Paragraphs>3</Paragraphs>
  <TotalTime>77</TotalTime>
  <ScaleCrop>false</ScaleCrop>
  <LinksUpToDate>false</LinksUpToDate>
  <CharactersWithSpaces>1545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2022-01-17T15:49:00Z</dcterms:created>
  <dc:creator>范士平</dc:creator>
  <cp:lastModifiedBy>刘赞</cp:lastModifiedBy>
  <dcterms:modified xsi:type="dcterms:W3CDTF">2023-05-10T09:30:17Z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6CB3D613DCBF42CE8204F9C4BE2BC004</vt:lpwstr>
  </property>
</Properties>
</file>