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eastAsia="方正小标宋简体"/>
          <w:color w:val="000000"/>
          <w:kern w:val="0"/>
          <w:sz w:val="44"/>
          <w:szCs w:val="44"/>
        </w:rPr>
      </w:pPr>
      <w:r>
        <w:rPr>
          <w:rFonts w:hint="eastAsia" w:eastAsia="方正小标宋简体"/>
          <w:color w:val="000000"/>
          <w:kern w:val="0"/>
          <w:sz w:val="44"/>
          <w:szCs w:val="44"/>
        </w:rPr>
        <w:t>珠海市</w:t>
      </w:r>
      <w:r>
        <w:rPr>
          <w:rFonts w:eastAsia="方正小标宋简体"/>
          <w:color w:val="000000"/>
          <w:kern w:val="0"/>
          <w:sz w:val="44"/>
          <w:szCs w:val="44"/>
        </w:rPr>
        <w:t>危险化学品包装物产品质量监督抽查</w:t>
      </w:r>
    </w:p>
    <w:p>
      <w:pPr>
        <w:adjustRightInd w:val="0"/>
        <w:snapToGrid w:val="0"/>
        <w:spacing w:line="600" w:lineRule="exact"/>
        <w:jc w:val="center"/>
        <w:rPr>
          <w:rFonts w:eastAsia="方正小标宋简体"/>
          <w:bCs/>
          <w:color w:val="000000"/>
          <w:sz w:val="44"/>
          <w:szCs w:val="44"/>
        </w:rPr>
      </w:pPr>
      <w:r>
        <w:rPr>
          <w:rFonts w:eastAsia="方正小标宋简体"/>
          <w:color w:val="000000"/>
          <w:kern w:val="0"/>
          <w:sz w:val="44"/>
          <w:szCs w:val="44"/>
        </w:rPr>
        <w:t>实施</w:t>
      </w:r>
      <w:r>
        <w:rPr>
          <w:rFonts w:hint="eastAsia" w:eastAsia="方正小标宋简体"/>
          <w:color w:val="000000"/>
          <w:kern w:val="0"/>
          <w:sz w:val="44"/>
          <w:szCs w:val="44"/>
        </w:rPr>
        <w:t>细则</w:t>
      </w:r>
    </w:p>
    <w:p>
      <w:pPr>
        <w:adjustRightInd w:val="0"/>
        <w:snapToGrid w:val="0"/>
        <w:spacing w:line="600" w:lineRule="exact"/>
        <w:ind w:firstLine="632" w:firstLineChars="200"/>
        <w:jc w:val="left"/>
        <w:rPr>
          <w:color w:val="000000"/>
          <w:szCs w:val="32"/>
        </w:rPr>
      </w:pPr>
    </w:p>
    <w:p>
      <w:pPr>
        <w:spacing w:line="590" w:lineRule="exact"/>
        <w:ind w:firstLine="632" w:firstLineChars="200"/>
        <w:rPr>
          <w:rFonts w:ascii="黑体" w:hAnsi="黑体" w:eastAsia="黑体" w:cs="黑体"/>
          <w:sz w:val="32"/>
          <w:szCs w:val="32"/>
        </w:rPr>
      </w:pPr>
      <w:r>
        <w:rPr>
          <w:rFonts w:hint="eastAsia" w:ascii="黑体" w:hAnsi="黑体" w:eastAsia="黑体" w:cs="黑体"/>
          <w:sz w:val="32"/>
          <w:szCs w:val="32"/>
        </w:rPr>
        <w:t>一、抽样方法</w:t>
      </w:r>
    </w:p>
    <w:p>
      <w:pPr>
        <w:keepNext w:val="0"/>
        <w:keepLines w:val="0"/>
        <w:pageBreakBefore w:val="0"/>
        <w:widowControl/>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Cs w:val="32"/>
        </w:rPr>
      </w:pPr>
      <w:r>
        <w:rPr>
          <w:rFonts w:hint="eastAsia" w:ascii="仿宋" w:hAnsi="仿宋" w:eastAsia="仿宋" w:cs="仿宋"/>
          <w:kern w:val="0"/>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20" w:lineRule="exact"/>
        <w:ind w:firstLine="632" w:firstLineChars="200"/>
        <w:textAlignment w:val="auto"/>
        <w:rPr>
          <w:rFonts w:hint="eastAsia" w:ascii="仿宋" w:hAnsi="仿宋" w:eastAsia="仿宋" w:cs="仿宋"/>
          <w:szCs w:val="32"/>
        </w:rPr>
      </w:pPr>
      <w:r>
        <w:rPr>
          <w:rFonts w:hint="eastAsia" w:ascii="仿宋" w:hAnsi="仿宋" w:eastAsia="仿宋" w:cs="仿宋"/>
          <w:szCs w:val="32"/>
        </w:rPr>
        <w:t>抽查数量：每款产品抽取2组样本，第1组用于检验，第2组用于备样。具体抽样数量和方法如下：</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1474"/>
        <w:gridCol w:w="1842"/>
        <w:gridCol w:w="1592"/>
        <w:gridCol w:w="1963"/>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序号</w:t>
            </w:r>
          </w:p>
        </w:tc>
        <w:tc>
          <w:tcPr>
            <w:tcW w:w="2707" w:type="pct"/>
            <w:gridSpan w:val="3"/>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产品名称</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第1组数量</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w:t>
            </w:r>
          </w:p>
        </w:tc>
        <w:tc>
          <w:tcPr>
            <w:tcW w:w="81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钢桶</w:t>
            </w:r>
          </w:p>
        </w:tc>
        <w:tc>
          <w:tcPr>
            <w:tcW w:w="1016"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钢桶</w:t>
            </w:r>
          </w:p>
        </w:tc>
        <w:tc>
          <w:tcPr>
            <w:tcW w:w="87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闭口钢桶</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9个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9个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81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1016"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87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全开口钢桶</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6个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lang w:eastAsia="zh-CN"/>
              </w:rPr>
            </w:pPr>
            <w:r>
              <w:rPr>
                <w:rFonts w:hint="eastAsia" w:ascii="仿宋" w:hAnsi="仿宋" w:eastAsia="仿宋" w:cs="仿宋"/>
                <w:sz w:val="24"/>
                <w:lang w:val="en-US" w:eastAsia="zh-CN"/>
              </w:rPr>
              <w:t>2</w:t>
            </w:r>
          </w:p>
        </w:tc>
        <w:tc>
          <w:tcPr>
            <w:tcW w:w="81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金属桶、罐</w:t>
            </w:r>
          </w:p>
        </w:tc>
        <w:tc>
          <w:tcPr>
            <w:tcW w:w="1893" w:type="pct"/>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钢提桶</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9个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9个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lang w:eastAsia="zh-CN"/>
              </w:rPr>
            </w:pPr>
            <w:r>
              <w:rPr>
                <w:rFonts w:hint="eastAsia" w:ascii="仿宋" w:hAnsi="仿宋" w:eastAsia="仿宋" w:cs="仿宋"/>
                <w:sz w:val="24"/>
                <w:lang w:val="en-US" w:eastAsia="zh-CN"/>
              </w:rPr>
              <w:t>3</w:t>
            </w:r>
          </w:p>
        </w:tc>
        <w:tc>
          <w:tcPr>
            <w:tcW w:w="81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1893" w:type="pct"/>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方桶</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15个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81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1893" w:type="pct"/>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工业用薄钢板圆罐</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15个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5</w:t>
            </w:r>
          </w:p>
        </w:tc>
        <w:tc>
          <w:tcPr>
            <w:tcW w:w="81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气雾剂包装</w:t>
            </w:r>
          </w:p>
        </w:tc>
        <w:tc>
          <w:tcPr>
            <w:tcW w:w="101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气雾罐</w:t>
            </w:r>
          </w:p>
        </w:tc>
        <w:tc>
          <w:tcPr>
            <w:tcW w:w="87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铁质</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40个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40个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6</w:t>
            </w:r>
          </w:p>
        </w:tc>
        <w:tc>
          <w:tcPr>
            <w:tcW w:w="81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1893" w:type="pct"/>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气雾阀</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100个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w:t>
            </w:r>
          </w:p>
        </w:tc>
        <w:tc>
          <w:tcPr>
            <w:tcW w:w="81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塑料包装</w:t>
            </w:r>
          </w:p>
        </w:tc>
        <w:tc>
          <w:tcPr>
            <w:tcW w:w="1016"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危险品包装用塑料桶（罐）</w:t>
            </w:r>
          </w:p>
        </w:tc>
        <w:tc>
          <w:tcPr>
            <w:tcW w:w="87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闭口型</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15只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15只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291"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81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1016"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87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开口型</w:t>
            </w:r>
          </w:p>
        </w:tc>
        <w:tc>
          <w:tcPr>
            <w:tcW w:w="108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9只</w:t>
            </w:r>
          </w:p>
        </w:tc>
        <w:tc>
          <w:tcPr>
            <w:tcW w:w="91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9只</w:t>
            </w:r>
          </w:p>
        </w:tc>
      </w:tr>
    </w:tbl>
    <w:p>
      <w:pPr>
        <w:keepNext w:val="0"/>
        <w:keepLines w:val="0"/>
        <w:pageBreakBefore w:val="0"/>
        <w:widowControl w:val="0"/>
        <w:kinsoku/>
        <w:wordWrap/>
        <w:overflowPunct/>
        <w:topLinePunct w:val="0"/>
        <w:autoSpaceDE/>
        <w:autoSpaceDN/>
        <w:bidi w:val="0"/>
        <w:adjustRightInd w:val="0"/>
        <w:snapToGrid w:val="0"/>
        <w:spacing w:line="360" w:lineRule="exact"/>
        <w:ind w:firstLine="592"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注意事项：</w:t>
      </w:r>
    </w:p>
    <w:p>
      <w:pPr>
        <w:keepNext w:val="0"/>
        <w:keepLines w:val="0"/>
        <w:pageBreakBefore w:val="0"/>
        <w:widowControl w:val="0"/>
        <w:kinsoku/>
        <w:wordWrap/>
        <w:overflowPunct/>
        <w:topLinePunct w:val="0"/>
        <w:autoSpaceDE/>
        <w:autoSpaceDN/>
        <w:bidi w:val="0"/>
        <w:adjustRightInd w:val="0"/>
        <w:snapToGrid w:val="0"/>
        <w:spacing w:line="360" w:lineRule="exact"/>
        <w:ind w:firstLine="592"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（1）在企业成品库抽样时，钢桶、黄磷包装钢桶、固碱钢桶、一次性（重复性）使用电石包装钢桶、复合式中型散装容器和钢塑复合桶抽样基数应满足抽样数量3倍或以上，其他产品应满足抽样数量5倍或以上。</w:t>
      </w:r>
    </w:p>
    <w:p>
      <w:pPr>
        <w:keepNext w:val="0"/>
        <w:keepLines w:val="0"/>
        <w:pageBreakBefore w:val="0"/>
        <w:widowControl w:val="0"/>
        <w:kinsoku/>
        <w:wordWrap/>
        <w:overflowPunct/>
        <w:topLinePunct w:val="0"/>
        <w:autoSpaceDE/>
        <w:autoSpaceDN/>
        <w:bidi w:val="0"/>
        <w:adjustRightInd w:val="0"/>
        <w:snapToGrid w:val="0"/>
        <w:spacing w:line="360" w:lineRule="exact"/>
        <w:ind w:firstLine="592" w:firstLineChars="200"/>
        <w:jc w:val="left"/>
        <w:textAlignment w:val="auto"/>
        <w:rPr>
          <w:rFonts w:hint="eastAsia" w:ascii="仿宋" w:hAnsi="仿宋" w:eastAsia="仿宋" w:cs="仿宋"/>
          <w:sz w:val="30"/>
          <w:szCs w:val="30"/>
        </w:rPr>
      </w:pPr>
      <w:r>
        <w:rPr>
          <w:rFonts w:hint="eastAsia" w:ascii="仿宋" w:hAnsi="仿宋" w:eastAsia="仿宋" w:cs="仿宋"/>
          <w:bCs/>
          <w:snapToGrid w:val="0"/>
          <w:kern w:val="0"/>
          <w:sz w:val="30"/>
          <w:szCs w:val="30"/>
        </w:rPr>
        <w:t xml:space="preserve">    （2）</w:t>
      </w:r>
      <w:r>
        <w:rPr>
          <w:rFonts w:hint="eastAsia" w:ascii="仿宋" w:hAnsi="仿宋" w:eastAsia="仿宋" w:cs="仿宋"/>
          <w:kern w:val="0"/>
          <w:sz w:val="30"/>
          <w:szCs w:val="30"/>
        </w:rPr>
        <w:t>需配封闭器才能检验的产品，检验样品和备用样品应包含封闭器，封闭器可装配在产品上或单独包装。封闭器装配在产品上的样品,封条应加封在封闭器和产品的结合部位，封闭器单独包装的应在其包装上加封封条。检验样品和备用样品分别封样</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592" w:firstLineChars="200"/>
        <w:jc w:val="left"/>
        <w:textAlignment w:val="auto"/>
        <w:rPr>
          <w:rFonts w:hint="eastAsia" w:ascii="仿宋" w:hAnsi="仿宋" w:eastAsia="仿宋" w:cs="仿宋"/>
          <w:kern w:val="0"/>
          <w:sz w:val="30"/>
          <w:szCs w:val="30"/>
        </w:rPr>
      </w:pPr>
      <w:r>
        <w:rPr>
          <w:rFonts w:hint="eastAsia" w:ascii="仿宋" w:hAnsi="仿宋" w:eastAsia="仿宋" w:cs="仿宋"/>
          <w:kern w:val="0"/>
          <w:sz w:val="30"/>
          <w:szCs w:val="30"/>
        </w:rPr>
        <w:t>（3） 方桶产品应在抽样单注明：备样自出厂之日起三个月后即不能复检。</w:t>
      </w:r>
    </w:p>
    <w:p>
      <w:pPr>
        <w:keepNext w:val="0"/>
        <w:keepLines w:val="0"/>
        <w:pageBreakBefore w:val="0"/>
        <w:widowControl w:val="0"/>
        <w:kinsoku/>
        <w:wordWrap/>
        <w:overflowPunct/>
        <w:topLinePunct w:val="0"/>
        <w:autoSpaceDE/>
        <w:autoSpaceDN/>
        <w:bidi w:val="0"/>
        <w:adjustRightInd w:val="0"/>
        <w:snapToGrid w:val="0"/>
        <w:spacing w:line="360" w:lineRule="exact"/>
        <w:ind w:firstLine="592"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（4）对于产品检验所需的样品技术参数等信息，需要被抽企业提供的，应在抽样现场获取，并经企业确认。见下表。</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450"/>
        <w:gridCol w:w="1818"/>
        <w:gridCol w:w="5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43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序号</w:t>
            </w:r>
          </w:p>
        </w:tc>
        <w:tc>
          <w:tcPr>
            <w:tcW w:w="8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产品种类</w:t>
            </w:r>
          </w:p>
        </w:tc>
        <w:tc>
          <w:tcPr>
            <w:tcW w:w="10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产品名称</w:t>
            </w:r>
          </w:p>
        </w:tc>
        <w:tc>
          <w:tcPr>
            <w:tcW w:w="275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应提供的其他产品信息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43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1</w:t>
            </w:r>
          </w:p>
        </w:tc>
        <w:tc>
          <w:tcPr>
            <w:tcW w:w="8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钢桶</w:t>
            </w:r>
          </w:p>
        </w:tc>
        <w:tc>
          <w:tcPr>
            <w:tcW w:w="10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钢桶</w:t>
            </w:r>
          </w:p>
        </w:tc>
        <w:tc>
          <w:tcPr>
            <w:tcW w:w="275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rPr>
            </w:pPr>
            <w:r>
              <w:rPr>
                <w:rFonts w:hint="eastAsia" w:ascii="仿宋" w:hAnsi="仿宋" w:eastAsia="仿宋" w:cs="仿宋"/>
                <w:sz w:val="24"/>
              </w:rPr>
              <w:t>级别（Ⅰ级、Ⅱ级、Ⅲ级）、拟装物密度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rPr>
            </w:pPr>
            <w:r>
              <w:rPr>
                <w:rFonts w:hint="eastAsia" w:ascii="仿宋" w:hAnsi="仿宋" w:eastAsia="仿宋" w:cs="仿宋"/>
                <w:sz w:val="24"/>
              </w:rPr>
              <w:t>单件包装件毛重。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437"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2</w:t>
            </w:r>
          </w:p>
        </w:tc>
        <w:tc>
          <w:tcPr>
            <w:tcW w:w="800"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金属桶、罐</w:t>
            </w:r>
          </w:p>
        </w:tc>
        <w:tc>
          <w:tcPr>
            <w:tcW w:w="10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钢提桶</w:t>
            </w:r>
          </w:p>
        </w:tc>
        <w:tc>
          <w:tcPr>
            <w:tcW w:w="275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rPr>
            </w:pPr>
            <w:r>
              <w:rPr>
                <w:rFonts w:hint="eastAsia" w:ascii="仿宋" w:hAnsi="仿宋" w:eastAsia="仿宋" w:cs="仿宋"/>
                <w:sz w:val="24"/>
              </w:rPr>
              <w:t>注明级别（Ⅰ级、Ⅱ级、Ⅲ级）、拟装液体密度大于1.2g/cm</w:t>
            </w:r>
            <w:r>
              <w:rPr>
                <w:rFonts w:hint="eastAsia" w:ascii="仿宋" w:hAnsi="仿宋" w:eastAsia="仿宋" w:cs="仿宋"/>
                <w:sz w:val="24"/>
                <w:vertAlign w:val="superscript"/>
              </w:rPr>
              <w:t>3</w:t>
            </w:r>
            <w:r>
              <w:rPr>
                <w:rFonts w:hint="eastAsia" w:ascii="仿宋" w:hAnsi="仿宋" w:eastAsia="仿宋" w:cs="仿宋"/>
                <w:sz w:val="24"/>
              </w:rPr>
              <w:t>时应标注拟装物密度。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437"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800"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p>
        </w:tc>
        <w:tc>
          <w:tcPr>
            <w:tcW w:w="10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sz w:val="24"/>
              </w:rPr>
            </w:pPr>
            <w:r>
              <w:rPr>
                <w:rFonts w:hint="eastAsia" w:ascii="仿宋" w:hAnsi="仿宋" w:eastAsia="仿宋" w:cs="仿宋"/>
                <w:sz w:val="24"/>
              </w:rPr>
              <w:t>工业用薄钢板圆罐</w:t>
            </w:r>
          </w:p>
        </w:tc>
        <w:tc>
          <w:tcPr>
            <w:tcW w:w="275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sz w:val="24"/>
              </w:rPr>
            </w:pPr>
            <w:r>
              <w:rPr>
                <w:rFonts w:hint="eastAsia" w:ascii="仿宋" w:hAnsi="仿宋" w:eastAsia="仿宋" w:cs="仿宋"/>
                <w:sz w:val="24"/>
              </w:rPr>
              <w:t>注明级别（Ⅰ级、Ⅱ级）、单件包装件毛重。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jc w:val="center"/>
        </w:trPr>
        <w:tc>
          <w:tcPr>
            <w:tcW w:w="43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3</w:t>
            </w:r>
          </w:p>
        </w:tc>
        <w:tc>
          <w:tcPr>
            <w:tcW w:w="8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气雾剂包装</w:t>
            </w:r>
          </w:p>
        </w:tc>
        <w:tc>
          <w:tcPr>
            <w:tcW w:w="10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气雾罐</w:t>
            </w:r>
          </w:p>
        </w:tc>
        <w:tc>
          <w:tcPr>
            <w:tcW w:w="275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rPr>
            </w:pPr>
            <w:r>
              <w:rPr>
                <w:rFonts w:hint="eastAsia" w:ascii="仿宋" w:hAnsi="仿宋" w:eastAsia="仿宋" w:cs="仿宋"/>
                <w:sz w:val="24"/>
              </w:rPr>
              <w:t>铁质气雾罐需标注：普通罐或高压罐。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43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4</w:t>
            </w:r>
          </w:p>
        </w:tc>
        <w:tc>
          <w:tcPr>
            <w:tcW w:w="80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塑料包装</w:t>
            </w:r>
          </w:p>
        </w:tc>
        <w:tc>
          <w:tcPr>
            <w:tcW w:w="10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sz w:val="24"/>
              </w:rPr>
            </w:pPr>
            <w:r>
              <w:rPr>
                <w:rFonts w:hint="eastAsia" w:ascii="仿宋" w:hAnsi="仿宋" w:eastAsia="仿宋" w:cs="仿宋"/>
                <w:sz w:val="24"/>
              </w:rPr>
              <w:t>危险品包装用塑料桶（罐）</w:t>
            </w:r>
          </w:p>
        </w:tc>
        <w:tc>
          <w:tcPr>
            <w:tcW w:w="275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rPr>
            </w:pPr>
            <w:r>
              <w:rPr>
                <w:rFonts w:hint="eastAsia" w:ascii="仿宋" w:hAnsi="仿宋" w:eastAsia="仿宋" w:cs="仿宋"/>
                <w:sz w:val="24"/>
              </w:rPr>
              <w:t>级别（Ⅰ级、Ⅱ级、Ⅲ级）、单件包装件毛重、拟装相对密度（d）超过1.2g/cm</w:t>
            </w:r>
            <w:r>
              <w:rPr>
                <w:rFonts w:hint="eastAsia" w:ascii="仿宋" w:hAnsi="仿宋" w:eastAsia="仿宋" w:cs="仿宋"/>
                <w:sz w:val="24"/>
                <w:vertAlign w:val="superscript"/>
              </w:rPr>
              <w:t>3</w:t>
            </w:r>
            <w:r>
              <w:rPr>
                <w:rFonts w:hint="eastAsia" w:ascii="仿宋" w:hAnsi="仿宋" w:eastAsia="仿宋" w:cs="仿宋"/>
                <w:sz w:val="24"/>
              </w:rPr>
              <w:t>的液体物质时应标注拟装物相对密度。</w:t>
            </w:r>
          </w:p>
        </w:tc>
      </w:tr>
    </w:tbl>
    <w:p>
      <w:pPr>
        <w:adjustRightInd w:val="0"/>
        <w:snapToGrid w:val="0"/>
        <w:spacing w:line="600" w:lineRule="exact"/>
        <w:ind w:firstLine="632" w:firstLineChars="200"/>
        <w:jc w:val="left"/>
        <w:rPr>
          <w:rFonts w:eastAsia="黑体"/>
          <w:color w:val="000000"/>
          <w:szCs w:val="21"/>
        </w:rPr>
      </w:pPr>
      <w:r>
        <w:rPr>
          <w:rFonts w:hint="eastAsia" w:eastAsia="黑体"/>
          <w:bCs/>
          <w:color w:val="000000"/>
          <w:szCs w:val="32"/>
          <w:lang w:eastAsia="zh-CN"/>
        </w:rPr>
        <w:t>二</w:t>
      </w:r>
      <w:r>
        <w:rPr>
          <w:rFonts w:hint="eastAsia" w:eastAsia="黑体"/>
          <w:bCs/>
          <w:color w:val="000000"/>
          <w:szCs w:val="32"/>
        </w:rPr>
        <w:t>、主要</w:t>
      </w:r>
      <w:r>
        <w:rPr>
          <w:rFonts w:eastAsia="黑体"/>
          <w:bCs/>
          <w:color w:val="000000"/>
          <w:szCs w:val="32"/>
        </w:rPr>
        <w:t>检验项目及不合格类别的划分</w:t>
      </w:r>
      <w:r>
        <w:rPr>
          <w:rFonts w:hint="eastAsia" w:eastAsia="黑体"/>
          <w:bCs/>
          <w:color w:val="000000"/>
          <w:szCs w:val="32"/>
        </w:rPr>
        <w:t>指标</w:t>
      </w:r>
    </w:p>
    <w:p>
      <w:pPr>
        <w:adjustRightInd w:val="0"/>
        <w:snapToGrid w:val="0"/>
        <w:spacing w:line="590" w:lineRule="exact"/>
        <w:ind w:firstLine="640"/>
        <w:jc w:val="left"/>
        <w:rPr>
          <w:rFonts w:hint="eastAsia" w:ascii="楷体_GB2312" w:hAnsi="楷体_GB2312" w:eastAsia="楷体_GB2312" w:cs="楷体_GB2312"/>
          <w:color w:val="000000"/>
          <w:szCs w:val="21"/>
          <w:lang w:eastAsia="zh-CN"/>
        </w:rPr>
      </w:pPr>
      <w:r>
        <w:rPr>
          <w:rFonts w:hint="eastAsia" w:ascii="楷体_GB2312" w:hAnsi="楷体_GB2312" w:eastAsia="楷体_GB2312" w:cs="楷体_GB2312"/>
          <w:color w:val="000000"/>
          <w:szCs w:val="21"/>
          <w:lang w:eastAsia="zh-CN"/>
        </w:rPr>
        <w:t>（一）钢桶</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105"/>
        <w:gridCol w:w="2268"/>
        <w:gridCol w:w="851"/>
        <w:gridCol w:w="790"/>
        <w:gridCol w:w="739"/>
        <w:gridCol w:w="744"/>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9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16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依据标准</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39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16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气密试验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325.1-2018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39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16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液压试验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325.1-2018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39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16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跌落试验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325.1-2018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39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16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堆码试验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325.1-2018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000" w:type="pct"/>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备注* 闭口钢桶做此项检验</w:t>
            </w:r>
          </w:p>
        </w:tc>
      </w:tr>
    </w:tbl>
    <w:p>
      <w:pPr>
        <w:adjustRightInd w:val="0"/>
        <w:snapToGrid w:val="0"/>
        <w:spacing w:line="590" w:lineRule="exact"/>
        <w:ind w:firstLine="640"/>
        <w:jc w:val="left"/>
        <w:rPr>
          <w:rFonts w:hint="eastAsia" w:ascii="楷体_GB2312" w:hAnsi="楷体_GB2312" w:eastAsia="楷体_GB2312" w:cs="楷体_GB2312"/>
          <w:color w:val="000000"/>
          <w:szCs w:val="21"/>
          <w:lang w:eastAsia="zh-CN"/>
        </w:rPr>
      </w:pPr>
      <w:r>
        <w:rPr>
          <w:rFonts w:hint="eastAsia" w:ascii="楷体_GB2312" w:hAnsi="楷体_GB2312" w:eastAsia="楷体_GB2312" w:cs="楷体_GB2312"/>
          <w:color w:val="000000"/>
          <w:szCs w:val="21"/>
          <w:lang w:eastAsia="zh-CN"/>
        </w:rPr>
        <w:t>（二）钢提桶</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2060"/>
        <w:gridCol w:w="2268"/>
        <w:gridCol w:w="851"/>
        <w:gridCol w:w="790"/>
        <w:gridCol w:w="739"/>
        <w:gridCol w:w="744"/>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依据标准</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气密性能</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13252-2008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耐液压性</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13252-2008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耐跌落性</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13252-2008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耐堆码性</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13252-2008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5</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提梁（环）强度</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13252-2008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hint="eastAsia" w:ascii="仿宋" w:hAnsi="仿宋" w:eastAsia="仿宋" w:cs="仿宋"/>
                <w:sz w:val="24"/>
              </w:rPr>
            </w:pPr>
            <w:r>
              <w:rPr>
                <w:rFonts w:hint="eastAsia" w:ascii="仿宋" w:hAnsi="仿宋" w:eastAsia="仿宋" w:cs="仿宋"/>
                <w:sz w:val="24"/>
              </w:rPr>
              <w:t>备注：* 3、4类钢提桶做此项检验</w:t>
            </w:r>
          </w:p>
        </w:tc>
      </w:tr>
    </w:tbl>
    <w:p>
      <w:pPr>
        <w:adjustRightInd w:val="0"/>
        <w:snapToGrid w:val="0"/>
        <w:spacing w:line="590" w:lineRule="exact"/>
        <w:ind w:firstLine="640"/>
        <w:jc w:val="left"/>
        <w:rPr>
          <w:rFonts w:hint="eastAsia" w:ascii="楷体_GB2312" w:hAnsi="楷体_GB2312" w:eastAsia="楷体_GB2312" w:cs="楷体_GB2312"/>
          <w:color w:val="000000"/>
          <w:szCs w:val="21"/>
          <w:lang w:eastAsia="zh-CN"/>
        </w:rPr>
      </w:pPr>
      <w:r>
        <w:rPr>
          <w:rFonts w:hint="eastAsia" w:ascii="楷体_GB2312" w:hAnsi="楷体_GB2312" w:eastAsia="楷体_GB2312" w:cs="楷体_GB2312"/>
          <w:color w:val="000000"/>
          <w:szCs w:val="21"/>
          <w:lang w:eastAsia="zh-CN"/>
        </w:rPr>
        <w:t>（三）方桶</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062"/>
        <w:gridCol w:w="2270"/>
        <w:gridCol w:w="852"/>
        <w:gridCol w:w="791"/>
        <w:gridCol w:w="740"/>
        <w:gridCol w:w="745"/>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依据标准</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气密试验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17343-1998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液压试验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12463-2009</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跌落试验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12463-2009</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堆码负载</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17343-1998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5</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提环拉力</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17343-1998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bl>
    <w:p>
      <w:pPr>
        <w:adjustRightInd w:val="0"/>
        <w:snapToGrid w:val="0"/>
        <w:spacing w:line="590" w:lineRule="exact"/>
        <w:ind w:firstLine="640"/>
        <w:jc w:val="left"/>
        <w:rPr>
          <w:rFonts w:hint="eastAsia" w:ascii="楷体_GB2312" w:hAnsi="楷体_GB2312" w:eastAsia="楷体_GB2312" w:cs="楷体_GB2312"/>
          <w:color w:val="000000"/>
          <w:szCs w:val="21"/>
        </w:rPr>
      </w:pPr>
      <w:r>
        <w:rPr>
          <w:rFonts w:hint="eastAsia" w:ascii="楷体_GB2312" w:hAnsi="楷体_GB2312" w:eastAsia="楷体_GB2312" w:cs="楷体_GB2312"/>
          <w:color w:val="000000"/>
          <w:szCs w:val="21"/>
          <w:lang w:eastAsia="zh-CN"/>
        </w:rPr>
        <w:t>（四）</w:t>
      </w:r>
      <w:r>
        <w:rPr>
          <w:rFonts w:hint="eastAsia" w:ascii="楷体_GB2312" w:hAnsi="楷体_GB2312" w:eastAsia="楷体_GB2312" w:cs="楷体_GB2312"/>
          <w:color w:val="000000"/>
          <w:szCs w:val="21"/>
        </w:rPr>
        <w:t>工业用薄钢板圆罐</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062"/>
        <w:gridCol w:w="2270"/>
        <w:gridCol w:w="852"/>
        <w:gridCol w:w="791"/>
        <w:gridCol w:w="740"/>
        <w:gridCol w:w="745"/>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依据标准</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气密试验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15170-2007</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液压试验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15170-2007</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跌落试验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15170-2007</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堆码试验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15170-2007</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5</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提梁、提环强度试验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15170-2007</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bl>
    <w:p>
      <w:pPr>
        <w:adjustRightInd w:val="0"/>
        <w:snapToGrid w:val="0"/>
        <w:spacing w:line="590" w:lineRule="exact"/>
        <w:ind w:firstLine="640"/>
        <w:jc w:val="left"/>
        <w:rPr>
          <w:rFonts w:hint="eastAsia" w:ascii="楷体_GB2312" w:hAnsi="楷体_GB2312" w:eastAsia="楷体_GB2312" w:cs="楷体_GB2312"/>
          <w:color w:val="000000"/>
          <w:szCs w:val="21"/>
          <w:lang w:eastAsia="zh-CN"/>
        </w:rPr>
      </w:pPr>
      <w:r>
        <w:rPr>
          <w:rFonts w:hint="eastAsia" w:ascii="楷体_GB2312" w:hAnsi="楷体_GB2312" w:eastAsia="楷体_GB2312" w:cs="楷体_GB2312"/>
          <w:color w:val="000000"/>
          <w:szCs w:val="21"/>
          <w:lang w:eastAsia="zh-CN"/>
        </w:rPr>
        <w:t>（五）气雾罐(铁罐)</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062"/>
        <w:gridCol w:w="2270"/>
        <w:gridCol w:w="852"/>
        <w:gridCol w:w="791"/>
        <w:gridCol w:w="740"/>
        <w:gridCol w:w="745"/>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atLeas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依据标准</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罐口外径</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13042-2008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罐口内径</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13042-2008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罐口接触高度</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13042-2008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焊缝补涂完整性</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13042-2008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5</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气密试验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13042-2008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6</w:t>
            </w:r>
          </w:p>
        </w:tc>
        <w:tc>
          <w:tcPr>
            <w:tcW w:w="1137"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变形压力</w:t>
            </w:r>
          </w:p>
        </w:tc>
        <w:tc>
          <w:tcPr>
            <w:tcW w:w="1252"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13042-2008</w:t>
            </w:r>
          </w:p>
        </w:tc>
        <w:tc>
          <w:tcPr>
            <w:tcW w:w="470"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vAlign w:val="center"/>
          </w:tcPr>
          <w:p>
            <w:pPr>
              <w:adjustRightInd w:val="0"/>
              <w:snapToGrid w:val="0"/>
              <w:spacing w:line="360" w:lineRule="exact"/>
              <w:jc w:val="center"/>
              <w:rPr>
                <w:rFonts w:hint="eastAsia" w:ascii="仿宋" w:hAnsi="仿宋" w:eastAsia="仿宋" w:cs="仿宋"/>
                <w:sz w:val="24"/>
              </w:rPr>
            </w:pPr>
          </w:p>
        </w:tc>
        <w:tc>
          <w:tcPr>
            <w:tcW w:w="408"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vAlign w:val="center"/>
          </w:tcPr>
          <w:p>
            <w:pPr>
              <w:adjustRightInd w:val="0"/>
              <w:snapToGrid w:val="0"/>
              <w:spacing w:line="360" w:lineRule="exact"/>
              <w:jc w:val="center"/>
              <w:rPr>
                <w:rFonts w:hint="eastAsia" w:ascii="仿宋" w:hAnsi="仿宋" w:eastAsia="仿宋" w:cs="仿宋"/>
                <w:sz w:val="24"/>
              </w:rPr>
            </w:pPr>
          </w:p>
        </w:tc>
        <w:tc>
          <w:tcPr>
            <w:tcW w:w="458" w:type="pct"/>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7</w:t>
            </w:r>
          </w:p>
        </w:tc>
        <w:tc>
          <w:tcPr>
            <w:tcW w:w="1137"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爆破压力</w:t>
            </w:r>
          </w:p>
        </w:tc>
        <w:tc>
          <w:tcPr>
            <w:tcW w:w="1252"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13042-2008</w:t>
            </w:r>
          </w:p>
        </w:tc>
        <w:tc>
          <w:tcPr>
            <w:tcW w:w="470"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vAlign w:val="center"/>
          </w:tcPr>
          <w:p>
            <w:pPr>
              <w:adjustRightInd w:val="0"/>
              <w:snapToGrid w:val="0"/>
              <w:spacing w:line="360" w:lineRule="exact"/>
              <w:jc w:val="center"/>
              <w:rPr>
                <w:rFonts w:hint="eastAsia" w:ascii="仿宋" w:hAnsi="仿宋" w:eastAsia="仿宋" w:cs="仿宋"/>
                <w:sz w:val="24"/>
              </w:rPr>
            </w:pPr>
          </w:p>
        </w:tc>
        <w:tc>
          <w:tcPr>
            <w:tcW w:w="408"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vAlign w:val="center"/>
          </w:tcPr>
          <w:p>
            <w:pPr>
              <w:adjustRightInd w:val="0"/>
              <w:snapToGrid w:val="0"/>
              <w:spacing w:line="360" w:lineRule="exact"/>
              <w:jc w:val="center"/>
              <w:rPr>
                <w:rFonts w:hint="eastAsia" w:ascii="仿宋" w:hAnsi="仿宋" w:eastAsia="仿宋" w:cs="仿宋"/>
                <w:sz w:val="24"/>
              </w:rPr>
            </w:pPr>
          </w:p>
        </w:tc>
        <w:tc>
          <w:tcPr>
            <w:tcW w:w="458" w:type="pct"/>
            <w:vAlign w:val="center"/>
          </w:tcPr>
          <w:p>
            <w:pPr>
              <w:adjustRightInd w:val="0"/>
              <w:snapToGrid w:val="0"/>
              <w:spacing w:line="360" w:lineRule="exact"/>
              <w:jc w:val="center"/>
              <w:rPr>
                <w:rFonts w:hint="eastAsia" w:ascii="仿宋" w:hAnsi="仿宋" w:eastAsia="仿宋" w:cs="仿宋"/>
                <w:sz w:val="24"/>
              </w:rPr>
            </w:pPr>
          </w:p>
        </w:tc>
      </w:tr>
    </w:tbl>
    <w:p>
      <w:pPr>
        <w:adjustRightInd w:val="0"/>
        <w:snapToGrid w:val="0"/>
        <w:spacing w:line="590" w:lineRule="exact"/>
        <w:ind w:firstLine="640"/>
        <w:jc w:val="left"/>
        <w:rPr>
          <w:rFonts w:hint="eastAsia" w:ascii="CESI仿宋-GB2312" w:hAnsi="CESI仿宋-GB2312" w:eastAsia="CESI仿宋-GB2312" w:cs="CESI仿宋-GB2312"/>
          <w:color w:val="000000"/>
          <w:szCs w:val="21"/>
        </w:rPr>
      </w:pPr>
      <w:r>
        <w:rPr>
          <w:rFonts w:hint="eastAsia" w:ascii="楷体_GB2312" w:hAnsi="楷体_GB2312" w:eastAsia="楷体_GB2312" w:cs="楷体_GB2312"/>
          <w:color w:val="000000"/>
          <w:szCs w:val="21"/>
          <w:lang w:eastAsia="zh-CN"/>
        </w:rPr>
        <w:t>（六）气雾阀</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062"/>
        <w:gridCol w:w="2270"/>
        <w:gridCol w:w="852"/>
        <w:gridCol w:w="791"/>
        <w:gridCol w:w="740"/>
        <w:gridCol w:w="745"/>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依据标准</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固定盖内直径</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17447-2012</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畅通性</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17447-2012</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密封性</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17447-2012</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2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137"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固定盖耐压性</w:t>
            </w:r>
          </w:p>
        </w:tc>
        <w:tc>
          <w:tcPr>
            <w:tcW w:w="1252"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GB/T 17447-2012</w:t>
            </w:r>
          </w:p>
        </w:tc>
        <w:tc>
          <w:tcPr>
            <w:tcW w:w="470" w:type="pct"/>
            <w:vAlign w:val="center"/>
          </w:tcPr>
          <w:p>
            <w:pPr>
              <w:adjustRightInd w:val="0"/>
              <w:snapToGrid w:val="0"/>
              <w:spacing w:line="360" w:lineRule="exact"/>
              <w:jc w:val="center"/>
              <w:rPr>
                <w:rFonts w:hint="eastAsia" w:ascii="仿宋" w:hAnsi="仿宋" w:eastAsia="仿宋" w:cs="仿宋"/>
                <w:sz w:val="24"/>
              </w:rPr>
            </w:pPr>
          </w:p>
        </w:tc>
        <w:tc>
          <w:tcPr>
            <w:tcW w:w="436"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08"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vAlign w:val="center"/>
          </w:tcPr>
          <w:p>
            <w:pPr>
              <w:adjustRightInd w:val="0"/>
              <w:snapToGrid w:val="0"/>
              <w:spacing w:line="360" w:lineRule="exact"/>
              <w:jc w:val="center"/>
              <w:rPr>
                <w:rFonts w:hint="eastAsia" w:ascii="仿宋" w:hAnsi="仿宋" w:eastAsia="仿宋" w:cs="仿宋"/>
                <w:sz w:val="24"/>
              </w:rPr>
            </w:pPr>
          </w:p>
        </w:tc>
        <w:tc>
          <w:tcPr>
            <w:tcW w:w="458" w:type="pct"/>
            <w:vAlign w:val="center"/>
          </w:tcPr>
          <w:p>
            <w:pPr>
              <w:adjustRightInd w:val="0"/>
              <w:snapToGrid w:val="0"/>
              <w:spacing w:line="360" w:lineRule="exact"/>
              <w:jc w:val="center"/>
              <w:rPr>
                <w:rFonts w:hint="eastAsia" w:ascii="仿宋" w:hAnsi="仿宋" w:eastAsia="仿宋" w:cs="仿宋"/>
                <w:sz w:val="24"/>
              </w:rPr>
            </w:pPr>
          </w:p>
        </w:tc>
      </w:tr>
    </w:tbl>
    <w:p>
      <w:pPr>
        <w:adjustRightInd w:val="0"/>
        <w:snapToGrid w:val="0"/>
        <w:spacing w:line="590" w:lineRule="exact"/>
        <w:ind w:firstLine="640"/>
        <w:jc w:val="left"/>
        <w:rPr>
          <w:rFonts w:hint="eastAsia" w:ascii="楷体_GB2312" w:hAnsi="楷体_GB2312" w:eastAsia="楷体_GB2312" w:cs="楷体_GB2312"/>
          <w:color w:val="000000"/>
          <w:szCs w:val="21"/>
        </w:rPr>
      </w:pPr>
      <w:r>
        <w:rPr>
          <w:rFonts w:hint="eastAsia" w:ascii="楷体_GB2312" w:hAnsi="楷体_GB2312" w:eastAsia="楷体_GB2312" w:cs="楷体_GB2312"/>
          <w:color w:val="000000"/>
          <w:szCs w:val="21"/>
          <w:lang w:eastAsia="zh-CN"/>
        </w:rPr>
        <w:t>（七）</w:t>
      </w:r>
      <w:r>
        <w:rPr>
          <w:rFonts w:hint="eastAsia" w:ascii="楷体_GB2312" w:hAnsi="楷体_GB2312" w:eastAsia="楷体_GB2312" w:cs="楷体_GB2312"/>
          <w:color w:val="000000"/>
          <w:szCs w:val="21"/>
        </w:rPr>
        <w:t>危险品包装用塑料桶（罐）</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2060"/>
        <w:gridCol w:w="2268"/>
        <w:gridCol w:w="851"/>
        <w:gridCol w:w="790"/>
        <w:gridCol w:w="739"/>
        <w:gridCol w:w="744"/>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依据标准</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气密试验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18191-2008</w:t>
            </w:r>
          </w:p>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19160-2008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液压试验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18191-2008</w:t>
            </w:r>
          </w:p>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19160-2008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堆码试验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18191-2008</w:t>
            </w:r>
          </w:p>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19160-2008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exac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13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跌落试验</w:t>
            </w:r>
          </w:p>
        </w:tc>
        <w:tc>
          <w:tcPr>
            <w:tcW w:w="125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18191-2008</w:t>
            </w:r>
          </w:p>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GB 19160-2008</w:t>
            </w:r>
          </w:p>
        </w:tc>
        <w:tc>
          <w:tcPr>
            <w:tcW w:w="47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w:t>
            </w:r>
          </w:p>
        </w:tc>
        <w:tc>
          <w:tcPr>
            <w:tcW w:w="41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left"/>
              <w:rPr>
                <w:rFonts w:hint="eastAsia" w:ascii="仿宋" w:hAnsi="仿宋" w:eastAsia="仿宋" w:cs="仿宋"/>
                <w:sz w:val="24"/>
              </w:rPr>
            </w:pPr>
            <w:r>
              <w:rPr>
                <w:rFonts w:hint="eastAsia" w:ascii="仿宋" w:hAnsi="仿宋" w:eastAsia="仿宋" w:cs="仿宋"/>
                <w:sz w:val="24"/>
              </w:rPr>
              <w:t>备注* 闭口型桶做此项检验</w:t>
            </w:r>
          </w:p>
        </w:tc>
      </w:tr>
    </w:tbl>
    <w:p>
      <w:pPr>
        <w:adjustRightInd w:val="0"/>
        <w:snapToGrid w:val="0"/>
        <w:spacing w:line="520" w:lineRule="exact"/>
        <w:ind w:firstLine="632" w:firstLineChars="200"/>
        <w:jc w:val="left"/>
        <w:rPr>
          <w:rFonts w:hint="eastAsia" w:eastAsia="黑体"/>
          <w:color w:val="000000"/>
          <w:szCs w:val="32"/>
        </w:rPr>
      </w:pPr>
    </w:p>
    <w:p>
      <w:pPr>
        <w:adjustRightInd w:val="0"/>
        <w:snapToGrid w:val="0"/>
        <w:spacing w:line="520" w:lineRule="exact"/>
        <w:ind w:firstLine="632" w:firstLineChars="200"/>
        <w:jc w:val="left"/>
        <w:rPr>
          <w:rFonts w:eastAsia="黑体"/>
          <w:color w:val="000000"/>
          <w:szCs w:val="32"/>
        </w:rPr>
      </w:pPr>
      <w:r>
        <w:rPr>
          <w:rFonts w:hint="eastAsia" w:eastAsia="黑体"/>
          <w:color w:val="000000"/>
          <w:szCs w:val="32"/>
        </w:rPr>
        <w:t>四</w:t>
      </w:r>
      <w:r>
        <w:rPr>
          <w:rFonts w:eastAsia="黑体"/>
          <w:color w:val="000000"/>
          <w:szCs w:val="32"/>
        </w:rPr>
        <w:t>、</w:t>
      </w:r>
      <w:r>
        <w:rPr>
          <w:rFonts w:hint="eastAsia" w:ascii="Times New Roman" w:hAnsi="Times New Roman" w:eastAsia="黑体" w:cs="黑体"/>
          <w:sz w:val="32"/>
          <w:szCs w:val="32"/>
        </w:rPr>
        <w:t>判定规则</w:t>
      </w:r>
    </w:p>
    <w:p>
      <w:pPr>
        <w:keepNext w:val="0"/>
        <w:keepLines w:val="0"/>
        <w:pageBreakBefore w:val="0"/>
        <w:widowControl/>
        <w:kinsoku/>
        <w:wordWrap/>
        <w:overflowPunct/>
        <w:topLinePunct w:val="0"/>
        <w:bidi w:val="0"/>
        <w:spacing w:line="520" w:lineRule="exact"/>
        <w:ind w:firstLine="632" w:firstLineChars="200"/>
        <w:textAlignment w:val="auto"/>
        <w:rPr>
          <w:rFonts w:hint="eastAsia" w:ascii="楷体_GB2312" w:hAnsi="楷体_GB2312" w:eastAsia="楷体_GB2312" w:cs="楷体_GB2312"/>
          <w:bCs/>
          <w:kern w:val="0"/>
          <w:sz w:val="32"/>
          <w:szCs w:val="32"/>
          <w:lang w:bidi="ar"/>
        </w:rPr>
      </w:pPr>
      <w:r>
        <w:rPr>
          <w:rFonts w:hint="eastAsia" w:ascii="楷体_GB2312" w:hAnsi="楷体_GB2312" w:eastAsia="楷体_GB2312" w:cs="楷体_GB2312"/>
          <w:bCs/>
          <w:kern w:val="0"/>
          <w:sz w:val="32"/>
          <w:szCs w:val="32"/>
          <w:lang w:bidi="ar"/>
        </w:rPr>
        <w:t>（一）依据标准</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1.</w:t>
      </w:r>
      <w:bookmarkStart w:id="0" w:name="_GoBack"/>
      <w:bookmarkEnd w:id="0"/>
      <w:r>
        <w:rPr>
          <w:rFonts w:hint="eastAsia" w:ascii="仿宋" w:hAnsi="仿宋" w:eastAsia="仿宋" w:cs="仿宋"/>
          <w:color w:val="000000"/>
          <w:sz w:val="32"/>
          <w:szCs w:val="32"/>
        </w:rPr>
        <w:t>强制性标准:</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 13042-2008 包装容器 铁质气雾罐</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 18191-2008 包装容器 危险品包装用塑料桶</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 19160-2008 包装容器 危险品包装用塑料罐</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 12463-2009 危险货物运输包装通用技术条件</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 19270-2009 水路运输危险货物包装检验安全规范</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2.推荐性标准:</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325.1-2018 包装容器 钢桶 第1部分:通用技术要求</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13252-2008 包装容器 钢提桶</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15170-2007 包装容器 工业用薄钢板圆罐</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17343-1998 包装容器 方桶</w:t>
      </w:r>
    </w:p>
    <w:p>
      <w:pPr>
        <w:adjustRightInd w:val="0"/>
        <w:snapToGrid w:val="0"/>
        <w:spacing w:line="600" w:lineRule="exact"/>
        <w:ind w:firstLine="632"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GB/T 17447-2012 气雾阀</w:t>
      </w:r>
    </w:p>
    <w:p>
      <w:pPr>
        <w:keepNext w:val="0"/>
        <w:keepLines w:val="0"/>
        <w:pageBreakBefore w:val="0"/>
        <w:kinsoku/>
        <w:wordWrap/>
        <w:overflowPunct/>
        <w:topLinePunct w:val="0"/>
        <w:bidi w:val="0"/>
        <w:adjustRightInd w:val="0"/>
        <w:snapToGrid w:val="0"/>
        <w:spacing w:line="520" w:lineRule="exact"/>
        <w:ind w:firstLine="632"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现行有效的企业标准、团体标准、地方标准及产品明示质量要求。</w:t>
      </w:r>
    </w:p>
    <w:p>
      <w:pPr>
        <w:keepNext w:val="0"/>
        <w:keepLines w:val="0"/>
        <w:pageBreakBefore w:val="0"/>
        <w:widowControl/>
        <w:kinsoku/>
        <w:wordWrap/>
        <w:overflowPunct/>
        <w:topLinePunct w:val="0"/>
        <w:bidi w:val="0"/>
        <w:spacing w:line="520" w:lineRule="exact"/>
        <w:ind w:firstLine="632" w:firstLineChars="200"/>
        <w:textAlignment w:val="auto"/>
        <w:rPr>
          <w:rFonts w:hint="eastAsia" w:ascii="楷体_GB2312" w:hAnsi="楷体_GB2312" w:eastAsia="楷体_GB2312" w:cs="楷体_GB2312"/>
          <w:bCs/>
          <w:kern w:val="0"/>
          <w:sz w:val="32"/>
          <w:szCs w:val="32"/>
          <w:lang w:bidi="ar"/>
        </w:rPr>
      </w:pPr>
      <w:r>
        <w:rPr>
          <w:rFonts w:hint="eastAsia" w:ascii="楷体_GB2312" w:hAnsi="楷体_GB2312" w:eastAsia="楷体_GB2312" w:cs="楷体_GB2312"/>
          <w:bCs/>
          <w:kern w:val="0"/>
          <w:sz w:val="32"/>
          <w:szCs w:val="32"/>
          <w:lang w:bidi="ar"/>
        </w:rPr>
        <w:t>（二）判定原则</w:t>
      </w:r>
    </w:p>
    <w:p>
      <w:pPr>
        <w:keepNext w:val="0"/>
        <w:keepLines w:val="0"/>
        <w:pageBreakBefore w:val="0"/>
        <w:kinsoku/>
        <w:wordWrap/>
        <w:overflowPunct/>
        <w:topLinePunct w:val="0"/>
        <w:bidi w:val="0"/>
        <w:snapToGrid w:val="0"/>
        <w:spacing w:line="520" w:lineRule="exact"/>
        <w:ind w:firstLine="632" w:firstLineChars="200"/>
        <w:textAlignment w:val="auto"/>
        <w:rPr>
          <w:rFonts w:hint="eastAsia" w:ascii="仿宋" w:hAnsi="仿宋" w:eastAsia="仿宋" w:cs="仿宋"/>
          <w:sz w:val="32"/>
          <w:szCs w:val="32"/>
        </w:rPr>
      </w:pPr>
      <w:r>
        <w:rPr>
          <w:rFonts w:hint="eastAsia" w:ascii="仿宋" w:hAnsi="仿宋" w:eastAsia="仿宋" w:cs="仿宋"/>
          <w:sz w:val="32"/>
          <w:szCs w:val="32"/>
        </w:rPr>
        <w:t>经检验，检验项目全部合格，判定为抽取的样本所检项目未检出不合格；检验项目中任一项或一项以上不合格，判定为被抽查产品不合格。</w:t>
      </w:r>
    </w:p>
    <w:p>
      <w:pPr>
        <w:pStyle w:val="9"/>
        <w:keepNext w:val="0"/>
        <w:keepLines w:val="0"/>
        <w:pageBreakBefore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当被检样品明示的质量要求优于监督抽查实施细则中依据的标准要求时，应按被检样品明示的质量要求判定；</w:t>
      </w:r>
    </w:p>
    <w:p>
      <w:pPr>
        <w:pStyle w:val="9"/>
        <w:keepNext w:val="0"/>
        <w:keepLines w:val="0"/>
        <w:pageBreakBefore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当被检样品明示的质量要求劣于或不包含监督抽查实施细则中依据的强制性标准要求时，应按照强制性标准要求判定；</w:t>
      </w:r>
    </w:p>
    <w:p>
      <w:pPr>
        <w:pStyle w:val="9"/>
        <w:keepNext w:val="0"/>
        <w:keepLines w:val="0"/>
        <w:pageBreakBefore w:val="0"/>
        <w:widowControl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pStyle w:val="9"/>
        <w:keepNext w:val="0"/>
        <w:keepLines w:val="0"/>
        <w:pageBreakBefore w:val="0"/>
        <w:widowControl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当被检样品明示的质量要求不包含监督抽查实施细则中依据的推荐性标准要求时，该指标不参与判定，但应在检验报告中作出说明；</w:t>
      </w:r>
    </w:p>
    <w:p>
      <w:pPr>
        <w:pStyle w:val="9"/>
        <w:keepNext w:val="0"/>
        <w:keepLines w:val="0"/>
        <w:pageBreakBefore w:val="0"/>
        <w:widowControl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当被检样品未能提供有效的企业标准时，按相关国家或行业标准进行判定；</w:t>
      </w:r>
    </w:p>
    <w:p>
      <w:pPr>
        <w:pStyle w:val="9"/>
        <w:keepNext w:val="0"/>
        <w:keepLines w:val="0"/>
        <w:pageBreakBefore w:val="0"/>
        <w:widowControl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pStyle w:val="9"/>
        <w:keepNext w:val="0"/>
        <w:keepLines w:val="0"/>
        <w:pageBreakBefore w:val="0"/>
        <w:widowControl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按照产品质量相关法律法规的规定判定。</w:t>
      </w:r>
    </w:p>
    <w:p>
      <w:pPr>
        <w:pStyle w:val="9"/>
        <w:keepNext w:val="0"/>
        <w:keepLines w:val="0"/>
        <w:pageBreakBefore w:val="0"/>
        <w:tabs>
          <w:tab w:val="clear" w:pos="4201"/>
          <w:tab w:val="clear" w:pos="9298"/>
        </w:tabs>
        <w:kinsoku/>
        <w:wordWrap/>
        <w:overflowPunct/>
        <w:topLinePunct w:val="0"/>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检验中发现因样品失效或者其他原因致使检验无法进行的，检验人员应如实记录，并提供相关证明材料，报送组织监督抽查的市场监管部门。</w:t>
      </w:r>
    </w:p>
    <w:p>
      <w:pPr>
        <w:rPr>
          <w:rFonts w:hint="eastAsia" w:ascii="仿宋" w:hAnsi="仿宋" w:eastAsia="仿宋" w:cs="仿宋"/>
          <w:sz w:val="32"/>
          <w:szCs w:val="32"/>
        </w:rPr>
      </w:pPr>
    </w:p>
    <w:p>
      <w:pPr>
        <w:pStyle w:val="3"/>
        <w:rPr>
          <w:rFonts w:hint="eastAsia" w:ascii="仿宋" w:hAnsi="仿宋" w:eastAsia="仿宋" w:cs="仿宋"/>
          <w:sz w:val="32"/>
          <w:szCs w:val="32"/>
        </w:rPr>
      </w:pPr>
    </w:p>
    <w:p>
      <w:pPr>
        <w:jc w:val="left"/>
        <w:rPr>
          <w:rFonts w:hint="eastAsia" w:ascii="仿宋" w:hAnsi="仿宋" w:eastAsia="仿宋" w:cs="仿宋"/>
          <w:sz w:val="32"/>
          <w:szCs w:val="32"/>
        </w:rPr>
      </w:pPr>
    </w:p>
    <w:sectPr>
      <w:footerReference r:id="rId3" w:type="default"/>
      <w:pgSz w:w="11907" w:h="16840"/>
      <w:pgMar w:top="2098" w:right="1474" w:bottom="1984" w:left="1587" w:header="851" w:footer="1191" w:gutter="0"/>
      <w:cols w:space="720" w:num="1"/>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8520"/>
        <w:tab w:val="left" w:pos="8820"/>
        <w:tab w:val="clear" w:pos="8306"/>
      </w:tabs>
      <w:spacing w:line="300" w:lineRule="exact"/>
      <w:ind w:right="374" w:rightChars="117" w:firstLine="298" w:firstLineChars="166"/>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148" w:firstLine="0"/>
      </w:pPr>
      <w:rPr>
        <w:rFonts w:hint="default" w:ascii="Times New Roman" w:hAnsi="Times New Roman"/>
        <w:b/>
        <w:i w:val="0"/>
        <w:sz w:val="21"/>
      </w:rPr>
    </w:lvl>
    <w:lvl w:ilvl="1" w:tentative="0">
      <w:start w:val="1"/>
      <w:numFmt w:val="decimal"/>
      <w:suff w:val="nothing"/>
      <w:lvlText w:val="%1%2　"/>
      <w:lvlJc w:val="left"/>
      <w:pPr>
        <w:ind w:left="1708" w:firstLine="0"/>
      </w:pPr>
      <w:rPr>
        <w:rFonts w:hint="eastAsia" w:ascii="黑体" w:hAnsi="Times New Roman" w:eastAsia="黑体"/>
        <w:b w:val="0"/>
        <w:i w:val="0"/>
        <w:sz w:val="21"/>
      </w:rPr>
    </w:lvl>
    <w:lvl w:ilvl="2" w:tentative="0">
      <w:start w:val="1"/>
      <w:numFmt w:val="decimal"/>
      <w:pStyle w:val="10"/>
      <w:suff w:val="nothing"/>
      <w:lvlText w:val="%1%2.%3　"/>
      <w:lvlJc w:val="left"/>
      <w:pPr>
        <w:ind w:left="716" w:firstLine="0"/>
      </w:pPr>
      <w:rPr>
        <w:rFonts w:hint="eastAsia" w:ascii="黑体" w:hAnsi="Times New Roman" w:eastAsia="黑体" w:cs="Times New Roman"/>
        <w:b w:val="0"/>
      </w:rPr>
    </w:lvl>
    <w:lvl w:ilvl="3" w:tentative="0">
      <w:start w:val="1"/>
      <w:numFmt w:val="decimal"/>
      <w:isLgl/>
      <w:suff w:val="nothing"/>
      <w:lvlText w:val="%2%1.%3.%4　"/>
      <w:lvlJc w:val="left"/>
      <w:pPr>
        <w:ind w:left="2269" w:firstLine="0"/>
      </w:pPr>
      <w:rPr>
        <w:rFonts w:hint="eastAsia" w:ascii="黑体" w:hAnsi="Times New Roman" w:eastAsia="黑体"/>
        <w:b w:val="0"/>
        <w:i w:val="0"/>
        <w:sz w:val="21"/>
      </w:rPr>
    </w:lvl>
    <w:lvl w:ilvl="4" w:tentative="0">
      <w:start w:val="1"/>
      <w:numFmt w:val="decimal"/>
      <w:suff w:val="nothing"/>
      <w:lvlText w:val="%1%2.%3.%4.%5　"/>
      <w:lvlJc w:val="left"/>
      <w:pPr>
        <w:ind w:left="1141" w:firstLine="0"/>
      </w:pPr>
      <w:rPr>
        <w:rFonts w:hint="eastAsia" w:ascii="黑体" w:hAnsi="Times New Roman" w:eastAsia="黑体"/>
        <w:b w:val="0"/>
        <w:i w:val="0"/>
        <w:sz w:val="21"/>
      </w:rPr>
    </w:lvl>
    <w:lvl w:ilvl="5" w:tentative="0">
      <w:start w:val="1"/>
      <w:numFmt w:val="decimal"/>
      <w:suff w:val="nothing"/>
      <w:lvlText w:val="%1%2.%3.%4.%5.%6　"/>
      <w:lvlJc w:val="left"/>
      <w:pPr>
        <w:ind w:left="148" w:firstLine="0"/>
      </w:pPr>
      <w:rPr>
        <w:rFonts w:hint="eastAsia" w:ascii="黑体" w:hAnsi="Times New Roman" w:eastAsia="黑体"/>
        <w:b w:val="0"/>
        <w:i w:val="0"/>
        <w:sz w:val="21"/>
      </w:rPr>
    </w:lvl>
    <w:lvl w:ilvl="6" w:tentative="0">
      <w:start w:val="1"/>
      <w:numFmt w:val="decimal"/>
      <w:suff w:val="nothing"/>
      <w:lvlText w:val="%1%2.%3.%4.%5.%6.%7　"/>
      <w:lvlJc w:val="left"/>
      <w:pPr>
        <w:ind w:left="148" w:firstLine="0"/>
      </w:pPr>
      <w:rPr>
        <w:rFonts w:hint="eastAsia" w:ascii="黑体" w:hAnsi="Times New Roman" w:eastAsia="黑体"/>
        <w:b w:val="0"/>
        <w:i w:val="0"/>
        <w:sz w:val="21"/>
      </w:rPr>
    </w:lvl>
    <w:lvl w:ilvl="7" w:tentative="0">
      <w:start w:val="1"/>
      <w:numFmt w:val="decimal"/>
      <w:lvlText w:val="%1.%2.%3.%4.%5.%6.%7.%8"/>
      <w:lvlJc w:val="left"/>
      <w:pPr>
        <w:tabs>
          <w:tab w:val="left" w:pos="4499"/>
        </w:tabs>
        <w:ind w:left="4117" w:hanging="1418"/>
      </w:pPr>
      <w:rPr>
        <w:rFonts w:hint="eastAsia"/>
      </w:rPr>
    </w:lvl>
    <w:lvl w:ilvl="8" w:tentative="0">
      <w:start w:val="1"/>
      <w:numFmt w:val="decimal"/>
      <w:lvlText w:val="%1.%2.%3.%4.%5.%6.%7.%8.%9"/>
      <w:lvlJc w:val="left"/>
      <w:pPr>
        <w:tabs>
          <w:tab w:val="left" w:pos="4925"/>
        </w:tabs>
        <w:ind w:left="4825" w:hanging="1700"/>
      </w:pPr>
      <w:rPr>
        <w:rFonts w:hint="eastAsia"/>
      </w:rPr>
    </w:lvl>
  </w:abstractNum>
  <w:abstractNum w:abstractNumId="1">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797362"/>
    <w:rsid w:val="000714E6"/>
    <w:rsid w:val="001216D3"/>
    <w:rsid w:val="00493F7E"/>
    <w:rsid w:val="006143AE"/>
    <w:rsid w:val="00875689"/>
    <w:rsid w:val="00CA41F8"/>
    <w:rsid w:val="02A062DD"/>
    <w:rsid w:val="37920F60"/>
    <w:rsid w:val="3FBF6B78"/>
    <w:rsid w:val="57797362"/>
    <w:rsid w:val="57C02EB9"/>
    <w:rsid w:val="5D436DEA"/>
    <w:rsid w:val="6F063046"/>
    <w:rsid w:val="7DFC372F"/>
    <w:rsid w:val="8DFE21C3"/>
    <w:rsid w:val="FFFFE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宋体"/>
      <w:sz w:val="21"/>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10">
    <w:name w:val="一级条标题"/>
    <w:next w:val="1"/>
    <w:qFormat/>
    <w:uiPriority w:val="0"/>
    <w:pPr>
      <w:numPr>
        <w:ilvl w:val="2"/>
        <w:numId w:val="2"/>
      </w:numPr>
      <w:spacing w:beforeLines="50" w:afterLines="50"/>
      <w:outlineLvl w:val="2"/>
    </w:pPr>
    <w:rPr>
      <w:rFonts w:ascii="黑体" w:hAnsi="Calibri" w:eastAsia="黑体" w:cs="Times New Roman"/>
      <w:sz w:val="21"/>
      <w:szCs w:val="21"/>
      <w:lang w:val="en-US" w:eastAsia="zh-CN" w:bidi="ar-SA"/>
    </w:rPr>
  </w:style>
  <w:style w:type="paragraph" w:customStyle="1" w:styleId="11">
    <w:name w:val="二级条标题"/>
    <w:basedOn w:val="10"/>
    <w:next w:val="1"/>
    <w:qFormat/>
    <w:uiPriority w:val="0"/>
    <w:pPr>
      <w:spacing w:before="50" w:after="50"/>
      <w:outlineLvl w:val="3"/>
    </w:pPr>
  </w:style>
  <w:style w:type="paragraph" w:customStyle="1" w:styleId="12">
    <w:name w:val="列出段落2"/>
    <w:basedOn w:val="1"/>
    <w:unhideWhenUsed/>
    <w:qFormat/>
    <w:uiPriority w:val="99"/>
    <w:pPr>
      <w:ind w:firstLine="420" w:firstLineChars="200"/>
    </w:pPr>
    <w:rPr>
      <w:sz w:val="30"/>
    </w:rPr>
  </w:style>
  <w:style w:type="paragraph" w:customStyle="1" w:styleId="13">
    <w:name w:val="Table Paragraph"/>
    <w:basedOn w:val="1"/>
    <w:qFormat/>
    <w:uiPriority w:val="0"/>
    <w:pPr>
      <w:jc w:val="left"/>
    </w:pPr>
    <w:rPr>
      <w:rFonts w:ascii="Calibri" w:hAnsi="Calibri"/>
      <w:kern w:val="0"/>
      <w:sz w:val="22"/>
      <w:szCs w:val="22"/>
      <w:lang w:eastAsia="en-US"/>
    </w:rPr>
  </w:style>
  <w:style w:type="character" w:customStyle="1" w:styleId="14">
    <w:name w:val="页眉 Char"/>
    <w:basedOn w:val="8"/>
    <w:link w:val="5"/>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964</Words>
  <Characters>5497</Characters>
  <Lines>45</Lines>
  <Paragraphs>12</Paragraphs>
  <TotalTime>11</TotalTime>
  <ScaleCrop>false</ScaleCrop>
  <LinksUpToDate>false</LinksUpToDate>
  <CharactersWithSpaces>6449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2022-03-15T02:26:00Z</dcterms:created>
  <dc:creator>刘晓丽</dc:creator>
  <cp:lastModifiedBy>刘赞</cp:lastModifiedBy>
  <dcterms:modified xsi:type="dcterms:W3CDTF">2023-05-10T09:28:48Z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D8C5CC209AA14CA9BBA81AF739B37B12</vt:lpwstr>
  </property>
</Properties>
</file>