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pacing w:line="578" w:lineRule="exact"/>
        <w:jc w:val="center"/>
        <w:textAlignment w:val="auto"/>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spacing w:val="-1"/>
          <w:position w:val="1"/>
          <w:sz w:val="44"/>
          <w:szCs w:val="44"/>
        </w:rPr>
        <w:t>珠海市农用薄膜产品</w:t>
      </w:r>
      <w:r>
        <w:rPr>
          <w:rFonts w:hint="eastAsia" w:ascii="方正小标宋简体" w:hAnsi="方正小标宋简体" w:eastAsia="方正小标宋简体" w:cs="方正小标宋简体"/>
          <w:spacing w:val="-1"/>
          <w:position w:val="1"/>
          <w:sz w:val="44"/>
          <w:szCs w:val="44"/>
          <w:lang w:val="en-US" w:eastAsia="zh-CN"/>
        </w:rPr>
        <w:t>质量</w:t>
      </w:r>
      <w:r>
        <w:rPr>
          <w:rFonts w:hint="eastAsia" w:ascii="方正小标宋简体" w:hAnsi="方正小标宋简体" w:eastAsia="方正小标宋简体" w:cs="方正小标宋简体"/>
          <w:w w:val="99"/>
          <w:position w:val="1"/>
          <w:sz w:val="44"/>
          <w:szCs w:val="44"/>
        </w:rPr>
        <w:t>监督</w:t>
      </w:r>
      <w:r>
        <w:rPr>
          <w:rFonts w:hint="eastAsia" w:ascii="方正小标宋简体" w:hAnsi="方正小标宋简体" w:eastAsia="方正小标宋简体" w:cs="方正小标宋简体"/>
          <w:bCs/>
          <w:color w:val="000000"/>
          <w:sz w:val="44"/>
          <w:szCs w:val="44"/>
        </w:rPr>
        <w:t>抽查实施细则</w:t>
      </w:r>
    </w:p>
    <w:p>
      <w:pPr>
        <w:pageBreakBefore w:val="0"/>
        <w:kinsoku/>
        <w:wordWrap/>
        <w:overflowPunct/>
        <w:topLinePunct w:val="0"/>
        <w:bidi w:val="0"/>
        <w:spacing w:line="578" w:lineRule="exact"/>
        <w:ind w:firstLine="880" w:firstLineChars="200"/>
        <w:jc w:val="left"/>
        <w:textAlignment w:val="auto"/>
        <w:rPr>
          <w:rFonts w:eastAsia="方正小标宋简体" w:cs="方正小标宋简体"/>
          <w:color w:val="000000"/>
          <w:sz w:val="44"/>
          <w:szCs w:val="44"/>
        </w:rPr>
      </w:pPr>
    </w:p>
    <w:p>
      <w:pPr>
        <w:pageBreakBefore w:val="0"/>
        <w:kinsoku/>
        <w:wordWrap/>
        <w:overflowPunct/>
        <w:topLinePunct w:val="0"/>
        <w:bidi w:val="0"/>
        <w:spacing w:line="578" w:lineRule="exact"/>
        <w:ind w:firstLine="640" w:firstLineChars="200"/>
        <w:jc w:val="left"/>
        <w:textAlignment w:val="auto"/>
        <w:rPr>
          <w:rFonts w:ascii="黑体" w:hAnsi="黑体" w:eastAsia="黑体" w:cs="黑体"/>
          <w:szCs w:val="32"/>
        </w:rPr>
      </w:pPr>
      <w:r>
        <w:rPr>
          <w:rFonts w:hint="eastAsia" w:ascii="黑体" w:hAnsi="黑体" w:eastAsia="黑体" w:cs="黑体"/>
          <w:szCs w:val="32"/>
        </w:rPr>
        <w:t>一、抽样方法</w:t>
      </w:r>
    </w:p>
    <w:p>
      <w:pPr>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以随机抽样的方式在被抽查市场主体的待销产品中抽取。</w:t>
      </w:r>
    </w:p>
    <w:p>
      <w:pPr>
        <w:pageBreakBefore w:val="0"/>
        <w:kinsoku/>
        <w:wordWrap/>
        <w:overflowPunct/>
        <w:topLinePunct w:val="0"/>
        <w:bidi w:val="0"/>
        <w:spacing w:line="578" w:lineRule="exact"/>
        <w:ind w:firstLine="640" w:firstLineChars="200"/>
        <w:jc w:val="left"/>
        <w:textAlignment w:val="auto"/>
        <w:rPr>
          <w:rFonts w:hint="eastAsia" w:ascii="仿宋" w:hAnsi="仿宋" w:eastAsia="仿宋" w:cs="仿宋"/>
          <w:color w:val="000000"/>
          <w:szCs w:val="32"/>
        </w:rPr>
      </w:pPr>
      <w:r>
        <w:rPr>
          <w:rFonts w:hint="eastAsia" w:ascii="仿宋" w:hAnsi="仿宋" w:eastAsia="仿宋" w:cs="仿宋"/>
          <w:kern w:val="0"/>
          <w:szCs w:val="32"/>
        </w:rPr>
        <w:t>随机数一般可使用随机数表等方法产生。</w:t>
      </w:r>
    </w:p>
    <w:p>
      <w:pPr>
        <w:pageBreakBefore w:val="0"/>
        <w:kinsoku/>
        <w:wordWrap/>
        <w:overflowPunct/>
        <w:topLinePunct w:val="0"/>
        <w:bidi w:val="0"/>
        <w:adjustRightInd w:val="0"/>
        <w:snapToGrid w:val="0"/>
        <w:spacing w:line="578" w:lineRule="exact"/>
        <w:ind w:firstLine="640" w:firstLineChars="200"/>
        <w:jc w:val="left"/>
        <w:textAlignment w:val="auto"/>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抽查数量：每款产品抽取2组样本，第1组用于检验，第2组用于备样。具体抽样数量和方法如下：</w:t>
      </w:r>
    </w:p>
    <w:p>
      <w:pPr>
        <w:pageBreakBefore w:val="0"/>
        <w:kinsoku/>
        <w:wordWrap/>
        <w:overflowPunct/>
        <w:topLinePunct w:val="0"/>
        <w:bidi w:val="0"/>
        <w:spacing w:line="578" w:lineRule="exact"/>
        <w:ind w:firstLine="640"/>
        <w:jc w:val="left"/>
        <w:textAlignment w:val="auto"/>
        <w:rPr>
          <w:rFonts w:hint="eastAsia" w:ascii="仿宋" w:hAnsi="仿宋" w:eastAsia="仿宋" w:cs="仿宋"/>
          <w:color w:val="333333"/>
          <w:kern w:val="0"/>
          <w:szCs w:val="32"/>
        </w:rPr>
      </w:pPr>
      <w:r>
        <w:rPr>
          <w:rFonts w:hint="eastAsia" w:ascii="仿宋" w:hAnsi="仿宋" w:eastAsia="仿宋" w:cs="仿宋"/>
          <w:color w:val="333333"/>
          <w:kern w:val="0"/>
          <w:szCs w:val="32"/>
          <w:lang w:eastAsia="zh-CN"/>
        </w:rPr>
        <w:t>（一）</w:t>
      </w:r>
      <w:r>
        <w:rPr>
          <w:rFonts w:hint="eastAsia" w:ascii="仿宋" w:hAnsi="仿宋" w:eastAsia="仿宋" w:cs="仿宋"/>
          <w:color w:val="333333"/>
          <w:kern w:val="0"/>
          <w:szCs w:val="32"/>
        </w:rPr>
        <w:t>农用棚膜每款产品的抽样数量10m，其中5m为检验样品，5m为备用样品。</w:t>
      </w:r>
    </w:p>
    <w:p>
      <w:pPr>
        <w:pageBreakBefore w:val="0"/>
        <w:kinsoku/>
        <w:wordWrap/>
        <w:overflowPunct/>
        <w:topLinePunct w:val="0"/>
        <w:bidi w:val="0"/>
        <w:spacing w:line="578" w:lineRule="exact"/>
        <w:ind w:firstLine="640"/>
        <w:jc w:val="left"/>
        <w:textAlignment w:val="auto"/>
        <w:rPr>
          <w:rFonts w:hint="eastAsia" w:ascii="仿宋" w:hAnsi="仿宋" w:eastAsia="仿宋" w:cs="仿宋"/>
        </w:rPr>
      </w:pPr>
      <w:r>
        <w:rPr>
          <w:rFonts w:hint="eastAsia" w:ascii="仿宋" w:hAnsi="仿宋" w:eastAsia="仿宋" w:cs="仿宋"/>
          <w:color w:val="333333"/>
          <w:kern w:val="0"/>
          <w:szCs w:val="32"/>
          <w:lang w:eastAsia="zh-CN"/>
        </w:rPr>
        <w:t>（二）</w:t>
      </w:r>
      <w:r>
        <w:rPr>
          <w:rFonts w:hint="eastAsia" w:ascii="仿宋" w:hAnsi="仿宋" w:eastAsia="仿宋" w:cs="仿宋"/>
          <w:color w:val="333333"/>
          <w:kern w:val="0"/>
          <w:szCs w:val="32"/>
        </w:rPr>
        <w:t xml:space="preserve"> 农用地膜每款产品的抽样数量10m，其中5m为检验样品，5m为备用样品。</w:t>
      </w:r>
    </w:p>
    <w:p>
      <w:pPr>
        <w:pStyle w:val="13"/>
        <w:pageBreakBefore w:val="0"/>
        <w:kinsoku/>
        <w:wordWrap/>
        <w:overflowPunct/>
        <w:topLinePunct w:val="0"/>
        <w:bidi w:val="0"/>
        <w:spacing w:line="578"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抽取标称同一商标（或标称同一生产者）、同一型号规格的产品。抽样时，产品需确认以下信息：</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2686"/>
        <w:gridCol w:w="3697"/>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blHeader/>
          <w:jc w:val="center"/>
        </w:trPr>
        <w:tc>
          <w:tcPr>
            <w:tcW w:w="507"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sz w:val="24"/>
              </w:rPr>
            </w:pPr>
            <w:r>
              <w:rPr>
                <w:rFonts w:hint="eastAsia" w:ascii="黑体" w:hAnsi="黑体" w:eastAsia="黑体" w:cs="黑体"/>
                <w:sz w:val="24"/>
              </w:rPr>
              <w:t>序号</w:t>
            </w:r>
          </w:p>
        </w:tc>
        <w:tc>
          <w:tcPr>
            <w:tcW w:w="1482"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sz w:val="24"/>
              </w:rPr>
            </w:pPr>
            <w:r>
              <w:rPr>
                <w:rFonts w:hint="eastAsia" w:ascii="黑体" w:hAnsi="黑体" w:eastAsia="黑体" w:cs="黑体"/>
                <w:sz w:val="24"/>
              </w:rPr>
              <w:t>产品名称</w:t>
            </w:r>
          </w:p>
        </w:tc>
        <w:tc>
          <w:tcPr>
            <w:tcW w:w="2040"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sz w:val="24"/>
              </w:rPr>
            </w:pPr>
            <w:r>
              <w:rPr>
                <w:rFonts w:hint="eastAsia" w:ascii="黑体" w:hAnsi="黑体" w:eastAsia="黑体" w:cs="黑体"/>
                <w:sz w:val="24"/>
              </w:rPr>
              <w:t>应提供的其他产品信息</w:t>
            </w:r>
          </w:p>
        </w:tc>
        <w:tc>
          <w:tcPr>
            <w:tcW w:w="969"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sz w:val="24"/>
              </w:rPr>
            </w:pPr>
            <w:r>
              <w:rPr>
                <w:rFonts w:hint="eastAsia" w:ascii="黑体" w:hAnsi="黑体" w:eastAsia="黑体" w:cs="黑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507"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1</w:t>
            </w:r>
          </w:p>
        </w:tc>
        <w:tc>
          <w:tcPr>
            <w:tcW w:w="1482"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农用棚膜</w:t>
            </w:r>
          </w:p>
        </w:tc>
        <w:tc>
          <w:tcPr>
            <w:tcW w:w="2040"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1.宽度、厚度</w:t>
            </w:r>
          </w:p>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2.类别，普通棚膜或耐老化棚膜</w:t>
            </w:r>
          </w:p>
        </w:tc>
        <w:tc>
          <w:tcPr>
            <w:tcW w:w="969"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507"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2</w:t>
            </w:r>
          </w:p>
        </w:tc>
        <w:tc>
          <w:tcPr>
            <w:tcW w:w="1482"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农用地膜</w:t>
            </w:r>
          </w:p>
        </w:tc>
        <w:tc>
          <w:tcPr>
            <w:tcW w:w="2040"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1.宽度、厚度</w:t>
            </w:r>
          </w:p>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2.类别，普通地膜或耐老化地膜</w:t>
            </w:r>
          </w:p>
        </w:tc>
        <w:tc>
          <w:tcPr>
            <w:tcW w:w="969"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_GB2312"/>
                <w:sz w:val="24"/>
              </w:rPr>
            </w:pPr>
            <w:r>
              <w:rPr>
                <w:rFonts w:hint="eastAsia" w:ascii="仿宋" w:hAnsi="仿宋" w:eastAsia="仿宋" w:cs="仿宋_GB2312"/>
                <w:sz w:val="24"/>
              </w:rPr>
              <w:t>——</w:t>
            </w:r>
          </w:p>
        </w:tc>
      </w:tr>
    </w:tbl>
    <w:p>
      <w:pPr>
        <w:pageBreakBefore w:val="0"/>
        <w:kinsoku/>
        <w:wordWrap/>
        <w:overflowPunct/>
        <w:topLinePunct w:val="0"/>
        <w:bidi w:val="0"/>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在企业的成品库内或待销货架上随机抽取有产品质量检验合格证明或者以其他形式表明合格的的同一标准、同一型号（规格）的产品。</w:t>
      </w:r>
    </w:p>
    <w:p>
      <w:pPr>
        <w:pageBreakBefore w:val="0"/>
        <w:kinsoku/>
        <w:wordWrap/>
        <w:overflowPunct/>
        <w:topLinePunct w:val="0"/>
        <w:bidi w:val="0"/>
        <w:spacing w:line="578" w:lineRule="exact"/>
        <w:ind w:firstLine="640" w:firstLineChars="200"/>
        <w:jc w:val="left"/>
        <w:textAlignment w:val="auto"/>
        <w:rPr>
          <w:rFonts w:eastAsia="黑体" w:cs="黑体"/>
          <w:color w:val="000000"/>
        </w:rPr>
      </w:pPr>
      <w:r>
        <w:rPr>
          <w:rFonts w:hint="eastAsia" w:eastAsia="黑体" w:cs="黑体"/>
          <w:color w:val="000000"/>
          <w:lang w:val="en-US" w:eastAsia="zh-CN"/>
        </w:rPr>
        <w:t>二</w:t>
      </w:r>
      <w:r>
        <w:rPr>
          <w:rFonts w:hint="eastAsia" w:eastAsia="黑体" w:cs="黑体"/>
          <w:color w:val="000000"/>
        </w:rPr>
        <w:t>、主要检验项目及检验项目属性划分</w:t>
      </w:r>
    </w:p>
    <w:p>
      <w:pPr>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szCs w:val="32"/>
        </w:rPr>
      </w:pPr>
      <w:r>
        <w:rPr>
          <w:rFonts w:hint="eastAsia" w:ascii="楷体_GB2312" w:hAnsi="楷体_GB2312" w:eastAsia="楷体_GB2312" w:cs="楷体_GB2312"/>
          <w:b w:val="0"/>
          <w:bCs w:val="0"/>
          <w:szCs w:val="32"/>
          <w:lang w:eastAsia="zh-CN"/>
        </w:rPr>
        <w:t>（一）</w:t>
      </w:r>
      <w:r>
        <w:rPr>
          <w:rFonts w:hint="eastAsia" w:ascii="楷体_GB2312" w:hAnsi="楷体_GB2312" w:eastAsia="楷体_GB2312" w:cs="楷体_GB2312"/>
          <w:b w:val="0"/>
          <w:bCs w:val="0"/>
          <w:szCs w:val="21"/>
        </w:rPr>
        <w:t>农业用聚乙烯吹塑棚膜</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70"/>
        <w:gridCol w:w="1801"/>
        <w:gridCol w:w="2050"/>
        <w:gridCol w:w="887"/>
        <w:gridCol w:w="887"/>
        <w:gridCol w:w="887"/>
        <w:gridCol w:w="887"/>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blHead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序号</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1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检验方法</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强制性</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非强制性</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重要项</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较重要项</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1</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外观</w:t>
            </w:r>
          </w:p>
        </w:tc>
        <w:tc>
          <w:tcPr>
            <w:tcW w:w="11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4455-2019</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2</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宽度偏差</w:t>
            </w:r>
          </w:p>
        </w:tc>
        <w:tc>
          <w:tcPr>
            <w:tcW w:w="11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6673-2001</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3</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厚度偏差</w:t>
            </w:r>
          </w:p>
        </w:tc>
        <w:tc>
          <w:tcPr>
            <w:tcW w:w="11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6672-2001</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4</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拉伸强度</w:t>
            </w:r>
          </w:p>
        </w:tc>
        <w:tc>
          <w:tcPr>
            <w:tcW w:w="11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1040.3-2006</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5</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断裂标称应变</w:t>
            </w:r>
          </w:p>
        </w:tc>
        <w:tc>
          <w:tcPr>
            <w:tcW w:w="11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1040.3-2006</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6</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直角撕裂强度</w:t>
            </w:r>
          </w:p>
        </w:tc>
        <w:tc>
          <w:tcPr>
            <w:tcW w:w="11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QB/T 1130-1991</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48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r>
    </w:tbl>
    <w:p>
      <w:pPr>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szCs w:val="32"/>
        </w:rPr>
      </w:pPr>
      <w:r>
        <w:rPr>
          <w:rFonts w:hint="eastAsia" w:ascii="楷体_GB2312" w:hAnsi="楷体_GB2312" w:eastAsia="楷体_GB2312" w:cs="楷体_GB2312"/>
          <w:b w:val="0"/>
          <w:bCs w:val="0"/>
          <w:szCs w:val="32"/>
          <w:lang w:eastAsia="zh-CN"/>
        </w:rPr>
        <w:t>（二）</w:t>
      </w:r>
      <w:r>
        <w:rPr>
          <w:rFonts w:hint="eastAsia" w:ascii="楷体_GB2312" w:hAnsi="楷体_GB2312" w:eastAsia="楷体_GB2312" w:cs="楷体_GB2312"/>
          <w:b w:val="0"/>
          <w:bCs w:val="0"/>
          <w:szCs w:val="32"/>
        </w:rPr>
        <w:t>聚乙烯吹塑农用地面覆盖薄膜</w:t>
      </w:r>
    </w:p>
    <w:tbl>
      <w:tblPr>
        <w:tblStyle w:val="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87"/>
        <w:gridCol w:w="1800"/>
        <w:gridCol w:w="2034"/>
        <w:gridCol w:w="896"/>
        <w:gridCol w:w="896"/>
        <w:gridCol w:w="896"/>
        <w:gridCol w:w="896"/>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blHeader/>
        </w:trPr>
        <w:tc>
          <w:tcPr>
            <w:tcW w:w="7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序号</w:t>
            </w:r>
          </w:p>
        </w:tc>
        <w:tc>
          <w:tcPr>
            <w:tcW w:w="18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检验项目</w:t>
            </w:r>
          </w:p>
        </w:tc>
        <w:tc>
          <w:tcPr>
            <w:tcW w:w="20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检验方法</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强制性</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非强制性</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重要项</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较重要项</w:t>
            </w:r>
          </w:p>
        </w:tc>
        <w:tc>
          <w:tcPr>
            <w:tcW w:w="8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1</w:t>
            </w:r>
          </w:p>
        </w:tc>
        <w:tc>
          <w:tcPr>
            <w:tcW w:w="18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外观</w:t>
            </w:r>
          </w:p>
        </w:tc>
        <w:tc>
          <w:tcPr>
            <w:tcW w:w="20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 13735-2017</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2</w:t>
            </w:r>
          </w:p>
        </w:tc>
        <w:tc>
          <w:tcPr>
            <w:tcW w:w="18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宽度偏差</w:t>
            </w:r>
          </w:p>
        </w:tc>
        <w:tc>
          <w:tcPr>
            <w:tcW w:w="20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6673-2001</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3</w:t>
            </w:r>
          </w:p>
        </w:tc>
        <w:tc>
          <w:tcPr>
            <w:tcW w:w="18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厚度偏差</w:t>
            </w:r>
          </w:p>
        </w:tc>
        <w:tc>
          <w:tcPr>
            <w:tcW w:w="20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6672-2001</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7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4</w:t>
            </w:r>
          </w:p>
        </w:tc>
        <w:tc>
          <w:tcPr>
            <w:tcW w:w="18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拉伸强度</w:t>
            </w:r>
          </w:p>
        </w:tc>
        <w:tc>
          <w:tcPr>
            <w:tcW w:w="20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1040.3-2006</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7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5</w:t>
            </w:r>
          </w:p>
        </w:tc>
        <w:tc>
          <w:tcPr>
            <w:tcW w:w="18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断裂标称应变</w:t>
            </w:r>
          </w:p>
        </w:tc>
        <w:tc>
          <w:tcPr>
            <w:tcW w:w="20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1040.3-2006</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7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6</w:t>
            </w:r>
          </w:p>
        </w:tc>
        <w:tc>
          <w:tcPr>
            <w:tcW w:w="18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直角撕裂强度</w:t>
            </w:r>
          </w:p>
        </w:tc>
        <w:tc>
          <w:tcPr>
            <w:tcW w:w="20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QB/T 1130-1991</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c>
          <w:tcPr>
            <w:tcW w:w="8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8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4"/>
              </w:rPr>
            </w:pPr>
          </w:p>
        </w:tc>
      </w:tr>
    </w:tbl>
    <w:p>
      <w:pPr>
        <w:pageBreakBefore w:val="0"/>
        <w:kinsoku/>
        <w:wordWrap/>
        <w:overflowPunct/>
        <w:topLinePunct w:val="0"/>
        <w:bidi w:val="0"/>
        <w:spacing w:line="578" w:lineRule="exact"/>
        <w:ind w:firstLine="480" w:firstLineChars="200"/>
        <w:jc w:val="left"/>
        <w:textAlignment w:val="auto"/>
        <w:rPr>
          <w:rFonts w:hint="eastAsia" w:ascii="CESI仿宋-GB2312" w:hAnsi="CESI仿宋-GB2312" w:eastAsia="CESI仿宋-GB2312" w:cs="CESI仿宋-GB2312"/>
        </w:rPr>
      </w:pPr>
      <w:r>
        <w:rPr>
          <w:rFonts w:hint="eastAsia" w:ascii="仿宋" w:hAnsi="仿宋" w:eastAsia="仿宋" w:cs="仿宋"/>
          <w:color w:val="000000"/>
          <w:sz w:val="24"/>
        </w:rPr>
        <w:t xml:space="preserve"> </w:t>
      </w:r>
      <w:r>
        <w:rPr>
          <w:rFonts w:hint="eastAsia" w:ascii="仿宋" w:hAnsi="仿宋" w:eastAsia="仿宋" w:cs="仿宋"/>
          <w:kern w:val="0"/>
          <w:szCs w:val="32"/>
        </w:rPr>
        <w:t>凡是注日期的文件，其随后所有的修改单（不包括勘误的内容）或修订版不适用于本细则。凡是不注日期的文件，其最新版本适用于本细则。</w:t>
      </w:r>
    </w:p>
    <w:p>
      <w:pPr>
        <w:pageBreakBefore w:val="0"/>
        <w:kinsoku/>
        <w:wordWrap/>
        <w:overflowPunct/>
        <w:topLinePunct w:val="0"/>
        <w:bidi w:val="0"/>
        <w:spacing w:line="578" w:lineRule="exact"/>
        <w:ind w:firstLine="640" w:firstLineChars="200"/>
        <w:jc w:val="left"/>
        <w:textAlignment w:val="auto"/>
        <w:rPr>
          <w:rFonts w:eastAsia="仿宋" w:cs="仿宋"/>
          <w:sz w:val="44"/>
          <w:szCs w:val="44"/>
        </w:rPr>
      </w:pPr>
      <w:r>
        <w:rPr>
          <w:rFonts w:hint="eastAsia" w:eastAsia="黑体" w:cs="黑体"/>
          <w:szCs w:val="32"/>
        </w:rPr>
        <w:t>三、判定规则</w:t>
      </w:r>
    </w:p>
    <w:p>
      <w:pPr>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（一）依据标准</w:t>
      </w:r>
    </w:p>
    <w:p>
      <w:pPr>
        <w:pageBreakBefore w:val="0"/>
        <w:kinsoku/>
        <w:wordWrap/>
        <w:overflowPunct/>
        <w:topLinePunct w:val="0"/>
        <w:bidi w:val="0"/>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13735-2017《聚乙烯吹塑农用地面覆盖薄膜》</w:t>
      </w:r>
    </w:p>
    <w:p>
      <w:pPr>
        <w:pageBreakBefore w:val="0"/>
        <w:kinsoku/>
        <w:wordWrap/>
        <w:overflowPunct/>
        <w:topLinePunct w:val="0"/>
        <w:bidi w:val="0"/>
        <w:spacing w:line="578" w:lineRule="exact"/>
        <w:ind w:firstLine="640" w:firstLineChars="200"/>
        <w:jc w:val="left"/>
        <w:textAlignment w:val="auto"/>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GB/T 4455-2019《农业用聚乙烯吹塑棚膜》</w:t>
      </w:r>
    </w:p>
    <w:p>
      <w:pPr>
        <w:pageBreakBefore w:val="0"/>
        <w:kinsoku/>
        <w:wordWrap/>
        <w:overflowPunct/>
        <w:topLinePunct w:val="0"/>
        <w:bidi w:val="0"/>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pageBreakBefore w:val="0"/>
        <w:kinsoku/>
        <w:wordWrap/>
        <w:overflowPunct/>
        <w:topLinePunct w:val="0"/>
        <w:bidi w:val="0"/>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 xml:space="preserve"> </w:t>
      </w:r>
      <w:r>
        <w:rPr>
          <w:rFonts w:hint="eastAsia" w:ascii="楷体_GB2312" w:hAnsi="楷体_GB2312" w:eastAsia="楷体_GB2312" w:cs="楷体_GB2312"/>
          <w:kern w:val="0"/>
          <w:szCs w:val="32"/>
        </w:rPr>
        <w:t>(二）判定原则</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经检验，检验项目全部合格，判定为被抽查产品所检项目未发现不合格；检验项目中任一项或一项以上不合格，判定为被抽查产品不合格。</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当被检样品明示的质量要求优于监督抽查实施细则中依据的标准要求时，应按被检样品明示的质量要求判定；</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当被检样品明示的质量要求劣于或不包含监督抽查实施细则中依据的强制性标准要求时，应按照强制性标准要求判定；</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当被检样品明示的质量要求不包含监督抽查实施细则中依据的推荐性标准要求时，该指标不参与判定，但应在检验报告中作出说明；</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当被检样品未能提供有效的企业标准时，按相关国家或行业标准进行判定；</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按照产品质量相关法律法规的规定判定。</w:t>
      </w:r>
    </w:p>
    <w:p>
      <w:pPr>
        <w:widowControl/>
        <w:spacing w:line="520" w:lineRule="exact"/>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检验中发现因样品失效或者其他原因致使检验无法进行的，检验人员应如实记录，并提供相关证明材料，报送组织监督抽查的市场监管部门。</w:t>
      </w:r>
    </w:p>
    <w:p>
      <w:pPr>
        <w:pageBreakBefore w:val="0"/>
        <w:kinsoku/>
        <w:wordWrap/>
        <w:overflowPunct/>
        <w:topLinePunct w:val="0"/>
        <w:bidi w:val="0"/>
        <w:spacing w:line="578" w:lineRule="exact"/>
        <w:ind w:firstLine="640" w:firstLineChars="200"/>
        <w:jc w:val="left"/>
        <w:textAlignment w:val="auto"/>
        <w:rPr>
          <w:rFonts w:hint="eastAsia" w:ascii="仿宋" w:hAnsi="仿宋" w:eastAsia="仿宋" w:cs="仿宋"/>
          <w:kern w:val="0"/>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80B45"/>
    <w:rsid w:val="000A14A8"/>
    <w:rsid w:val="00124879"/>
    <w:rsid w:val="00192409"/>
    <w:rsid w:val="001D16D8"/>
    <w:rsid w:val="001D5FC1"/>
    <w:rsid w:val="00212B84"/>
    <w:rsid w:val="00246256"/>
    <w:rsid w:val="002724DE"/>
    <w:rsid w:val="00335206"/>
    <w:rsid w:val="00342176"/>
    <w:rsid w:val="00373DCF"/>
    <w:rsid w:val="003B0813"/>
    <w:rsid w:val="003B2A4D"/>
    <w:rsid w:val="003C6E53"/>
    <w:rsid w:val="00400D54"/>
    <w:rsid w:val="004805EF"/>
    <w:rsid w:val="004D3EDB"/>
    <w:rsid w:val="004D7991"/>
    <w:rsid w:val="00502214"/>
    <w:rsid w:val="005462F5"/>
    <w:rsid w:val="00567951"/>
    <w:rsid w:val="00580ADD"/>
    <w:rsid w:val="0059343D"/>
    <w:rsid w:val="0059775C"/>
    <w:rsid w:val="005F3C99"/>
    <w:rsid w:val="00621D06"/>
    <w:rsid w:val="00676C9F"/>
    <w:rsid w:val="006B2B11"/>
    <w:rsid w:val="007034B0"/>
    <w:rsid w:val="00771A12"/>
    <w:rsid w:val="007D08B7"/>
    <w:rsid w:val="0081385A"/>
    <w:rsid w:val="00827163"/>
    <w:rsid w:val="0086227D"/>
    <w:rsid w:val="00896D4C"/>
    <w:rsid w:val="008A1EE8"/>
    <w:rsid w:val="008A5751"/>
    <w:rsid w:val="008F073E"/>
    <w:rsid w:val="008F2077"/>
    <w:rsid w:val="00903E73"/>
    <w:rsid w:val="00916737"/>
    <w:rsid w:val="00986F0A"/>
    <w:rsid w:val="00A2577D"/>
    <w:rsid w:val="00A53ABD"/>
    <w:rsid w:val="00A83DB2"/>
    <w:rsid w:val="00A85699"/>
    <w:rsid w:val="00AD40E0"/>
    <w:rsid w:val="00B53BE9"/>
    <w:rsid w:val="00BA7662"/>
    <w:rsid w:val="00BE266F"/>
    <w:rsid w:val="00C852C1"/>
    <w:rsid w:val="00CA727A"/>
    <w:rsid w:val="00CC61AB"/>
    <w:rsid w:val="00CC7344"/>
    <w:rsid w:val="00D959C7"/>
    <w:rsid w:val="00DE47AB"/>
    <w:rsid w:val="00E33DCF"/>
    <w:rsid w:val="00E35225"/>
    <w:rsid w:val="00E66C92"/>
    <w:rsid w:val="00EA30C7"/>
    <w:rsid w:val="00EF7643"/>
    <w:rsid w:val="00F6328D"/>
    <w:rsid w:val="00F70B5E"/>
    <w:rsid w:val="00F71920"/>
    <w:rsid w:val="00F92146"/>
    <w:rsid w:val="00FA4278"/>
    <w:rsid w:val="047778D0"/>
    <w:rsid w:val="04C96CB1"/>
    <w:rsid w:val="0679257F"/>
    <w:rsid w:val="0A661326"/>
    <w:rsid w:val="0BFE0085"/>
    <w:rsid w:val="0F1F3993"/>
    <w:rsid w:val="14A811C1"/>
    <w:rsid w:val="14B22FC0"/>
    <w:rsid w:val="14C94D0F"/>
    <w:rsid w:val="14DC4A04"/>
    <w:rsid w:val="18815DFF"/>
    <w:rsid w:val="1B0B03E1"/>
    <w:rsid w:val="1CB03ADB"/>
    <w:rsid w:val="1E2462E4"/>
    <w:rsid w:val="20EC42E8"/>
    <w:rsid w:val="211D1003"/>
    <w:rsid w:val="22E70F8C"/>
    <w:rsid w:val="24766172"/>
    <w:rsid w:val="2C8B1EB6"/>
    <w:rsid w:val="2E22383C"/>
    <w:rsid w:val="2F9F2AED"/>
    <w:rsid w:val="362F7A57"/>
    <w:rsid w:val="38F16460"/>
    <w:rsid w:val="3EA63DA8"/>
    <w:rsid w:val="3F736EC6"/>
    <w:rsid w:val="41C40667"/>
    <w:rsid w:val="434F0216"/>
    <w:rsid w:val="4570602F"/>
    <w:rsid w:val="47390F89"/>
    <w:rsid w:val="499F5EBD"/>
    <w:rsid w:val="49C9475C"/>
    <w:rsid w:val="4B10284A"/>
    <w:rsid w:val="4B5B1C0F"/>
    <w:rsid w:val="4BAA09C7"/>
    <w:rsid w:val="4D6B64BE"/>
    <w:rsid w:val="510F468F"/>
    <w:rsid w:val="53CD6333"/>
    <w:rsid w:val="57244C3D"/>
    <w:rsid w:val="572A45B5"/>
    <w:rsid w:val="57455456"/>
    <w:rsid w:val="582C61F0"/>
    <w:rsid w:val="5AD67155"/>
    <w:rsid w:val="5B3B30A1"/>
    <w:rsid w:val="5C722673"/>
    <w:rsid w:val="5C9E77E6"/>
    <w:rsid w:val="5F2909A2"/>
    <w:rsid w:val="60957AA9"/>
    <w:rsid w:val="60CC0484"/>
    <w:rsid w:val="624E1047"/>
    <w:rsid w:val="62671E79"/>
    <w:rsid w:val="669037FA"/>
    <w:rsid w:val="6A3E7729"/>
    <w:rsid w:val="6F736536"/>
    <w:rsid w:val="7881476A"/>
    <w:rsid w:val="7A9B3937"/>
    <w:rsid w:val="7C546201"/>
    <w:rsid w:val="7CEC7AF9"/>
    <w:rsid w:val="7EC20718"/>
    <w:rsid w:val="7F3B8AB0"/>
    <w:rsid w:val="7FBF0E0D"/>
    <w:rsid w:val="FD6F0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Table Paragraph"/>
    <w:basedOn w:val="1"/>
    <w:qFormat/>
    <w:uiPriority w:val="99"/>
    <w:rPr>
      <w:rFonts w:ascii="Calibri" w:hAnsi="Calibri"/>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1439</Words>
  <Characters>1627</Characters>
  <Lines>17</Lines>
  <Paragraphs>4</Paragraphs>
  <TotalTime>5</TotalTime>
  <ScaleCrop>false</ScaleCrop>
  <LinksUpToDate>false</LinksUpToDate>
  <CharactersWithSpaces>1656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2022-02-28T23:28:00Z</dcterms:created>
  <dc:creator>HO(∩_∩)O</dc:creator>
  <cp:lastModifiedBy>刘赞</cp:lastModifiedBy>
  <dcterms:modified xsi:type="dcterms:W3CDTF">2023-05-10T09:21:19Z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103FB4A2DFCE4D1EA174C6652285B894_13</vt:lpwstr>
  </property>
</Properties>
</file>