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珠海市胶粘剂产品质量监督抽查实施细则</w:t>
      </w:r>
    </w:p>
    <w:p>
      <w:pPr>
        <w:spacing w:line="600" w:lineRule="exact"/>
        <w:jc w:val="left"/>
        <w:rPr>
          <w:rFonts w:ascii="黑体" w:hAnsi="黑体" w:eastAsia="黑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w:t>
      </w:r>
    </w:p>
    <w:p>
      <w:pPr>
        <w:widowControl/>
        <w:spacing w:line="600" w:lineRule="exact"/>
        <w:ind w:firstLine="640" w:firstLineChars="200"/>
        <w:jc w:val="left"/>
        <w:rPr>
          <w:rFonts w:hint="eastAsia" w:ascii="仿宋" w:hAnsi="仿宋" w:eastAsia="仿宋" w:cs="仿宋"/>
        </w:rPr>
      </w:pPr>
      <w:r>
        <w:rPr>
          <w:rFonts w:hint="eastAsia" w:ascii="仿宋" w:hAnsi="仿宋" w:eastAsia="仿宋" w:cs="仿宋"/>
          <w:kern w:val="0"/>
        </w:rPr>
        <w:t>以随机抽样的方式在被抽查市场主体的待销产品中抽取。</w:t>
      </w:r>
    </w:p>
    <w:p>
      <w:pPr>
        <w:widowControl/>
        <w:spacing w:line="600" w:lineRule="exact"/>
        <w:ind w:firstLine="640" w:firstLineChars="200"/>
        <w:jc w:val="left"/>
        <w:rPr>
          <w:rFonts w:hint="eastAsia" w:ascii="仿宋" w:hAnsi="仿宋" w:eastAsia="仿宋" w:cs="仿宋"/>
        </w:rPr>
      </w:pPr>
      <w:r>
        <w:rPr>
          <w:rFonts w:hint="eastAsia" w:ascii="仿宋" w:hAnsi="仿宋" w:eastAsia="仿宋" w:cs="仿宋"/>
          <w:color w:val="333333"/>
          <w:kern w:val="0"/>
        </w:rPr>
        <w:t>随机数一般可使用随机数表等方法产生。</w:t>
      </w:r>
    </w:p>
    <w:p>
      <w:pPr>
        <w:spacing w:line="600" w:lineRule="exact"/>
        <w:ind w:firstLine="640" w:firstLineChars="200"/>
        <w:jc w:val="left"/>
        <w:rPr>
          <w:rFonts w:hint="eastAsia" w:ascii="仿宋" w:hAnsi="仿宋" w:eastAsia="仿宋" w:cs="仿宋"/>
          <w:color w:val="000000"/>
        </w:rPr>
      </w:pPr>
      <w:r>
        <w:rPr>
          <w:rFonts w:hint="eastAsia" w:ascii="仿宋" w:hAnsi="仿宋" w:eastAsia="仿宋" w:cs="仿宋"/>
          <w:color w:val="000000"/>
        </w:rPr>
        <w:t>抽查数量：每款产品抽取2组样本，第1组用于检验，第2组用于备样。具体抽样数量和方法如下：</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4"/>
        <w:gridCol w:w="4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6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黑体" w:hAnsi="黑体" w:eastAsia="黑体" w:cs="黑体"/>
                <w:sz w:val="24"/>
              </w:rPr>
            </w:pPr>
            <w:r>
              <w:rPr>
                <w:rFonts w:hint="eastAsia" w:ascii="黑体" w:hAnsi="黑体" w:eastAsia="黑体" w:cs="黑体"/>
                <w:sz w:val="24"/>
              </w:rPr>
              <w:t>第1组数量</w:t>
            </w:r>
          </w:p>
        </w:tc>
        <w:tc>
          <w:tcPr>
            <w:tcW w:w="23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黑体" w:hAnsi="黑体" w:eastAsia="黑体" w:cs="黑体"/>
                <w:sz w:val="24"/>
              </w:rPr>
            </w:pPr>
            <w:r>
              <w:rPr>
                <w:rFonts w:hint="eastAsia" w:ascii="黑体" w:hAnsi="黑体" w:eastAsia="黑体" w:cs="黑体"/>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262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jc w:val="center"/>
              <w:rPr>
                <w:rFonts w:ascii="仿宋" w:hAnsi="仿宋" w:cs="仿宋"/>
                <w:sz w:val="24"/>
              </w:rPr>
            </w:pPr>
            <w:r>
              <w:rPr>
                <w:rFonts w:hint="eastAsia" w:ascii="仿宋" w:hAnsi="仿宋" w:cs="仿宋"/>
                <w:sz w:val="24"/>
              </w:rPr>
              <w:t>不少于100mL</w:t>
            </w:r>
          </w:p>
        </w:tc>
        <w:tc>
          <w:tcPr>
            <w:tcW w:w="23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jc w:val="center"/>
              <w:rPr>
                <w:rFonts w:ascii="仿宋" w:hAnsi="仿宋" w:cs="仿宋"/>
                <w:sz w:val="24"/>
              </w:rPr>
            </w:pPr>
            <w:r>
              <w:rPr>
                <w:rFonts w:hint="eastAsia" w:ascii="仿宋" w:hAnsi="仿宋" w:cs="仿宋"/>
                <w:sz w:val="24"/>
              </w:rPr>
              <w:t>不少于100mL</w:t>
            </w:r>
          </w:p>
        </w:tc>
      </w:tr>
    </w:tbl>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寄/送给检验机构。封样单上应有被抽查企业和抽样人员双方的签名，注明抽样日期。封好样后，可采取拍照、封样单骑缝签名、漆封、特殊材料等其他附加的防拆封措施。在运送过程中应注意对样品进行适当防护，避免出现雨淋、进水等情况。</w:t>
      </w:r>
    </w:p>
    <w:p>
      <w:pPr>
        <w:spacing w:line="600" w:lineRule="exact"/>
        <w:ind w:firstLine="640" w:firstLineChars="200"/>
        <w:jc w:val="left"/>
        <w:rPr>
          <w:rFonts w:eastAsia="黑体"/>
        </w:rPr>
      </w:pPr>
      <w:r>
        <w:rPr>
          <w:rFonts w:hint="eastAsia" w:eastAsia="黑体"/>
        </w:rPr>
        <w:t>二、主要检验项目及检验项目属性划分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楷体_GB2312" w:hAnsi="楷体_GB2312" w:eastAsia="楷体_GB2312" w:cs="楷体_GB2312"/>
        </w:rPr>
      </w:pPr>
      <w:r>
        <w:rPr>
          <w:rFonts w:hint="eastAsia" w:ascii="楷体_GB2312" w:hAnsi="楷体_GB2312" w:eastAsia="楷体_GB2312" w:cs="楷体_GB2312"/>
        </w:rPr>
        <w:t>（一）装饰装修用胶粘剂（水基）</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2096"/>
        <w:gridCol w:w="250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序号</w:t>
            </w:r>
          </w:p>
        </w:tc>
        <w:tc>
          <w:tcPr>
            <w:tcW w:w="115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检验项目</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检验方法</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非强制性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重要项</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较重要项</w:t>
            </w:r>
          </w:p>
        </w:tc>
        <w:tc>
          <w:tcPr>
            <w:tcW w:w="408"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adjustRightInd w:val="0"/>
              <w:snapToGrid w:val="0"/>
              <w:jc w:val="center"/>
              <w:rPr>
                <w:rFonts w:hint="eastAsia" w:ascii="仿宋" w:hAnsi="仿宋" w:eastAsia="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游离甲醛</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18583-2008附录A</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adjustRightInd w:val="0"/>
              <w:snapToGrid w:val="0"/>
              <w:jc w:val="center"/>
              <w:rPr>
                <w:rFonts w:hint="eastAsia" w:ascii="仿宋" w:hAnsi="仿宋" w:eastAsia="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苯含量</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18583-2008附录B</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adjustRightInd w:val="0"/>
              <w:snapToGrid w:val="0"/>
              <w:jc w:val="center"/>
              <w:rPr>
                <w:rFonts w:hint="eastAsia" w:ascii="仿宋" w:hAnsi="仿宋" w:eastAsia="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甲苯＋二甲苯</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18583-2008附录C</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adjustRightInd w:val="0"/>
              <w:snapToGrid w:val="0"/>
              <w:jc w:val="center"/>
              <w:rPr>
                <w:rFonts w:hint="eastAsia" w:ascii="仿宋" w:hAnsi="仿宋" w:eastAsia="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总挥发性有机物</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GB 18583-2008附录F</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r>
              <w:rPr>
                <w:rFonts w:hint="eastAsia" w:ascii="仿宋" w:hAnsi="仿宋" w:eastAsia="仿宋" w:cs="仿宋"/>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rPr>
            </w:pPr>
          </w:p>
        </w:tc>
      </w:tr>
    </w:tbl>
    <w:p>
      <w:pPr>
        <w:ind w:firstLine="640" w:firstLineChars="200"/>
        <w:jc w:val="left"/>
        <w:rPr>
          <w:rFonts w:ascii="楷体_GB2312" w:hAnsi="楷体_GB2312" w:eastAsia="楷体_GB2312" w:cs="楷体_GB2312"/>
        </w:rPr>
      </w:pPr>
      <w:r>
        <w:rPr>
          <w:rFonts w:hint="eastAsia" w:ascii="楷体_GB2312" w:hAnsi="楷体_GB2312" w:eastAsia="楷体_GB2312" w:cs="楷体_GB2312"/>
        </w:rPr>
        <w:t>（二）建筑用胶粘剂（水基）</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2096"/>
        <w:gridCol w:w="250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blHeader/>
          <w:jc w:val="center"/>
        </w:trPr>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序号</w:t>
            </w:r>
          </w:p>
        </w:tc>
        <w:tc>
          <w:tcPr>
            <w:tcW w:w="115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检验项目</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检验方法</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非强制性</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重要项</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较重要项</w:t>
            </w:r>
          </w:p>
        </w:tc>
        <w:tc>
          <w:tcPr>
            <w:tcW w:w="408" w:type="pct"/>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hint="eastAsia" w:ascii="黑体" w:hAnsi="黑体" w:eastAsia="黑体" w:cs="黑体"/>
                <w:b w:val="0"/>
                <w:bCs/>
                <w:sz w:val="24"/>
              </w:rPr>
            </w:pPr>
            <w:r>
              <w:rPr>
                <w:rFonts w:hint="eastAsia" w:ascii="黑体" w:hAnsi="黑体" w:eastAsia="黑体" w:cs="黑体"/>
                <w:b w:val="0"/>
                <w:bCs/>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adjustRightInd w:val="0"/>
              <w:snapToGrid w:val="0"/>
              <w:jc w:val="center"/>
              <w:rPr>
                <w:rFonts w:ascii="仿宋" w:hAnsi="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cs="仿宋"/>
                <w:sz w:val="24"/>
              </w:rPr>
            </w:pPr>
            <w:r>
              <w:rPr>
                <w:rFonts w:hint="eastAsia" w:ascii="仿宋" w:hAnsi="仿宋" w:cs="仿宋"/>
                <w:sz w:val="24"/>
              </w:rPr>
              <w:t>游离甲醛</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cs="仿宋"/>
                <w:sz w:val="24"/>
              </w:rPr>
            </w:pPr>
            <w:r>
              <w:rPr>
                <w:rFonts w:ascii="仿宋" w:hAnsi="仿宋" w:cs="仿宋"/>
                <w:sz w:val="24"/>
              </w:rPr>
              <w:t>GB</w:t>
            </w:r>
            <w:r>
              <w:rPr>
                <w:rFonts w:hint="eastAsia" w:ascii="仿宋" w:hAnsi="仿宋" w:cs="仿宋"/>
                <w:sz w:val="24"/>
              </w:rPr>
              <w:t xml:space="preserve"> </w:t>
            </w:r>
            <w:r>
              <w:rPr>
                <w:rFonts w:ascii="仿宋" w:hAnsi="仿宋" w:cs="仿宋"/>
                <w:sz w:val="24"/>
              </w:rPr>
              <w:t>18583-200</w:t>
            </w:r>
            <w:r>
              <w:rPr>
                <w:rFonts w:hint="eastAsia" w:ascii="仿宋" w:hAnsi="仿宋" w:cs="仿宋"/>
                <w:sz w:val="24"/>
              </w:rPr>
              <w:t>8附录A</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r>
              <w:rPr>
                <w:rFonts w:hint="eastAsia"/>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r>
              <w:rPr>
                <w:rFonts w:hint="eastAsia"/>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420" w:type="pct"/>
            <w:tcBorders>
              <w:top w:val="single" w:color="auto" w:sz="4" w:space="0"/>
              <w:left w:val="single" w:color="auto" w:sz="4" w:space="0"/>
              <w:bottom w:val="single" w:color="auto" w:sz="4" w:space="0"/>
              <w:right w:val="single" w:color="auto" w:sz="4" w:space="0"/>
            </w:tcBorders>
            <w:vAlign w:val="center"/>
          </w:tcPr>
          <w:p>
            <w:pPr>
              <w:widowControl/>
              <w:numPr>
                <w:ilvl w:val="0"/>
                <w:numId w:val="2"/>
              </w:numPr>
              <w:adjustRightInd w:val="0"/>
              <w:snapToGrid w:val="0"/>
              <w:jc w:val="center"/>
              <w:rPr>
                <w:rFonts w:ascii="仿宋" w:hAnsi="仿宋" w:cs="仿宋"/>
                <w:sz w:val="24"/>
              </w:rPr>
            </w:pPr>
          </w:p>
        </w:tc>
        <w:tc>
          <w:tcPr>
            <w:tcW w:w="11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cs="仿宋"/>
                <w:sz w:val="24"/>
              </w:rPr>
            </w:pPr>
            <w:r>
              <w:rPr>
                <w:rFonts w:hint="eastAsia" w:ascii="仿宋" w:hAnsi="仿宋" w:cs="仿宋"/>
                <w:sz w:val="24"/>
              </w:rPr>
              <w:t>总挥发性有机物</w:t>
            </w:r>
          </w:p>
        </w:tc>
        <w:tc>
          <w:tcPr>
            <w:tcW w:w="13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cs="仿宋"/>
                <w:sz w:val="24"/>
              </w:rPr>
            </w:pPr>
            <w:r>
              <w:rPr>
                <w:rFonts w:ascii="仿宋" w:hAnsi="仿宋" w:cs="仿宋"/>
                <w:sz w:val="24"/>
              </w:rPr>
              <w:t>GB</w:t>
            </w:r>
            <w:r>
              <w:rPr>
                <w:rFonts w:hint="eastAsia" w:ascii="仿宋" w:hAnsi="仿宋" w:cs="仿宋"/>
                <w:sz w:val="24"/>
              </w:rPr>
              <w:t xml:space="preserve"> </w:t>
            </w:r>
            <w:r>
              <w:rPr>
                <w:rFonts w:ascii="仿宋" w:hAnsi="仿宋" w:cs="仿宋"/>
                <w:sz w:val="24"/>
              </w:rPr>
              <w:t>18583-200</w:t>
            </w:r>
            <w:r>
              <w:rPr>
                <w:rFonts w:hint="eastAsia" w:ascii="仿宋" w:hAnsi="仿宋" w:cs="仿宋"/>
                <w:sz w:val="24"/>
              </w:rPr>
              <w:t>8附录F</w:t>
            </w:r>
          </w:p>
        </w:tc>
        <w:tc>
          <w:tcPr>
            <w:tcW w:w="408" w:type="pct"/>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w:t>
            </w:r>
          </w:p>
        </w:tc>
        <w:tc>
          <w:tcPr>
            <w:tcW w:w="408" w:type="pct"/>
            <w:tcBorders>
              <w:top w:val="single" w:color="auto" w:sz="4" w:space="0"/>
              <w:left w:val="single" w:color="auto" w:sz="4" w:space="0"/>
              <w:bottom w:val="single" w:color="auto" w:sz="4" w:space="0"/>
              <w:right w:val="single" w:color="auto" w:sz="4" w:space="0"/>
            </w:tcBorders>
            <w:vAlign w:val="center"/>
          </w:tcPr>
          <w:p>
            <w:pPr>
              <w:jc w:val="center"/>
              <w:rPr>
                <w:sz w:val="24"/>
              </w:rPr>
            </w:pPr>
          </w:p>
        </w:tc>
        <w:tc>
          <w:tcPr>
            <w:tcW w:w="408" w:type="pct"/>
            <w:tcBorders>
              <w:top w:val="single" w:color="auto" w:sz="4" w:space="0"/>
              <w:left w:val="single" w:color="auto" w:sz="4" w:space="0"/>
              <w:bottom w:val="single" w:color="auto" w:sz="4" w:space="0"/>
              <w:right w:val="single" w:color="auto" w:sz="4" w:space="0"/>
            </w:tcBorders>
            <w:vAlign w:val="center"/>
          </w:tcPr>
          <w:p>
            <w:pPr>
              <w:jc w:val="center"/>
              <w:rPr>
                <w:sz w:val="24"/>
              </w:rPr>
            </w:pPr>
          </w:p>
        </w:tc>
      </w:tr>
    </w:tbl>
    <w:p>
      <w:pPr>
        <w:ind w:firstLine="640" w:firstLineChars="200"/>
        <w:jc w:val="left"/>
        <w:rPr>
          <w:rFonts w:eastAsia="黑体"/>
        </w:rPr>
      </w:pPr>
      <w:r>
        <w:rPr>
          <w:rFonts w:hint="eastAsia" w:eastAsia="黑体"/>
        </w:rPr>
        <w:t>三、判定规则</w:t>
      </w:r>
    </w:p>
    <w:p>
      <w:pPr>
        <w:autoSpaceDE w:val="0"/>
        <w:autoSpaceDN w:val="0"/>
        <w:spacing w:line="600"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（一）依据标准</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GB 18583-2008 《室内装饰装修材料 胶粘剂中有害物质限量》</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GB 30982-2014《建筑胶粘剂有害物质限量》</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autoSpaceDE w:val="0"/>
        <w:autoSpaceDN w:val="0"/>
        <w:spacing w:line="600"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（二）判定原则</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经检验，检验项目全部合格，判定为抽取的样本所检项目未检出不合格；检验项目中任一项或一项以上不合格，判定为被抽查产品不合格。</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当被检样品明示的质量要求优于监督抽查实施细则中依据的标准要求时，应按被检样品明示的质量要求判定；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当被检样品明示的质量要求劣于或不包含监督抽查实施细则中依据的强制性标准要求时，应按照强制性标准要求判定；</w:t>
      </w:r>
    </w:p>
    <w:p>
      <w:pPr>
        <w:autoSpaceDE w:val="0"/>
        <w:autoSpaceDN w:val="0"/>
        <w:spacing w:line="600" w:lineRule="exact"/>
        <w:ind w:firstLine="640" w:firstLineChars="200"/>
        <w:jc w:val="left"/>
        <w:rPr>
          <w:rFonts w:hint="eastAsia" w:ascii="仿宋" w:hAnsi="仿宋" w:eastAsia="仿宋" w:cs="仿宋"/>
          <w:kern w:val="0"/>
        </w:rPr>
      </w:pPr>
      <w:bookmarkStart w:id="0" w:name="_GoBack"/>
      <w:bookmarkEnd w:id="0"/>
      <w:r>
        <w:rPr>
          <w:rFonts w:hint="eastAsia" w:ascii="仿宋" w:hAnsi="仿宋" w:eastAsia="仿宋" w:cs="仿宋"/>
          <w:kern w:val="0"/>
        </w:rPr>
        <w:t>当被检样品未能提供有效的企业标准时，按相关国家或行业标准进行判定；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按照产品质量相关法律法规的规定判定。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p>
      <w:pPr>
        <w:autoSpaceDE w:val="0"/>
        <w:autoSpaceDN w:val="0"/>
        <w:spacing w:line="600" w:lineRule="exact"/>
        <w:ind w:firstLine="640" w:firstLineChars="200"/>
        <w:jc w:val="left"/>
        <w:rPr>
          <w:rFonts w:hint="eastAsia" w:ascii="仿宋" w:hAnsi="仿宋" w:eastAsia="仿宋" w:cs="仿宋"/>
          <w:kern w:val="0"/>
        </w:rPr>
      </w:pPr>
    </w:p>
    <w:p>
      <w:pPr>
        <w:autoSpaceDE w:val="0"/>
        <w:autoSpaceDN w:val="0"/>
        <w:spacing w:line="600" w:lineRule="exact"/>
        <w:ind w:firstLine="640" w:firstLineChars="200"/>
        <w:jc w:val="left"/>
        <w:rPr>
          <w:rFonts w:hint="eastAsia" w:ascii="仿宋" w:hAnsi="仿宋" w:eastAsia="仿宋" w:cs="仿宋"/>
          <w:kern w:val="0"/>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1759E2"/>
    <w:multiLevelType w:val="multilevel"/>
    <w:tmpl w:val="1C1759E2"/>
    <w:lvl w:ilvl="0" w:tentative="0">
      <w:start w:val="1"/>
      <w:numFmt w:val="decimal"/>
      <w:lvlText w:val="%1"/>
      <w:lvlJc w:val="center"/>
      <w:pPr>
        <w:tabs>
          <w:tab w:val="left" w:pos="0"/>
        </w:tabs>
        <w:ind w:left="0" w:firstLine="17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1A97AAA"/>
    <w:multiLevelType w:val="multilevel"/>
    <w:tmpl w:val="21A97AAA"/>
    <w:lvl w:ilvl="0" w:tentative="0">
      <w:start w:val="1"/>
      <w:numFmt w:val="decimal"/>
      <w:lvlText w:val="%1"/>
      <w:lvlJc w:val="center"/>
      <w:pPr>
        <w:tabs>
          <w:tab w:val="left" w:pos="0"/>
        </w:tabs>
        <w:ind w:left="0" w:firstLine="17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07388"/>
    <w:rsid w:val="00016177"/>
    <w:rsid w:val="000277EF"/>
    <w:rsid w:val="00036BC7"/>
    <w:rsid w:val="00043A52"/>
    <w:rsid w:val="0005045D"/>
    <w:rsid w:val="00063BD5"/>
    <w:rsid w:val="00092ABD"/>
    <w:rsid w:val="000B4C5F"/>
    <w:rsid w:val="000C658D"/>
    <w:rsid w:val="00116270"/>
    <w:rsid w:val="00120EFB"/>
    <w:rsid w:val="001221DB"/>
    <w:rsid w:val="00134A80"/>
    <w:rsid w:val="00192BBD"/>
    <w:rsid w:val="001F5DD4"/>
    <w:rsid w:val="00201CDD"/>
    <w:rsid w:val="00223348"/>
    <w:rsid w:val="00250DFA"/>
    <w:rsid w:val="002923B9"/>
    <w:rsid w:val="00294579"/>
    <w:rsid w:val="002B52F7"/>
    <w:rsid w:val="00310C73"/>
    <w:rsid w:val="0039338B"/>
    <w:rsid w:val="003D18F0"/>
    <w:rsid w:val="003D1D91"/>
    <w:rsid w:val="004015F5"/>
    <w:rsid w:val="004757C1"/>
    <w:rsid w:val="004A5090"/>
    <w:rsid w:val="004B2573"/>
    <w:rsid w:val="00544BE4"/>
    <w:rsid w:val="00592C01"/>
    <w:rsid w:val="005A0994"/>
    <w:rsid w:val="006238A1"/>
    <w:rsid w:val="00624315"/>
    <w:rsid w:val="00695250"/>
    <w:rsid w:val="006D4F7A"/>
    <w:rsid w:val="006D505E"/>
    <w:rsid w:val="006F4E7D"/>
    <w:rsid w:val="0071761A"/>
    <w:rsid w:val="00732793"/>
    <w:rsid w:val="00735F9B"/>
    <w:rsid w:val="0074286E"/>
    <w:rsid w:val="00752F93"/>
    <w:rsid w:val="0075545D"/>
    <w:rsid w:val="007914F7"/>
    <w:rsid w:val="007A0EE2"/>
    <w:rsid w:val="007A10C3"/>
    <w:rsid w:val="007B0EC6"/>
    <w:rsid w:val="007F204B"/>
    <w:rsid w:val="00830A06"/>
    <w:rsid w:val="00841ED0"/>
    <w:rsid w:val="00845647"/>
    <w:rsid w:val="00895950"/>
    <w:rsid w:val="008C102E"/>
    <w:rsid w:val="008C280B"/>
    <w:rsid w:val="008F74C7"/>
    <w:rsid w:val="00926BC7"/>
    <w:rsid w:val="009F07C3"/>
    <w:rsid w:val="00A02A33"/>
    <w:rsid w:val="00A40122"/>
    <w:rsid w:val="00A66D10"/>
    <w:rsid w:val="00A97411"/>
    <w:rsid w:val="00AC1C38"/>
    <w:rsid w:val="00B25DB1"/>
    <w:rsid w:val="00B5571C"/>
    <w:rsid w:val="00B67E0F"/>
    <w:rsid w:val="00B7736F"/>
    <w:rsid w:val="00BA2151"/>
    <w:rsid w:val="00BA664E"/>
    <w:rsid w:val="00BB0B4C"/>
    <w:rsid w:val="00BC667E"/>
    <w:rsid w:val="00BD50D2"/>
    <w:rsid w:val="00C070D8"/>
    <w:rsid w:val="00C17D35"/>
    <w:rsid w:val="00C4082C"/>
    <w:rsid w:val="00C450FD"/>
    <w:rsid w:val="00C512B6"/>
    <w:rsid w:val="00CC19A7"/>
    <w:rsid w:val="00D1464E"/>
    <w:rsid w:val="00D224DD"/>
    <w:rsid w:val="00D357A6"/>
    <w:rsid w:val="00D554F8"/>
    <w:rsid w:val="00D629E1"/>
    <w:rsid w:val="00E54840"/>
    <w:rsid w:val="00E56737"/>
    <w:rsid w:val="00E61CE3"/>
    <w:rsid w:val="00E72969"/>
    <w:rsid w:val="00E94DFB"/>
    <w:rsid w:val="00E9624B"/>
    <w:rsid w:val="00E977EC"/>
    <w:rsid w:val="00EC3EBE"/>
    <w:rsid w:val="00EE24A1"/>
    <w:rsid w:val="00F1323C"/>
    <w:rsid w:val="00F5376E"/>
    <w:rsid w:val="00F60942"/>
    <w:rsid w:val="00F8007C"/>
    <w:rsid w:val="00FA7094"/>
    <w:rsid w:val="00FA791E"/>
    <w:rsid w:val="00FB22F7"/>
    <w:rsid w:val="00FE6536"/>
    <w:rsid w:val="06164121"/>
    <w:rsid w:val="500207D1"/>
    <w:rsid w:val="5BEB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10"/>
    <w:qFormat/>
    <w:uiPriority w:val="0"/>
    <w:pPr>
      <w:jc w:val="center"/>
      <w:outlineLvl w:val="0"/>
    </w:pPr>
    <w:rPr>
      <w:rFonts w:ascii="方正小标宋简体" w:eastAsia="方正小标宋简体"/>
      <w:kern w:val="44"/>
      <w:sz w:val="38"/>
      <w:szCs w:val="2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unhideWhenUsed/>
    <w:qFormat/>
    <w:uiPriority w:val="0"/>
    <w:rPr>
      <w:rFonts w:ascii="宋体" w:hAnsi="Courier New" w:eastAsia="宋体" w:cs="Courier New"/>
      <w:sz w:val="21"/>
      <w:szCs w:val="21"/>
    </w:rPr>
  </w:style>
  <w:style w:type="paragraph" w:styleId="4">
    <w:name w:val="footer"/>
    <w:basedOn w:val="1"/>
    <w:link w:val="16"/>
    <w:uiPriority w:val="0"/>
    <w:pPr>
      <w:tabs>
        <w:tab w:val="center" w:pos="4153"/>
        <w:tab w:val="right" w:pos="8306"/>
      </w:tabs>
      <w:snapToGrid w:val="0"/>
      <w:jc w:val="left"/>
    </w:pPr>
    <w:rPr>
      <w:rFonts w:eastAsia="仿宋_GB2312"/>
      <w:sz w:val="18"/>
      <w:szCs w:val="18"/>
    </w:rPr>
  </w:style>
  <w:style w:type="paragraph" w:styleId="5">
    <w:name w:val="header"/>
    <w:basedOn w:val="1"/>
    <w:link w:val="15"/>
    <w:uiPriority w:val="0"/>
    <w:pPr>
      <w:pBdr>
        <w:bottom w:val="single" w:color="auto" w:sz="6" w:space="1"/>
      </w:pBdr>
      <w:tabs>
        <w:tab w:val="center" w:pos="4153"/>
        <w:tab w:val="right" w:pos="8306"/>
      </w:tabs>
      <w:snapToGrid w:val="0"/>
      <w:jc w:val="center"/>
    </w:pPr>
    <w:rPr>
      <w:rFonts w:eastAsia="仿宋_GB2312"/>
      <w:sz w:val="18"/>
      <w:szCs w:val="18"/>
    </w:rPr>
  </w:style>
  <w:style w:type="paragraph" w:styleId="6">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1 Char"/>
    <w:basedOn w:val="9"/>
    <w:link w:val="2"/>
    <w:uiPriority w:val="0"/>
    <w:rPr>
      <w:rFonts w:ascii="方正小标宋简体" w:eastAsia="方正小标宋简体"/>
      <w:kern w:val="44"/>
      <w:sz w:val="38"/>
      <w:szCs w:val="24"/>
    </w:rPr>
  </w:style>
  <w:style w:type="character" w:customStyle="1" w:styleId="11">
    <w:name w:val="纯文本 Char"/>
    <w:basedOn w:val="9"/>
    <w:link w:val="3"/>
    <w:uiPriority w:val="0"/>
    <w:rPr>
      <w:rFonts w:ascii="宋体" w:hAnsi="Courier New" w:cs="Courier New"/>
      <w:kern w:val="2"/>
      <w:sz w:val="21"/>
      <w:szCs w:val="21"/>
    </w:rPr>
  </w:style>
  <w:style w:type="table" w:customStyle="1" w:styleId="12">
    <w:name w:val="网格型1"/>
    <w:basedOn w:val="7"/>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_Style 14"/>
    <w:basedOn w:val="1"/>
    <w:qFormat/>
    <w:uiPriority w:val="34"/>
    <w:pPr>
      <w:ind w:firstLine="420" w:firstLineChars="200"/>
    </w:pPr>
    <w:rPr>
      <w:rFonts w:eastAsia="仿宋_GB2312"/>
      <w:sz w:val="30"/>
      <w:szCs w:val="24"/>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5">
    <w:name w:val="页眉 Char"/>
    <w:basedOn w:val="9"/>
    <w:link w:val="5"/>
    <w:uiPriority w:val="0"/>
    <w:rPr>
      <w:rFonts w:eastAsia="仿宋_GB2312"/>
      <w:kern w:val="2"/>
      <w:sz w:val="18"/>
      <w:szCs w:val="18"/>
    </w:rPr>
  </w:style>
  <w:style w:type="character" w:customStyle="1" w:styleId="16">
    <w:name w:val="页脚 Char"/>
    <w:basedOn w:val="9"/>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218</Words>
  <Characters>1249</Characters>
  <Lines>10</Lines>
  <Paragraphs>2</Paragraphs>
  <TotalTime>41</TotalTime>
  <ScaleCrop>false</ScaleCrop>
  <LinksUpToDate>false</LinksUpToDate>
  <CharactersWithSpaces>1465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2022-04-06T01:31:00Z</dcterms:created>
  <dc:creator>范士平</dc:creator>
  <cp:lastModifiedBy>刘赞</cp:lastModifiedBy>
  <dcterms:modified xsi:type="dcterms:W3CDTF">2023-05-10T09:12:59Z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7C2FD4D7286542E4BB53A003DA3E5826</vt:lpwstr>
  </property>
</Properties>
</file>