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0" w:afterLines="0" w:line="620" w:lineRule="exact"/>
        <w:jc w:val="center"/>
        <w:rPr>
          <w:rFonts w:hint="default" w:eastAsia="方正小标宋简体"/>
          <w:color w:val="000000"/>
          <w:sz w:val="44"/>
        </w:rPr>
      </w:pPr>
      <w:r>
        <w:rPr>
          <w:rFonts w:hint="eastAsia" w:eastAsia="方正小标宋简体"/>
          <w:color w:val="000000"/>
          <w:sz w:val="44"/>
          <w:lang w:eastAsia="zh-CN"/>
        </w:rPr>
        <w:t>珠海市</w:t>
      </w:r>
      <w:r>
        <w:rPr>
          <w:rFonts w:hint="eastAsia" w:eastAsia="方正小标宋简体"/>
          <w:color w:val="000000"/>
          <w:sz w:val="44"/>
        </w:rPr>
        <w:t>建筑钢材产品质量监督抽查实施细则</w:t>
      </w:r>
    </w:p>
    <w:p>
      <w:pPr>
        <w:keepNext w:val="0"/>
        <w:keepLines w:val="0"/>
        <w:pageBreakBefore w:val="0"/>
        <w:widowControl w:val="0"/>
        <w:kinsoku/>
        <w:wordWrap/>
        <w:overflowPunct/>
        <w:topLinePunct w:val="0"/>
        <w:autoSpaceDE/>
        <w:autoSpaceDN/>
        <w:bidi w:val="0"/>
        <w:adjustRightInd/>
        <w:spacing w:beforeLines="0" w:afterLines="0" w:line="580" w:lineRule="exact"/>
        <w:jc w:val="left"/>
        <w:textAlignment w:val="auto"/>
        <w:rPr>
          <w:rFonts w:hint="default" w:ascii="Times New Roman" w:hAnsi="Times New Roman" w:eastAsia="黑体"/>
          <w:sz w:val="24"/>
        </w:rPr>
      </w:pPr>
    </w:p>
    <w:p>
      <w:pPr>
        <w:keepNext w:val="0"/>
        <w:keepLines w:val="0"/>
        <w:pageBreakBefore w:val="0"/>
        <w:widowControl w:val="0"/>
        <w:kinsoku/>
        <w:wordWrap/>
        <w:overflowPunct/>
        <w:topLinePunct w:val="0"/>
        <w:autoSpaceDE/>
        <w:autoSpaceDN/>
        <w:bidi w:val="0"/>
        <w:adjustRightInd/>
        <w:spacing w:beforeLines="0" w:afterLines="0" w:line="580" w:lineRule="exact"/>
        <w:ind w:firstLine="640" w:firstLineChars="200"/>
        <w:jc w:val="left"/>
        <w:textAlignment w:val="auto"/>
        <w:rPr>
          <w:rFonts w:hint="eastAsia" w:ascii="黑体" w:hAnsi="黑体" w:eastAsia="黑体"/>
          <w:color w:val="000000"/>
          <w:sz w:val="32"/>
        </w:rPr>
      </w:pPr>
      <w:r>
        <w:rPr>
          <w:rFonts w:hint="eastAsia" w:ascii="黑体" w:hAnsi="黑体" w:eastAsia="黑体"/>
          <w:color w:val="000000"/>
          <w:sz w:val="32"/>
        </w:rPr>
        <w:t>一、 抽样方法</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以随机抽样的方式在被抽查市场主体的待销产品中抽取。</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随机数一般可使用随机数表等方法产生。</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抽查数量：具体抽样数量和方法如下：</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热轧带肋钢筋</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对直条热轧带肋钢筋取样时，在同一标准生产的同一商标、同一牌号、同一规格的产品中随机抽取1捆，在该捆中随机抽取5 根钢筋，每根钢筋截取的长度为2400mm（d≥28mm 的钢筋取样长度为3400mm），逐根顺序编号为1～5，再把每根钢筋分成2 支长度为1200mm 的样品（d≥28mm 的每根钢筋分成2支长度为1700mm 的样品），2支样品逐支编号标记，并一一对应（如1-a，1-b），每支样品要保证有完整的表面标志，标记a的5支样品为检验样品，标记b的5支样品为备用样品。</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检样和备样分别包装和封存。</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对盘卷热轧带肋钢筋取样时，随机抽取同一商标、同一牌号、同一规格产品的5盘产品，在每盘钢筋上距头或尾至少2000mm处，随机截取1根长度为2400mm 的钢筋，逐根顺序编号为1～5，再把每根钢筋分成2支长度为1200mm 的样品，2 支样品逐支编号标记，并一一对应（如1-a，1-b）。标记a 的5 支样品为检验样品，标记b 的5 支样品为备用样品。</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检样和备样分别包装和封存。</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热轧光圆钢筋</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对直条热轧光圆钢筋取样时，在同一标准生产的同一商标、同一牌号、同一规格的产品中随机抽取1捆，在该捆中随机抽取5根钢筋，每根钢筋截取的长度为2400 mm的热轧光圆钢筋，逐根顺序编号为1～5，再把每根钢筋分成2支长度为1200 mm的样品，2支样品逐支编号标记，并一一对应（如l-a，l-b），标记a的5支样品为检验样品，标记b的5支样品为备用样品。检样和备样分别包装和封存。</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对盘卷热轧光圆钢筋取样时，随机抽取同一商标、同一牌号、同一规格产品的5盘产品,在每盘钢筋上距头或尾至少2000 mm处，随机截取1根长度为2400 mm的钢筋，逐根顺序编号为1～5，再把每根钢筋分成2支长度为1 200 mm的样品，2支样品逐支编号标记，并一一对应（如l-a，l-b）。标记a的5支样品为检验样品，标记b的5支样品为备用样品。</w:t>
      </w:r>
    </w:p>
    <w:p>
      <w:pPr>
        <w:keepNext w:val="0"/>
        <w:keepLines w:val="0"/>
        <w:pageBreakBefore w:val="0"/>
        <w:widowControl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_GB2312" w:hAnsi="仿宋_GB2312" w:eastAsia="仿宋_GB2312"/>
          <w:sz w:val="32"/>
        </w:rPr>
      </w:pPr>
      <w:r>
        <w:rPr>
          <w:rFonts w:hint="eastAsia" w:ascii="仿宋" w:hAnsi="仿宋" w:eastAsia="仿宋" w:cs="仿宋"/>
          <w:sz w:val="32"/>
          <w:szCs w:val="32"/>
        </w:rPr>
        <w:t>检样和备样分别包装和封存。</w:t>
      </w:r>
    </w:p>
    <w:p>
      <w:pPr>
        <w:spacing w:beforeLines="0" w:afterLines="0" w:line="590" w:lineRule="exact"/>
        <w:ind w:firstLine="640" w:firstLineChars="200"/>
        <w:jc w:val="left"/>
        <w:rPr>
          <w:rFonts w:hint="eastAsia" w:ascii="黑体" w:hAnsi="黑体" w:eastAsia="黑体"/>
          <w:color w:val="000000"/>
          <w:sz w:val="32"/>
        </w:rPr>
      </w:pPr>
      <w:r>
        <w:rPr>
          <w:rFonts w:hint="eastAsia" w:ascii="黑体" w:hAnsi="黑体" w:eastAsia="黑体"/>
          <w:color w:val="000000"/>
          <w:sz w:val="32"/>
        </w:rPr>
        <w:t>二、 主要检验项目及检验项目属性划分</w:t>
      </w:r>
    </w:p>
    <w:p>
      <w:pPr>
        <w:adjustRightInd w:val="0"/>
        <w:snapToGrid w:val="0"/>
        <w:spacing w:beforeLines="0" w:afterLines="0" w:line="590" w:lineRule="exact"/>
        <w:ind w:firstLine="640" w:firstLineChars="200"/>
        <w:jc w:val="left"/>
        <w:rPr>
          <w:rFonts w:hint="eastAsia" w:ascii="楷体_GB2312" w:hAnsi="楷体_GB2312" w:eastAsia="楷体_GB2312" w:cs="楷体_GB2312"/>
          <w:sz w:val="32"/>
        </w:rPr>
      </w:pPr>
      <w:r>
        <w:rPr>
          <w:rFonts w:hint="eastAsia" w:ascii="楷体_GB2312" w:hAnsi="楷体_GB2312" w:eastAsia="楷体_GB2312" w:cs="楷体_GB2312"/>
          <w:sz w:val="32"/>
          <w:lang w:eastAsia="zh-CN"/>
        </w:rPr>
        <w:t>（一）</w:t>
      </w:r>
      <w:r>
        <w:rPr>
          <w:rFonts w:hint="eastAsia" w:ascii="楷体_GB2312" w:hAnsi="楷体_GB2312" w:eastAsia="楷体_GB2312" w:cs="楷体_GB2312"/>
          <w:sz w:val="32"/>
        </w:rPr>
        <w:t>热轧带肋钢筋</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687"/>
        <w:gridCol w:w="1538"/>
        <w:gridCol w:w="2156"/>
        <w:gridCol w:w="730"/>
        <w:gridCol w:w="895"/>
        <w:gridCol w:w="842"/>
        <w:gridCol w:w="830"/>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tblHeader/>
          <w:jc w:val="center"/>
        </w:trPr>
        <w:tc>
          <w:tcPr>
            <w:tcW w:w="316"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黑体" w:hAnsi="黑体" w:eastAsia="黑体" w:cs="黑体"/>
                <w:b w:val="0"/>
                <w:bCs/>
                <w:sz w:val="24"/>
              </w:rPr>
            </w:pPr>
            <w:r>
              <w:rPr>
                <w:rFonts w:hint="eastAsia" w:ascii="黑体" w:hAnsi="黑体" w:eastAsia="黑体" w:cs="黑体"/>
                <w:b w:val="0"/>
                <w:bCs/>
                <w:sz w:val="24"/>
              </w:rPr>
              <w:t>序号</w:t>
            </w:r>
          </w:p>
        </w:tc>
        <w:tc>
          <w:tcPr>
            <w:tcW w:w="1228" w:type="pct"/>
            <w:gridSpan w:val="2"/>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黑体" w:hAnsi="黑体" w:eastAsia="黑体" w:cs="黑体"/>
                <w:b w:val="0"/>
                <w:bCs/>
                <w:sz w:val="24"/>
              </w:rPr>
            </w:pPr>
            <w:r>
              <w:rPr>
                <w:rFonts w:hint="eastAsia" w:ascii="黑体" w:hAnsi="黑体" w:eastAsia="黑体" w:cs="黑体"/>
                <w:b w:val="0"/>
                <w:bCs/>
                <w:sz w:val="24"/>
              </w:rPr>
              <w:t>检验项目</w:t>
            </w:r>
          </w:p>
        </w:tc>
        <w:tc>
          <w:tcPr>
            <w:tcW w:w="1190"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黑体" w:hAnsi="黑体" w:eastAsia="黑体" w:cs="黑体"/>
                <w:b w:val="0"/>
                <w:bCs/>
                <w:sz w:val="24"/>
              </w:rPr>
            </w:pPr>
            <w:r>
              <w:rPr>
                <w:rFonts w:hint="eastAsia" w:ascii="黑体" w:hAnsi="黑体" w:eastAsia="黑体" w:cs="黑体"/>
                <w:b w:val="0"/>
                <w:bCs/>
                <w:sz w:val="24"/>
              </w:rPr>
              <w:t>检验方法</w:t>
            </w:r>
          </w:p>
        </w:tc>
        <w:tc>
          <w:tcPr>
            <w:tcW w:w="403"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黑体" w:hAnsi="黑体" w:eastAsia="黑体" w:cs="黑体"/>
                <w:b w:val="0"/>
                <w:bCs/>
                <w:sz w:val="24"/>
              </w:rPr>
            </w:pPr>
            <w:r>
              <w:rPr>
                <w:rFonts w:hint="eastAsia" w:ascii="黑体" w:hAnsi="黑体" w:eastAsia="黑体" w:cs="黑体"/>
                <w:b w:val="0"/>
                <w:bCs/>
                <w:sz w:val="24"/>
              </w:rPr>
              <w:t>强制性</w:t>
            </w:r>
          </w:p>
        </w:tc>
        <w:tc>
          <w:tcPr>
            <w:tcW w:w="494"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黑体" w:hAnsi="黑体" w:eastAsia="黑体" w:cs="黑体"/>
                <w:b w:val="0"/>
                <w:bCs/>
                <w:sz w:val="24"/>
              </w:rPr>
            </w:pPr>
            <w:r>
              <w:rPr>
                <w:rFonts w:hint="eastAsia" w:ascii="黑体" w:hAnsi="黑体" w:eastAsia="黑体" w:cs="黑体"/>
                <w:b w:val="0"/>
                <w:bCs/>
                <w:sz w:val="24"/>
              </w:rPr>
              <w:t>非强制性</w:t>
            </w:r>
          </w:p>
        </w:tc>
        <w:tc>
          <w:tcPr>
            <w:tcW w:w="465"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黑体" w:hAnsi="黑体" w:eastAsia="黑体" w:cs="黑体"/>
                <w:b w:val="0"/>
                <w:bCs/>
                <w:sz w:val="24"/>
              </w:rPr>
            </w:pPr>
            <w:r>
              <w:rPr>
                <w:rFonts w:hint="eastAsia" w:ascii="黑体" w:hAnsi="黑体" w:eastAsia="黑体" w:cs="黑体"/>
                <w:b w:val="0"/>
                <w:bCs/>
                <w:sz w:val="24"/>
              </w:rPr>
              <w:t>重要项</w:t>
            </w:r>
          </w:p>
        </w:tc>
        <w:tc>
          <w:tcPr>
            <w:tcW w:w="458"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黑体" w:hAnsi="黑体" w:eastAsia="黑体" w:cs="黑体"/>
                <w:b w:val="0"/>
                <w:bCs/>
                <w:sz w:val="24"/>
              </w:rPr>
            </w:pPr>
            <w:r>
              <w:rPr>
                <w:rFonts w:hint="eastAsia" w:ascii="黑体" w:hAnsi="黑体" w:eastAsia="黑体" w:cs="黑体"/>
                <w:b w:val="0"/>
                <w:bCs/>
                <w:sz w:val="24"/>
              </w:rPr>
              <w:t>较重要项</w:t>
            </w:r>
          </w:p>
        </w:tc>
        <w:tc>
          <w:tcPr>
            <w:tcW w:w="443"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黑体" w:hAnsi="黑体" w:eastAsia="黑体" w:cs="黑体"/>
                <w:b w:val="0"/>
                <w:bCs/>
                <w:sz w:val="24"/>
              </w:rPr>
            </w:pPr>
            <w:r>
              <w:rPr>
                <w:rFonts w:hint="eastAsia" w:ascii="黑体" w:hAnsi="黑体" w:eastAsia="黑体" w:cs="黑体"/>
                <w:b w:val="0"/>
                <w:bCs/>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1</w:t>
            </w:r>
          </w:p>
        </w:tc>
        <w:tc>
          <w:tcPr>
            <w:tcW w:w="37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尺寸</w:t>
            </w: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横肋高</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2</w:t>
            </w: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横肋间距</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3</w:t>
            </w:r>
          </w:p>
        </w:tc>
        <w:tc>
          <w:tcPr>
            <w:tcW w:w="122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重量偏差</w:t>
            </w:r>
            <w:r>
              <w:rPr>
                <w:rFonts w:hint="eastAsia" w:ascii="仿宋" w:hAnsi="仿宋" w:eastAsia="仿宋" w:cs="仿宋"/>
                <w:sz w:val="24"/>
                <w:vertAlign w:val="superscript"/>
              </w:rPr>
              <w:t>a</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4</w:t>
            </w:r>
          </w:p>
        </w:tc>
        <w:tc>
          <w:tcPr>
            <w:tcW w:w="37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化学成分</w:t>
            </w: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碳</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5</w:t>
            </w: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硅</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6</w:t>
            </w: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锰</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7</w:t>
            </w: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磷</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8</w:t>
            </w: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硫</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9</w:t>
            </w: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碳当量</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10</w:t>
            </w:r>
          </w:p>
        </w:tc>
        <w:tc>
          <w:tcPr>
            <w:tcW w:w="37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力学性能</w:t>
            </w: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抗拉强度</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11</w:t>
            </w: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下屈服强度</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12</w:t>
            </w: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断后伸长率</w:t>
            </w:r>
            <w:r>
              <w:rPr>
                <w:rFonts w:hint="eastAsia" w:ascii="仿宋" w:hAnsi="仿宋" w:eastAsia="仿宋" w:cs="仿宋"/>
                <w:sz w:val="24"/>
                <w:vertAlign w:val="superscript"/>
              </w:rPr>
              <w:t>b</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13</w:t>
            </w: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tabs>
                <w:tab w:val="left" w:pos="2520"/>
              </w:tabs>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最大力总延伸率</w:t>
            </w:r>
            <w:r>
              <w:rPr>
                <w:rFonts w:hint="eastAsia" w:ascii="仿宋" w:hAnsi="仿宋" w:eastAsia="仿宋" w:cs="仿宋"/>
                <w:sz w:val="24"/>
                <w:vertAlign w:val="superscript"/>
              </w:rPr>
              <w:t>c</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3"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14</w:t>
            </w: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实测抗拉强度与实测下屈服强度之比</w:t>
            </w:r>
            <w:r>
              <w:rPr>
                <w:rFonts w:hint="eastAsia" w:ascii="仿宋" w:hAnsi="仿宋" w:eastAsia="仿宋" w:cs="仿宋"/>
                <w:sz w:val="24"/>
                <w:vertAlign w:val="superscript"/>
              </w:rPr>
              <w:t>c</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6"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15</w:t>
            </w: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实测下屈服强度与下屈服强度特征值之比</w:t>
            </w:r>
            <w:r>
              <w:rPr>
                <w:rFonts w:hint="eastAsia" w:ascii="仿宋" w:hAnsi="仿宋" w:eastAsia="仿宋" w:cs="仿宋"/>
                <w:sz w:val="24"/>
                <w:vertAlign w:val="superscript"/>
              </w:rPr>
              <w:t>c</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16</w:t>
            </w:r>
          </w:p>
        </w:tc>
        <w:tc>
          <w:tcPr>
            <w:tcW w:w="37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工艺性能</w:t>
            </w: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弯曲性能</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17</w:t>
            </w: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8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反向弯曲</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性能</w:t>
            </w:r>
            <w:r>
              <w:rPr>
                <w:rFonts w:hint="eastAsia" w:ascii="仿宋" w:hAnsi="仿宋" w:eastAsia="仿宋" w:cs="仿宋"/>
                <w:sz w:val="24"/>
                <w:vertAlign w:val="superscript"/>
              </w:rPr>
              <w:t>d</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18</w:t>
            </w:r>
          </w:p>
        </w:tc>
        <w:tc>
          <w:tcPr>
            <w:tcW w:w="122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金相组织</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19</w:t>
            </w:r>
          </w:p>
        </w:tc>
        <w:tc>
          <w:tcPr>
            <w:tcW w:w="122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表面标志</w:t>
            </w:r>
          </w:p>
        </w:tc>
        <w:tc>
          <w:tcPr>
            <w:tcW w:w="1190"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GB/T 1499.2-2018</w:t>
            </w: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65"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r>
              <w:rPr>
                <w:rFonts w:hint="eastAsia" w:ascii="仿宋" w:hAnsi="仿宋" w:eastAsia="仿宋" w:cs="仿宋"/>
                <w:sz w:val="24"/>
              </w:rPr>
              <w:t>●</w:t>
            </w:r>
          </w:p>
        </w:tc>
        <w:tc>
          <w:tcPr>
            <w:tcW w:w="44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center"/>
              <w:textAlignment w:val="auto"/>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5" w:hRule="atLeast"/>
          <w:jc w:val="center"/>
        </w:trPr>
        <w:tc>
          <w:tcPr>
            <w:tcW w:w="5000" w:type="pct"/>
            <w:gridSpan w:val="9"/>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left"/>
              <w:textAlignment w:val="auto"/>
              <w:rPr>
                <w:rFonts w:hint="eastAsia" w:ascii="仿宋" w:hAnsi="仿宋" w:eastAsia="仿宋" w:cs="仿宋"/>
                <w:sz w:val="24"/>
              </w:rPr>
            </w:pPr>
            <w:r>
              <w:rPr>
                <w:rFonts w:hint="eastAsia" w:ascii="仿宋" w:hAnsi="仿宋" w:eastAsia="仿宋" w:cs="仿宋"/>
                <w:sz w:val="24"/>
              </w:rPr>
              <w:t>a重量偏差项目实测值大于标准值的2.0倍，为重要项；实测值小于标准值或等于标准值的2.0倍，为较重要项；</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left"/>
              <w:textAlignment w:val="auto"/>
              <w:rPr>
                <w:rFonts w:hint="eastAsia" w:ascii="仿宋" w:hAnsi="仿宋" w:eastAsia="仿宋" w:cs="仿宋"/>
                <w:sz w:val="24"/>
              </w:rPr>
            </w:pPr>
            <w:r>
              <w:rPr>
                <w:rFonts w:hint="eastAsia" w:ascii="仿宋" w:hAnsi="仿宋" w:eastAsia="仿宋" w:cs="仿宋"/>
                <w:sz w:val="24"/>
              </w:rPr>
              <w:t>b断后伸长率适用于非抗震钢筋；</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left"/>
              <w:textAlignment w:val="auto"/>
              <w:rPr>
                <w:rFonts w:hint="eastAsia" w:ascii="仿宋" w:hAnsi="仿宋" w:eastAsia="仿宋" w:cs="仿宋"/>
                <w:sz w:val="24"/>
              </w:rPr>
            </w:pPr>
            <w:r>
              <w:rPr>
                <w:rFonts w:hint="eastAsia" w:ascii="仿宋" w:hAnsi="仿宋" w:eastAsia="仿宋" w:cs="仿宋"/>
                <w:sz w:val="24"/>
              </w:rPr>
              <w:t xml:space="preserve">c实测抗拉强度与实测下屈服强度之比（可简称“强屈比”）、实测下屈服强度与屈服强度特征值之比（可简称“屈屈比”）、最大力总延伸率检验适用于抗震钢筋； </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ind w:left="0" w:leftChars="0"/>
              <w:jc w:val="left"/>
              <w:textAlignment w:val="auto"/>
              <w:rPr>
                <w:rFonts w:hint="eastAsia" w:ascii="仿宋" w:hAnsi="仿宋" w:eastAsia="仿宋" w:cs="仿宋"/>
                <w:sz w:val="24"/>
              </w:rPr>
            </w:pPr>
            <w:r>
              <w:rPr>
                <w:rFonts w:hint="eastAsia" w:ascii="仿宋" w:hAnsi="仿宋" w:eastAsia="仿宋" w:cs="仿宋"/>
                <w:sz w:val="24"/>
              </w:rPr>
              <w:t>d反向弯曲项目适用于抗震钢筋。</w:t>
            </w:r>
          </w:p>
        </w:tc>
      </w:tr>
    </w:tbl>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600" w:firstLineChars="200"/>
        <w:jc w:val="left"/>
        <w:textAlignment w:val="auto"/>
        <w:rPr>
          <w:rFonts w:hint="eastAsia" w:ascii="仿宋" w:hAnsi="仿宋" w:eastAsia="仿宋" w:cs="仿宋"/>
          <w:sz w:val="30"/>
          <w:szCs w:val="30"/>
        </w:rPr>
      </w:pPr>
      <w:r>
        <w:rPr>
          <w:rFonts w:hint="eastAsia" w:ascii="仿宋" w:hAnsi="仿宋" w:eastAsia="仿宋" w:cs="仿宋"/>
          <w:sz w:val="30"/>
          <w:szCs w:val="30"/>
        </w:rPr>
        <w:t>注：①对所抽取的热轧带肋钢筋样品，先进行尺寸、重量偏差、表面标志项目的检验，后截取化学成分、金相、力学性能、工艺性能的检验样品。</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600" w:firstLineChars="200"/>
        <w:jc w:val="left"/>
        <w:textAlignment w:val="auto"/>
        <w:rPr>
          <w:rFonts w:hint="eastAsia" w:ascii="仿宋" w:hAnsi="仿宋" w:eastAsia="仿宋" w:cs="仿宋"/>
          <w:sz w:val="30"/>
          <w:szCs w:val="30"/>
        </w:rPr>
      </w:pPr>
      <w:r>
        <w:rPr>
          <w:rFonts w:hint="eastAsia" w:ascii="仿宋" w:hAnsi="仿宋" w:eastAsia="仿宋" w:cs="仿宋"/>
          <w:sz w:val="30"/>
          <w:szCs w:val="30"/>
        </w:rPr>
        <w:t>②化学成分的检验方法优先采用光谱法，仲裁检验采用化学法。</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600" w:firstLineChars="200"/>
        <w:jc w:val="left"/>
        <w:textAlignment w:val="auto"/>
        <w:rPr>
          <w:rFonts w:hint="eastAsia" w:ascii="仿宋" w:hAnsi="仿宋" w:eastAsia="仿宋" w:cs="仿宋"/>
          <w:sz w:val="30"/>
          <w:szCs w:val="30"/>
        </w:rPr>
      </w:pPr>
      <w:r>
        <w:rPr>
          <w:rFonts w:hint="eastAsia" w:ascii="仿宋" w:hAnsi="仿宋" w:eastAsia="仿宋" w:cs="仿宋"/>
          <w:sz w:val="30"/>
          <w:szCs w:val="30"/>
        </w:rPr>
        <w:t>③金相统一采用微观组织进行检验和判定。</w:t>
      </w:r>
    </w:p>
    <w:p>
      <w:pPr>
        <w:adjustRightInd w:val="0"/>
        <w:snapToGrid w:val="0"/>
        <w:spacing w:beforeLines="0" w:afterLines="0" w:line="590" w:lineRule="exact"/>
        <w:ind w:firstLine="640" w:firstLineChars="200"/>
        <w:jc w:val="left"/>
        <w:rPr>
          <w:rFonts w:hint="eastAsia" w:ascii="楷体_GB2312" w:hAnsi="楷体_GB2312" w:eastAsia="楷体_GB2312" w:cs="楷体_GB2312"/>
          <w:sz w:val="32"/>
        </w:rPr>
      </w:pPr>
      <w:r>
        <w:rPr>
          <w:rFonts w:hint="eastAsia" w:ascii="楷体_GB2312" w:hAnsi="楷体_GB2312" w:eastAsia="楷体_GB2312" w:cs="楷体_GB2312"/>
          <w:sz w:val="32"/>
          <w:lang w:eastAsia="zh-CN"/>
        </w:rPr>
        <w:t>（二）</w:t>
      </w:r>
      <w:r>
        <w:rPr>
          <w:rFonts w:hint="eastAsia" w:ascii="楷体_GB2312" w:hAnsi="楷体_GB2312" w:eastAsia="楷体_GB2312" w:cs="楷体_GB2312"/>
          <w:sz w:val="32"/>
        </w:rPr>
        <w:t>热轧光圆钢筋</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1121"/>
        <w:gridCol w:w="1081"/>
        <w:gridCol w:w="2193"/>
        <w:gridCol w:w="726"/>
        <w:gridCol w:w="895"/>
        <w:gridCol w:w="840"/>
        <w:gridCol w:w="830"/>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blHeader/>
          <w:jc w:val="center"/>
        </w:trPr>
        <w:tc>
          <w:tcPr>
            <w:tcW w:w="307"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adjustRightInd w:val="0"/>
              <w:snapToGrid w:val="0"/>
              <w:spacing w:beforeLines="0" w:afterLines="0" w:line="320" w:lineRule="exact"/>
              <w:jc w:val="center"/>
              <w:rPr>
                <w:rFonts w:hint="eastAsia" w:ascii="黑体" w:hAnsi="黑体" w:eastAsia="黑体" w:cs="黑体"/>
                <w:b w:val="0"/>
                <w:bCs/>
                <w:sz w:val="24"/>
              </w:rPr>
            </w:pPr>
            <w:r>
              <w:rPr>
                <w:rFonts w:hint="eastAsia" w:ascii="黑体" w:hAnsi="黑体" w:eastAsia="黑体" w:cs="黑体"/>
                <w:b w:val="0"/>
                <w:bCs/>
                <w:sz w:val="24"/>
              </w:rPr>
              <w:t>序号</w:t>
            </w:r>
          </w:p>
        </w:tc>
        <w:tc>
          <w:tcPr>
            <w:tcW w:w="1216" w:type="pct"/>
            <w:gridSpan w:val="2"/>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adjustRightInd w:val="0"/>
              <w:snapToGrid w:val="0"/>
              <w:spacing w:beforeLines="0" w:afterLines="0" w:line="320" w:lineRule="exact"/>
              <w:jc w:val="center"/>
              <w:rPr>
                <w:rFonts w:hint="eastAsia" w:ascii="黑体" w:hAnsi="黑体" w:eastAsia="黑体" w:cs="黑体"/>
                <w:b w:val="0"/>
                <w:bCs/>
                <w:sz w:val="24"/>
              </w:rPr>
            </w:pPr>
            <w:r>
              <w:rPr>
                <w:rFonts w:hint="eastAsia" w:ascii="黑体" w:hAnsi="黑体" w:eastAsia="黑体" w:cs="黑体"/>
                <w:b w:val="0"/>
                <w:bCs/>
                <w:sz w:val="24"/>
              </w:rPr>
              <w:t>检验项目</w:t>
            </w:r>
          </w:p>
        </w:tc>
        <w:tc>
          <w:tcPr>
            <w:tcW w:w="1211"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adjustRightInd w:val="0"/>
              <w:snapToGrid w:val="0"/>
              <w:spacing w:beforeLines="0" w:afterLines="0" w:line="320" w:lineRule="exact"/>
              <w:jc w:val="center"/>
              <w:rPr>
                <w:rFonts w:hint="eastAsia" w:ascii="黑体" w:hAnsi="黑体" w:eastAsia="黑体" w:cs="黑体"/>
                <w:b w:val="0"/>
                <w:bCs/>
                <w:sz w:val="24"/>
              </w:rPr>
            </w:pPr>
            <w:r>
              <w:rPr>
                <w:rFonts w:hint="eastAsia" w:ascii="黑体" w:hAnsi="黑体" w:eastAsia="黑体" w:cs="黑体"/>
                <w:b w:val="0"/>
                <w:bCs/>
                <w:sz w:val="24"/>
              </w:rPr>
              <w:t>检验方法</w:t>
            </w:r>
          </w:p>
        </w:tc>
        <w:tc>
          <w:tcPr>
            <w:tcW w:w="401"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adjustRightInd w:val="0"/>
              <w:snapToGrid w:val="0"/>
              <w:spacing w:beforeLines="0" w:afterLines="0" w:line="320" w:lineRule="exact"/>
              <w:jc w:val="center"/>
              <w:rPr>
                <w:rFonts w:hint="eastAsia" w:ascii="黑体" w:hAnsi="黑体" w:eastAsia="黑体" w:cs="黑体"/>
                <w:b w:val="0"/>
                <w:bCs/>
                <w:sz w:val="24"/>
              </w:rPr>
            </w:pPr>
            <w:r>
              <w:rPr>
                <w:rFonts w:hint="eastAsia" w:ascii="黑体" w:hAnsi="黑体" w:eastAsia="黑体" w:cs="黑体"/>
                <w:b w:val="0"/>
                <w:bCs/>
                <w:sz w:val="24"/>
              </w:rPr>
              <w:t>强制性</w:t>
            </w:r>
          </w:p>
        </w:tc>
        <w:tc>
          <w:tcPr>
            <w:tcW w:w="494"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adjustRightInd w:val="0"/>
              <w:snapToGrid w:val="0"/>
              <w:spacing w:beforeLines="0" w:afterLines="0" w:line="320" w:lineRule="exact"/>
              <w:jc w:val="center"/>
              <w:rPr>
                <w:rFonts w:hint="eastAsia" w:ascii="黑体" w:hAnsi="黑体" w:eastAsia="黑体" w:cs="黑体"/>
                <w:b w:val="0"/>
                <w:bCs/>
                <w:sz w:val="24"/>
              </w:rPr>
            </w:pPr>
            <w:r>
              <w:rPr>
                <w:rFonts w:hint="eastAsia" w:ascii="黑体" w:hAnsi="黑体" w:eastAsia="黑体" w:cs="黑体"/>
                <w:b w:val="0"/>
                <w:bCs/>
                <w:sz w:val="24"/>
              </w:rPr>
              <w:t>非强制性</w:t>
            </w:r>
          </w:p>
        </w:tc>
        <w:tc>
          <w:tcPr>
            <w:tcW w:w="464"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adjustRightInd w:val="0"/>
              <w:snapToGrid w:val="0"/>
              <w:spacing w:beforeLines="0" w:afterLines="0" w:line="320" w:lineRule="exact"/>
              <w:jc w:val="center"/>
              <w:rPr>
                <w:rFonts w:hint="eastAsia" w:ascii="黑体" w:hAnsi="黑体" w:eastAsia="黑体" w:cs="黑体"/>
                <w:b w:val="0"/>
                <w:bCs/>
                <w:sz w:val="24"/>
              </w:rPr>
            </w:pPr>
            <w:r>
              <w:rPr>
                <w:rFonts w:hint="eastAsia" w:ascii="黑体" w:hAnsi="黑体" w:eastAsia="黑体" w:cs="黑体"/>
                <w:b w:val="0"/>
                <w:bCs/>
                <w:sz w:val="24"/>
              </w:rPr>
              <w:t>重要项</w:t>
            </w:r>
          </w:p>
        </w:tc>
        <w:tc>
          <w:tcPr>
            <w:tcW w:w="458"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adjustRightInd w:val="0"/>
              <w:snapToGrid w:val="0"/>
              <w:spacing w:beforeLines="0" w:afterLines="0" w:line="320" w:lineRule="exact"/>
              <w:jc w:val="center"/>
              <w:rPr>
                <w:rFonts w:hint="eastAsia" w:ascii="黑体" w:hAnsi="黑体" w:eastAsia="黑体" w:cs="黑体"/>
                <w:b w:val="0"/>
                <w:bCs/>
                <w:sz w:val="24"/>
              </w:rPr>
            </w:pPr>
            <w:r>
              <w:rPr>
                <w:rFonts w:hint="eastAsia" w:ascii="黑体" w:hAnsi="黑体" w:eastAsia="黑体" w:cs="黑体"/>
                <w:b w:val="0"/>
                <w:bCs/>
                <w:sz w:val="24"/>
              </w:rPr>
              <w:t>较重要项</w:t>
            </w:r>
          </w:p>
        </w:tc>
        <w:tc>
          <w:tcPr>
            <w:tcW w:w="446" w:type="pct"/>
            <w:tcBorders>
              <w:top w:val="single" w:color="auto" w:sz="4" w:space="0"/>
              <w:left w:val="single" w:color="auto" w:sz="4" w:space="0"/>
              <w:bottom w:val="single" w:color="auto" w:sz="4" w:space="0"/>
              <w:right w:val="single" w:color="auto" w:sz="4" w:space="0"/>
              <w:tl2br w:val="nil"/>
              <w:tr2bl w:val="nil"/>
            </w:tcBorders>
            <w:shd w:val="clear" w:color="auto" w:fill="EEECE1"/>
            <w:noWrap w:val="0"/>
            <w:vAlign w:val="center"/>
          </w:tcPr>
          <w:p>
            <w:pPr>
              <w:adjustRightInd w:val="0"/>
              <w:snapToGrid w:val="0"/>
              <w:spacing w:beforeLines="0" w:afterLines="0" w:line="320" w:lineRule="exact"/>
              <w:jc w:val="center"/>
              <w:rPr>
                <w:rFonts w:hint="eastAsia" w:ascii="黑体" w:hAnsi="黑体" w:eastAsia="黑体" w:cs="黑体"/>
                <w:b w:val="0"/>
                <w:bCs/>
                <w:sz w:val="24"/>
              </w:rPr>
            </w:pPr>
            <w:r>
              <w:rPr>
                <w:rFonts w:hint="eastAsia" w:ascii="黑体" w:hAnsi="黑体" w:eastAsia="黑体" w:cs="黑体"/>
                <w:b w:val="0"/>
                <w:bCs/>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307"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1</w:t>
            </w:r>
          </w:p>
        </w:tc>
        <w:tc>
          <w:tcPr>
            <w:tcW w:w="61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尺寸</w:t>
            </w:r>
          </w:p>
        </w:tc>
        <w:tc>
          <w:tcPr>
            <w:tcW w:w="59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直径允许偏差</w:t>
            </w:r>
          </w:p>
        </w:tc>
        <w:tc>
          <w:tcPr>
            <w:tcW w:w="121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GB/T 1499.1-2017</w:t>
            </w:r>
          </w:p>
        </w:tc>
        <w:tc>
          <w:tcPr>
            <w:tcW w:w="40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6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4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307"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2</w:t>
            </w:r>
          </w:p>
        </w:tc>
        <w:tc>
          <w:tcPr>
            <w:tcW w:w="61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p>
        </w:tc>
        <w:tc>
          <w:tcPr>
            <w:tcW w:w="59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不圆度</w:t>
            </w:r>
          </w:p>
        </w:tc>
        <w:tc>
          <w:tcPr>
            <w:tcW w:w="121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GB/T 1499.1-2017</w:t>
            </w:r>
          </w:p>
        </w:tc>
        <w:tc>
          <w:tcPr>
            <w:tcW w:w="40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6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4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jc w:val="center"/>
        </w:trPr>
        <w:tc>
          <w:tcPr>
            <w:tcW w:w="307"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3</w:t>
            </w:r>
          </w:p>
        </w:tc>
        <w:tc>
          <w:tcPr>
            <w:tcW w:w="61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化学成分</w:t>
            </w:r>
          </w:p>
        </w:tc>
        <w:tc>
          <w:tcPr>
            <w:tcW w:w="59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碳</w:t>
            </w:r>
          </w:p>
        </w:tc>
        <w:tc>
          <w:tcPr>
            <w:tcW w:w="121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GB/T 1499.1-2017</w:t>
            </w:r>
          </w:p>
        </w:tc>
        <w:tc>
          <w:tcPr>
            <w:tcW w:w="40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6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307"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4</w:t>
            </w:r>
          </w:p>
        </w:tc>
        <w:tc>
          <w:tcPr>
            <w:tcW w:w="61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p>
        </w:tc>
        <w:tc>
          <w:tcPr>
            <w:tcW w:w="59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硅</w:t>
            </w:r>
          </w:p>
        </w:tc>
        <w:tc>
          <w:tcPr>
            <w:tcW w:w="121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GB/T 1499.1-2017</w:t>
            </w:r>
          </w:p>
        </w:tc>
        <w:tc>
          <w:tcPr>
            <w:tcW w:w="40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6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307"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5</w:t>
            </w:r>
          </w:p>
        </w:tc>
        <w:tc>
          <w:tcPr>
            <w:tcW w:w="61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p>
        </w:tc>
        <w:tc>
          <w:tcPr>
            <w:tcW w:w="59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锰</w:t>
            </w:r>
          </w:p>
        </w:tc>
        <w:tc>
          <w:tcPr>
            <w:tcW w:w="121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GB/T 1499.1-2017</w:t>
            </w:r>
          </w:p>
        </w:tc>
        <w:tc>
          <w:tcPr>
            <w:tcW w:w="40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6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jc w:val="center"/>
        </w:trPr>
        <w:tc>
          <w:tcPr>
            <w:tcW w:w="307"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6</w:t>
            </w:r>
          </w:p>
        </w:tc>
        <w:tc>
          <w:tcPr>
            <w:tcW w:w="61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p>
        </w:tc>
        <w:tc>
          <w:tcPr>
            <w:tcW w:w="59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磷</w:t>
            </w:r>
          </w:p>
        </w:tc>
        <w:tc>
          <w:tcPr>
            <w:tcW w:w="121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GB/T 1499.1-2017</w:t>
            </w:r>
          </w:p>
        </w:tc>
        <w:tc>
          <w:tcPr>
            <w:tcW w:w="40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6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307"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7</w:t>
            </w:r>
          </w:p>
        </w:tc>
        <w:tc>
          <w:tcPr>
            <w:tcW w:w="61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p>
        </w:tc>
        <w:tc>
          <w:tcPr>
            <w:tcW w:w="59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硫</w:t>
            </w:r>
          </w:p>
        </w:tc>
        <w:tc>
          <w:tcPr>
            <w:tcW w:w="121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GB/T 1499.1-2017</w:t>
            </w:r>
          </w:p>
        </w:tc>
        <w:tc>
          <w:tcPr>
            <w:tcW w:w="40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6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307"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8</w:t>
            </w:r>
          </w:p>
        </w:tc>
        <w:tc>
          <w:tcPr>
            <w:tcW w:w="61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力学</w:t>
            </w:r>
          </w:p>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性能</w:t>
            </w:r>
          </w:p>
        </w:tc>
        <w:tc>
          <w:tcPr>
            <w:tcW w:w="59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抗拉强度</w:t>
            </w:r>
          </w:p>
        </w:tc>
        <w:tc>
          <w:tcPr>
            <w:tcW w:w="121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GB/T 1499.1-2017</w:t>
            </w:r>
          </w:p>
        </w:tc>
        <w:tc>
          <w:tcPr>
            <w:tcW w:w="40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6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307"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9</w:t>
            </w:r>
          </w:p>
        </w:tc>
        <w:tc>
          <w:tcPr>
            <w:tcW w:w="61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p>
        </w:tc>
        <w:tc>
          <w:tcPr>
            <w:tcW w:w="59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下屈服强度</w:t>
            </w:r>
          </w:p>
        </w:tc>
        <w:tc>
          <w:tcPr>
            <w:tcW w:w="121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GB/T 1499.1-2017</w:t>
            </w:r>
          </w:p>
        </w:tc>
        <w:tc>
          <w:tcPr>
            <w:tcW w:w="40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6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307"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10</w:t>
            </w:r>
          </w:p>
        </w:tc>
        <w:tc>
          <w:tcPr>
            <w:tcW w:w="61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p>
        </w:tc>
        <w:tc>
          <w:tcPr>
            <w:tcW w:w="59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断后伸长率</w:t>
            </w:r>
          </w:p>
        </w:tc>
        <w:tc>
          <w:tcPr>
            <w:tcW w:w="121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GB/T 1499.1-2017</w:t>
            </w:r>
          </w:p>
        </w:tc>
        <w:tc>
          <w:tcPr>
            <w:tcW w:w="40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6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307"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11</w:t>
            </w:r>
          </w:p>
        </w:tc>
        <w:tc>
          <w:tcPr>
            <w:tcW w:w="619"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工艺</w:t>
            </w:r>
          </w:p>
          <w:p>
            <w:pPr>
              <w:adjustRightInd w:val="0"/>
              <w:snapToGrid w:val="0"/>
              <w:spacing w:beforeLines="0" w:afterLines="0"/>
              <w:jc w:val="center"/>
              <w:rPr>
                <w:rFonts w:hint="eastAsia" w:ascii="仿宋" w:hAnsi="仿宋" w:eastAsia="仿宋" w:cs="仿宋"/>
                <w:sz w:val="24"/>
              </w:rPr>
            </w:pPr>
            <w:r>
              <w:rPr>
                <w:rFonts w:hint="eastAsia" w:ascii="仿宋" w:hAnsi="仿宋" w:eastAsia="仿宋" w:cs="仿宋"/>
                <w:sz w:val="24"/>
              </w:rPr>
              <w:t>性能</w:t>
            </w:r>
          </w:p>
        </w:tc>
        <w:tc>
          <w:tcPr>
            <w:tcW w:w="59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冷弯</w:t>
            </w:r>
          </w:p>
        </w:tc>
        <w:tc>
          <w:tcPr>
            <w:tcW w:w="121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GB/T 1499.1-2017</w:t>
            </w:r>
          </w:p>
        </w:tc>
        <w:tc>
          <w:tcPr>
            <w:tcW w:w="40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6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4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307"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12</w:t>
            </w:r>
          </w:p>
        </w:tc>
        <w:tc>
          <w:tcPr>
            <w:tcW w:w="1216"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重量偏差</w:t>
            </w:r>
            <w:r>
              <w:rPr>
                <w:rFonts w:hint="eastAsia" w:ascii="仿宋" w:hAnsi="仿宋" w:eastAsia="仿宋" w:cs="仿宋"/>
                <w:sz w:val="24"/>
                <w:vertAlign w:val="superscript"/>
              </w:rPr>
              <w:t>a</w:t>
            </w:r>
          </w:p>
        </w:tc>
        <w:tc>
          <w:tcPr>
            <w:tcW w:w="121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GB/T 1499.1-2017</w:t>
            </w:r>
          </w:p>
        </w:tc>
        <w:tc>
          <w:tcPr>
            <w:tcW w:w="401"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c>
          <w:tcPr>
            <w:tcW w:w="49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64"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r>
              <w:rPr>
                <w:rFonts w:hint="eastAsia" w:ascii="仿宋" w:hAnsi="仿宋" w:eastAsia="仿宋" w:cs="仿宋"/>
                <w:sz w:val="24"/>
              </w:rPr>
              <w:t>●</w:t>
            </w:r>
          </w:p>
        </w:tc>
        <w:tc>
          <w:tcPr>
            <w:tcW w:w="446" w:type="pc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6" w:hRule="atLeast"/>
          <w:jc w:val="center"/>
        </w:trPr>
        <w:tc>
          <w:tcPr>
            <w:tcW w:w="5000" w:type="pct"/>
            <w:gridSpan w:val="9"/>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left"/>
              <w:rPr>
                <w:rFonts w:hint="eastAsia" w:ascii="仿宋" w:hAnsi="仿宋" w:eastAsia="仿宋" w:cs="仿宋"/>
                <w:sz w:val="24"/>
              </w:rPr>
            </w:pPr>
            <w:r>
              <w:rPr>
                <w:rFonts w:hint="eastAsia" w:ascii="仿宋" w:hAnsi="仿宋" w:eastAsia="仿宋" w:cs="仿宋"/>
                <w:sz w:val="24"/>
              </w:rPr>
              <w:t>a重量偏差项目实测值大于标准值的2.0倍，为重要项；实测值小于标准值或等于标准值的2.0倍，为较重要项。</w:t>
            </w:r>
          </w:p>
        </w:tc>
      </w:tr>
    </w:tbl>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600" w:firstLineChars="200"/>
        <w:jc w:val="left"/>
        <w:textAlignment w:val="auto"/>
        <w:rPr>
          <w:rFonts w:hint="eastAsia" w:ascii="仿宋" w:hAnsi="仿宋" w:eastAsia="仿宋" w:cs="仿宋"/>
          <w:sz w:val="30"/>
          <w:szCs w:val="30"/>
        </w:rPr>
      </w:pPr>
      <w:r>
        <w:rPr>
          <w:rFonts w:hint="eastAsia" w:ascii="仿宋" w:hAnsi="仿宋" w:eastAsia="仿宋" w:cs="仿宋"/>
          <w:sz w:val="30"/>
          <w:szCs w:val="30"/>
        </w:rPr>
        <w:t>注：①对所抽取的热轧光圆钢筋样品，先进行尺寸、重量偏差项目的检验，后截取化学成分、力学性能、工艺性能项目的检验样品。</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600" w:firstLineChars="200"/>
        <w:jc w:val="left"/>
        <w:textAlignment w:val="auto"/>
        <w:rPr>
          <w:rFonts w:hint="eastAsia" w:ascii="仿宋" w:hAnsi="仿宋" w:eastAsia="仿宋" w:cs="仿宋"/>
          <w:sz w:val="24"/>
        </w:rPr>
      </w:pPr>
      <w:r>
        <w:rPr>
          <w:rFonts w:hint="eastAsia" w:ascii="仿宋" w:hAnsi="仿宋" w:eastAsia="仿宋" w:cs="仿宋"/>
          <w:sz w:val="30"/>
          <w:szCs w:val="30"/>
        </w:rPr>
        <w:t>②化学成分的检验方法优先采用光谱法，仲裁检验采用化学法。</w:t>
      </w:r>
    </w:p>
    <w:p>
      <w:pPr>
        <w:keepNext w:val="0"/>
        <w:keepLines w:val="0"/>
        <w:pageBreakBefore w:val="0"/>
        <w:kinsoku/>
        <w:wordWrap/>
        <w:overflowPunct/>
        <w:topLinePunct w:val="0"/>
        <w:autoSpaceDE/>
        <w:autoSpaceDN/>
        <w:bidi w:val="0"/>
        <w:adjustRightInd/>
        <w:spacing w:beforeLines="0" w:afterLines="0" w:line="580" w:lineRule="exact"/>
        <w:ind w:firstLine="640" w:firstLineChars="200"/>
        <w:jc w:val="left"/>
        <w:textAlignment w:val="auto"/>
        <w:rPr>
          <w:rFonts w:hint="eastAsia" w:ascii="黑体" w:hAnsi="黑体" w:eastAsia="黑体"/>
          <w:color w:val="000000"/>
          <w:sz w:val="32"/>
        </w:rPr>
      </w:pPr>
      <w:r>
        <w:rPr>
          <w:rFonts w:hint="eastAsia" w:ascii="黑体" w:hAnsi="黑体" w:eastAsia="黑体"/>
          <w:color w:val="000000"/>
          <w:sz w:val="32"/>
        </w:rPr>
        <w:t>三、 判定规则</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楷体_GB2312" w:hAnsi="楷体_GB2312" w:eastAsia="楷体_GB2312" w:cs="楷体_GB2312"/>
          <w:sz w:val="32"/>
        </w:rPr>
      </w:pPr>
      <w:r>
        <w:rPr>
          <w:rFonts w:hint="eastAsia" w:ascii="楷体_GB2312" w:hAnsi="楷体_GB2312" w:eastAsia="楷体_GB2312" w:cs="楷体_GB2312"/>
          <w:sz w:val="32"/>
        </w:rPr>
        <w:t>（一）依据标准</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rPr>
      </w:pPr>
      <w:r>
        <w:rPr>
          <w:rFonts w:hint="eastAsia" w:ascii="仿宋" w:hAnsi="仿宋" w:eastAsia="仿宋" w:cs="仿宋"/>
          <w:sz w:val="32"/>
        </w:rPr>
        <w:t>GB/T 1499.2-2018《钢筋混凝土用钢第2部分：热轧带肋钢筋》</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rPr>
      </w:pPr>
      <w:r>
        <w:rPr>
          <w:rFonts w:hint="eastAsia" w:ascii="仿宋" w:hAnsi="仿宋" w:eastAsia="仿宋" w:cs="仿宋"/>
          <w:sz w:val="32"/>
        </w:rPr>
        <w:t>GB/T 1499.1-2017《钢筋混凝土用钢 第1部分：热轧光圆钢筋》</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rPr>
      </w:pPr>
      <w:r>
        <w:rPr>
          <w:rFonts w:hint="eastAsia" w:ascii="仿宋" w:hAnsi="仿宋" w:eastAsia="仿宋" w:cs="仿宋"/>
          <w:sz w:val="32"/>
        </w:rPr>
        <w:t>现行有效的企业标准、团体标准、地方标准及产品明示质量要求。</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楷体_GB2312" w:hAnsi="楷体_GB2312" w:eastAsia="楷体_GB2312" w:cs="楷体_GB2312"/>
          <w:sz w:val="32"/>
        </w:rPr>
      </w:pPr>
      <w:r>
        <w:rPr>
          <w:rFonts w:hint="eastAsia" w:ascii="楷体_GB2312" w:hAnsi="楷体_GB2312" w:eastAsia="楷体_GB2312" w:cs="楷体_GB2312"/>
          <w:sz w:val="32"/>
        </w:rPr>
        <w:t>（二）判定原则</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rPr>
      </w:pPr>
      <w:r>
        <w:rPr>
          <w:rFonts w:hint="eastAsia" w:ascii="仿宋" w:hAnsi="仿宋" w:eastAsia="仿宋" w:cs="仿宋"/>
          <w:sz w:val="32"/>
        </w:rPr>
        <w:t>经检验，检验项目全部合格，判定为抽取的样本所检项目未检出不合格；检验项目中任一项或一项以上不合格，判定为被抽查产品不合格。</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rPr>
      </w:pPr>
      <w:r>
        <w:rPr>
          <w:rFonts w:hint="eastAsia" w:ascii="仿宋" w:hAnsi="仿宋" w:eastAsia="仿宋" w:cs="仿宋"/>
          <w:sz w:val="32"/>
        </w:rPr>
        <w:t>当被检样品明示的质量要求优于监督抽查实施细则中依据的标准要求时，应按被检样品明示的质量要求判定；</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rPr>
      </w:pPr>
      <w:bookmarkStart w:id="0" w:name="_GoBack"/>
      <w:bookmarkEnd w:id="0"/>
      <w:r>
        <w:rPr>
          <w:rFonts w:hint="eastAsia" w:ascii="仿宋" w:hAnsi="仿宋" w:eastAsia="仿宋" w:cs="仿宋"/>
          <w:sz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rPr>
      </w:pPr>
      <w:r>
        <w:rPr>
          <w:rFonts w:hint="eastAsia" w:ascii="仿宋" w:hAnsi="仿宋" w:eastAsia="仿宋" w:cs="仿宋"/>
          <w:sz w:val="32"/>
        </w:rPr>
        <w:t>当被检样品明示的质量要求不包含监督抽查实施细则中依据的推荐性标准要求时，该指标不参与判定，但应在检验报告中作出说明；</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rPr>
      </w:pPr>
      <w:r>
        <w:rPr>
          <w:rFonts w:hint="eastAsia" w:ascii="仿宋" w:hAnsi="仿宋" w:eastAsia="仿宋" w:cs="仿宋"/>
          <w:sz w:val="32"/>
        </w:rPr>
        <w:t>当被检样品未能提供有效的企业标准时，按相关国家或行业标准进行判定；</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rPr>
      </w:pPr>
      <w:r>
        <w:rPr>
          <w:rFonts w:hint="eastAsia" w:ascii="仿宋" w:hAnsi="仿宋" w:eastAsia="仿宋" w:cs="仿宋"/>
          <w:sz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rPr>
      </w:pPr>
      <w:r>
        <w:rPr>
          <w:rFonts w:hint="eastAsia" w:ascii="仿宋" w:hAnsi="仿宋" w:eastAsia="仿宋" w:cs="仿宋"/>
          <w:sz w:val="32"/>
        </w:rPr>
        <w:t>按照产品质量相关法律法规的规定判定。</w:t>
      </w:r>
    </w:p>
    <w:p>
      <w:pPr>
        <w:keepNext w:val="0"/>
        <w:keepLines w:val="0"/>
        <w:pageBreakBefore w:val="0"/>
        <w:kinsoku/>
        <w:wordWrap/>
        <w:overflowPunct/>
        <w:topLinePunct w:val="0"/>
        <w:autoSpaceDE/>
        <w:autoSpaceDN/>
        <w:bidi w:val="0"/>
        <w:adjustRightInd/>
        <w:snapToGrid w:val="0"/>
        <w:spacing w:beforeLines="0" w:afterLines="0" w:line="580" w:lineRule="exact"/>
        <w:ind w:firstLine="640" w:firstLineChars="200"/>
        <w:jc w:val="left"/>
        <w:textAlignment w:val="auto"/>
        <w:rPr>
          <w:rFonts w:hint="eastAsia" w:ascii="仿宋" w:hAnsi="仿宋" w:eastAsia="仿宋" w:cs="仿宋"/>
          <w:sz w:val="32"/>
        </w:rPr>
      </w:pPr>
      <w:r>
        <w:rPr>
          <w:rFonts w:hint="eastAsia" w:ascii="仿宋" w:hAnsi="仿宋" w:eastAsia="仿宋" w:cs="仿宋"/>
          <w:sz w:val="32"/>
        </w:rPr>
        <w:t>检验中发现因样品失效或者其他原因致使检验无法进行的，检验人员应如实记录，并提供相关证明材料，报送组织监督抽查的市场监管部门。</w:t>
      </w:r>
    </w:p>
    <w:p>
      <w:pPr>
        <w:jc w:val="left"/>
        <w:rPr>
          <w:rFonts w:hint="eastAsia" w:ascii="仿宋" w:hAnsi="仿宋" w:eastAsia="仿宋" w:cs="仿宋"/>
        </w:rPr>
      </w:pPr>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120"/>
      <w:jc w:val="right"/>
      <w:rPr>
        <w:rFonts w:hint="eastAsia" w:ascii="Times New Roman" w:hAnsi="Times New Roman" w:cs="Times New Roman"/>
        <w:lang w:eastAsia="zh-CN"/>
      </w:rPr>
    </w:pPr>
    <w:r>
      <w:rPr>
        <w:rFonts w:hint="eastAsia" w:ascii="Times New Roman" w:hAnsi="Times New Roman" w:cs="Times New Roman"/>
        <w:lang w:val="en-US" w:eastAsia="zh-CN"/>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075690" cy="1905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75690" cy="190500"/>
                      </a:xfrm>
                      <a:prstGeom prst="rect">
                        <a:avLst/>
                      </a:prstGeom>
                      <a:noFill/>
                      <a:ln>
                        <a:noFill/>
                      </a:ln>
                    </wps:spPr>
                    <wps:txbx>
                      <w:txbxContent>
                        <w:p>
                          <w:pPr>
                            <w:pStyle w:val="4"/>
                            <w:spacing w:line="300" w:lineRule="exact"/>
                            <w:ind w:right="374" w:rightChars="117" w:firstLine="338" w:firstLineChars="121"/>
                            <w:jc w:val="center"/>
                            <w:rPr>
                              <w:rFonts w:hint="eastAsia" w:ascii="Times New Roman" w:hAnsi="Times New Roman" w:eastAsia="仿宋_GB2312" w:cs="Times New Roman"/>
                              <w:lang w:eastAsia="zh-CN"/>
                            </w:rPr>
                          </w:pP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cs="宋体"/>
                              <w:sz w:val="28"/>
                              <w:szCs w:val="28"/>
                            </w:rPr>
                            <w:fldChar w:fldCharType="begin"/>
                          </w:r>
                          <w:r>
                            <w:rPr>
                              <w:rStyle w:val="9"/>
                              <w:rFonts w:hint="eastAsia" w:ascii="宋体" w:hAnsi="宋体" w:cs="宋体"/>
                              <w:sz w:val="28"/>
                              <w:szCs w:val="28"/>
                            </w:rPr>
                            <w:instrText xml:space="preserve">PAGE  </w:instrText>
                          </w:r>
                          <w:r>
                            <w:rPr>
                              <w:rFonts w:hint="eastAsia" w:ascii="宋体" w:hAnsi="宋体" w:cs="宋体"/>
                              <w:sz w:val="28"/>
                              <w:szCs w:val="28"/>
                            </w:rPr>
                            <w:fldChar w:fldCharType="separate"/>
                          </w:r>
                          <w:r>
                            <w:rPr>
                              <w:rStyle w:val="9"/>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lang w:val="en-US" w:eastAsia="zh-CN"/>
                            </w:rPr>
                            <w:t xml:space="preserve"> </w:t>
                          </w:r>
                          <w:r>
                            <w:rPr>
                              <w:rFonts w:hint="eastAsia" w:ascii="宋体" w:hAnsi="宋体" w:cs="宋体"/>
                              <w:sz w:val="28"/>
                              <w:szCs w:val="28"/>
                              <w:lang w:eastAsia="zh-CN"/>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5pt;width:84.7pt;mso-position-horizontal:outside;mso-position-horizontal-relative:margin;mso-wrap-style:none;z-index:251659264;mso-width-relative:page;mso-height-relative:page;" filled="f" stroked="f" coordsize="21600,21600" o:gfxdata="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PcgOfRAAAABAEAAA8AAAAAAAAAAQAgAAAAIgAAAGRycy9kb3du&#10;cmV2LnhtbFBLAQIUABQAAAAIAIdO4kC2HuaQzQEAAJgDAAAOAAAAAAAAAAEAIAAAACABAABkcnMv&#10;ZTJvRG9jLnhtbFBLBQYAAAAABgAGAFkBAABfBQAAAAA=&#10;">
              <v:fill on="f" focussize="0,0"/>
              <v:stroke on="f"/>
              <v:imagedata o:title=""/>
              <o:lock v:ext="edit" aspectratio="f"/>
              <v:textbox inset="0mm,0mm,0mm,0mm" style="mso-fit-shape-to-text:t;">
                <w:txbxContent>
                  <w:p>
                    <w:pPr>
                      <w:pStyle w:val="4"/>
                      <w:spacing w:line="300" w:lineRule="exact"/>
                      <w:ind w:right="374" w:rightChars="117" w:firstLine="338" w:firstLineChars="121"/>
                      <w:jc w:val="center"/>
                      <w:rPr>
                        <w:rFonts w:hint="eastAsia" w:ascii="Times New Roman" w:hAnsi="Times New Roman" w:eastAsia="仿宋_GB2312" w:cs="Times New Roman"/>
                        <w:lang w:eastAsia="zh-CN"/>
                      </w:rPr>
                    </w:pP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cs="宋体"/>
                        <w:sz w:val="28"/>
                        <w:szCs w:val="28"/>
                      </w:rPr>
                      <w:fldChar w:fldCharType="begin"/>
                    </w:r>
                    <w:r>
                      <w:rPr>
                        <w:rStyle w:val="9"/>
                        <w:rFonts w:hint="eastAsia" w:ascii="宋体" w:hAnsi="宋体" w:cs="宋体"/>
                        <w:sz w:val="28"/>
                        <w:szCs w:val="28"/>
                      </w:rPr>
                      <w:instrText xml:space="preserve">PAGE  </w:instrText>
                    </w:r>
                    <w:r>
                      <w:rPr>
                        <w:rFonts w:hint="eastAsia" w:ascii="宋体" w:hAnsi="宋体" w:cs="宋体"/>
                        <w:sz w:val="28"/>
                        <w:szCs w:val="28"/>
                      </w:rPr>
                      <w:fldChar w:fldCharType="separate"/>
                    </w:r>
                    <w:r>
                      <w:rPr>
                        <w:rStyle w:val="9"/>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lang w:val="en-US" w:eastAsia="zh-CN"/>
                      </w:rPr>
                      <w:t xml:space="preserve"> </w:t>
                    </w:r>
                    <w:r>
                      <w:rPr>
                        <w:rFonts w:hint="eastAsia" w:ascii="宋体" w:hAnsi="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D2844"/>
    <w:rsid w:val="0A0F2E11"/>
    <w:rsid w:val="0D7A67F4"/>
    <w:rsid w:val="1D9A07EC"/>
    <w:rsid w:val="28653F0D"/>
    <w:rsid w:val="2D3F06D5"/>
    <w:rsid w:val="2F6C023B"/>
    <w:rsid w:val="30B71989"/>
    <w:rsid w:val="44BC0EC5"/>
    <w:rsid w:val="50FE0AB7"/>
    <w:rsid w:val="59A23EB8"/>
    <w:rsid w:val="68617509"/>
    <w:rsid w:val="69E06B54"/>
    <w:rsid w:val="6AE14931"/>
    <w:rsid w:val="76F105F2"/>
    <w:rsid w:val="78E7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宋体"/>
      <w:sz w:val="21"/>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table" w:styleId="7">
    <w:name w:val="Table Grid"/>
    <w:basedOn w:val="6"/>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paragraph" w:customStyle="1" w:styleId="11">
    <w:name w:val="列出段落3"/>
    <w:basedOn w:val="1"/>
    <w:qFormat/>
    <w:uiPriority w:val="99"/>
    <w:pPr>
      <w:ind w:firstLine="420" w:firstLineChars="200"/>
    </w:pPr>
  </w:style>
  <w:style w:type="paragraph" w:customStyle="1" w:styleId="12">
    <w:name w:val="Other|1"/>
    <w:basedOn w:val="1"/>
    <w:qFormat/>
    <w:uiPriority w:val="0"/>
    <w:pPr>
      <w:spacing w:after="80" w:line="360" w:lineRule="auto"/>
      <w:ind w:firstLine="400"/>
    </w:pPr>
    <w:rPr>
      <w:rFonts w:ascii="宋体" w:hAnsi="宋体" w:eastAsia="宋体" w:cs="宋体"/>
      <w:sz w:val="19"/>
      <w:szCs w:val="19"/>
      <w:lang w:val="zh-TW" w:eastAsia="zh-TW" w:bidi="zh-TW"/>
    </w:rPr>
  </w:style>
  <w:style w:type="paragraph" w:customStyle="1" w:styleId="13">
    <w:name w:val="Table Paragraph"/>
    <w:basedOn w:val="1"/>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2023-04-17T08:27:00Z</dcterms:created>
  <dc:creator>admin</dc:creator>
  <cp:lastModifiedBy>刘赞</cp:lastModifiedBy>
  <dcterms:modified xsi:type="dcterms:W3CDTF">2023-05-10T09:12:32Z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F2266FA9DDB543F19ABAABBB58922018</vt:lpwstr>
  </property>
</Properties>
</file>