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简体" w:cs="方正小标宋简体"/>
          <w:bCs/>
          <w:color w:val="000000"/>
          <w:sz w:val="44"/>
          <w:szCs w:val="44"/>
        </w:rPr>
      </w:pPr>
      <w:r>
        <w:rPr>
          <w:rFonts w:hint="eastAsia" w:eastAsia="方正小标宋简体" w:cs="方正小标宋简体"/>
          <w:spacing w:val="-1"/>
          <w:position w:val="1"/>
          <w:sz w:val="44"/>
          <w:szCs w:val="44"/>
          <w:lang w:val="en-US" w:eastAsia="zh-CN"/>
        </w:rPr>
        <w:t>珠海市</w:t>
      </w:r>
      <w:r>
        <w:rPr>
          <w:rFonts w:hint="eastAsia" w:eastAsia="方正小标宋简体" w:cs="方正小标宋简体"/>
          <w:spacing w:val="-1"/>
          <w:position w:val="1"/>
          <w:sz w:val="44"/>
          <w:szCs w:val="44"/>
        </w:rPr>
        <w:t>水泥和混凝土制品</w:t>
      </w:r>
      <w:r>
        <w:rPr>
          <w:rFonts w:hint="eastAsia" w:eastAsia="方正小标宋简体" w:cs="方正小标宋简体"/>
          <w:w w:val="99"/>
          <w:position w:val="1"/>
          <w:sz w:val="44"/>
          <w:szCs w:val="44"/>
        </w:rPr>
        <w:t>产品质量监督</w:t>
      </w:r>
      <w:r>
        <w:rPr>
          <w:rFonts w:hint="eastAsia" w:eastAsia="方正小标宋简体" w:cs="方正小标宋简体"/>
          <w:bCs/>
          <w:color w:val="000000"/>
          <w:sz w:val="44"/>
          <w:szCs w:val="44"/>
        </w:rPr>
        <w:t>抽查</w:t>
      </w:r>
    </w:p>
    <w:p>
      <w:pPr>
        <w:spacing w:line="600" w:lineRule="exact"/>
        <w:jc w:val="center"/>
        <w:rPr>
          <w:rFonts w:eastAsia="方正小标宋简体" w:cs="方正小标宋简体"/>
          <w:w w:val="99"/>
          <w:position w:val="1"/>
          <w:sz w:val="44"/>
          <w:szCs w:val="44"/>
        </w:rPr>
      </w:pPr>
      <w:r>
        <w:rPr>
          <w:rFonts w:hint="eastAsia" w:eastAsia="方正小标宋简体" w:cs="方正小标宋简体"/>
          <w:bCs/>
          <w:color w:val="000000"/>
          <w:sz w:val="44"/>
          <w:szCs w:val="44"/>
        </w:rPr>
        <w:t>实施细则</w:t>
      </w:r>
    </w:p>
    <w:p>
      <w:pPr>
        <w:keepNext w:val="0"/>
        <w:keepLines w:val="0"/>
        <w:pageBreakBefore w:val="0"/>
        <w:kinsoku/>
        <w:wordWrap/>
        <w:overflowPunct/>
        <w:topLinePunct w:val="0"/>
        <w:autoSpaceDE/>
        <w:autoSpaceDN/>
        <w:bidi w:val="0"/>
        <w:adjustRightInd/>
        <w:snapToGrid/>
        <w:spacing w:line="600" w:lineRule="exact"/>
        <w:ind w:firstLine="880" w:firstLineChars="200"/>
        <w:jc w:val="left"/>
        <w:textAlignment w:val="auto"/>
        <w:rPr>
          <w:rFonts w:eastAsia="方正小标宋简体" w:cs="方正小标宋简体"/>
          <w:color w:val="000000"/>
          <w:sz w:val="44"/>
          <w:szCs w:val="44"/>
        </w:rPr>
      </w:pP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ascii="黑体" w:hAnsi="黑体" w:eastAsia="黑体" w:cs="黑体"/>
          <w:color w:val="000000"/>
          <w:sz w:val="32"/>
          <w:szCs w:val="32"/>
        </w:rPr>
      </w:pPr>
      <w:r>
        <w:rPr>
          <w:rFonts w:hint="eastAsia" w:ascii="黑体" w:hAnsi="黑体" w:eastAsia="黑体" w:cs="黑体"/>
          <w:color w:val="000000"/>
          <w:sz w:val="32"/>
          <w:szCs w:val="32"/>
        </w:rPr>
        <w:t>一、抽样方法</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ascii="Times New Roman" w:hAnsi="Times New Roman" w:eastAsia="仿宋_GB2312" w:cs="Times New Roman"/>
          <w:color w:val="000000"/>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）抽样</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按GB 12573-2008《水泥取样方法》进行。抽样基数应满足出厂编号规定的吨位。编号吨位不足时，不得少于1吨。</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袋装水泥从企业的栈台抽取。确定1个出厂编号的水泥，在该编号的水泥中随机从20包以上的袋装水泥中取等量样品，取样数量为24kg，缩分为二等分。</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散装水泥从散装库卸料或输送水泥运输机具上，在规定的出厂编号吨位范围内，间隔抽取20次以上样品，取样数量为24kg，缩分为二等分。</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缩分后的两等份样品中，一份为检验样品，一份为备用样品。</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每一出厂编号袋装水泥产品抽取包装袋一个，散装水泥抽取与袋装标志相同内容的卡片。包装袋和卡片不缺角，标志的内容需清晰。</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eastAsia="楷体_GB2312" w:cs="楷体_GB2312"/>
          <w:sz w:val="32"/>
          <w:szCs w:val="32"/>
        </w:rPr>
      </w:pPr>
      <w:r>
        <w:rPr>
          <w:rFonts w:hint="eastAsia" w:eastAsia="楷体_GB2312" w:cs="楷体_GB2312"/>
          <w:sz w:val="32"/>
          <w:szCs w:val="32"/>
        </w:rPr>
        <w:t>（</w:t>
      </w:r>
      <w:r>
        <w:rPr>
          <w:rFonts w:hint="eastAsia" w:eastAsia="楷体_GB2312" w:cs="楷体_GB2312"/>
          <w:sz w:val="32"/>
          <w:szCs w:val="32"/>
          <w:lang w:eastAsia="zh-CN"/>
        </w:rPr>
        <w:t>二</w:t>
      </w:r>
      <w:r>
        <w:rPr>
          <w:rFonts w:hint="eastAsia" w:eastAsia="楷体_GB2312" w:cs="楷体_GB2312"/>
          <w:sz w:val="32"/>
          <w:szCs w:val="32"/>
        </w:rPr>
        <w:t>）样品处置</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将抽取的水泥样品全部用0.9mm方孔筛筛析，取其筛下物，缩分为检验样品（含备样）和封存样品。</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将过完筛的检验样品和备用样品分别用两层聚乙烯塑料（或水泥专用金属容器）袋密封、包装好，外面用牛皮纸袋或编织袋包好加封条。</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封装好的检验样品和备用样品带回检验单位，并存放在干燥、防潮的地方。</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当样品在寄送过程中保存不当受潮时，应考虑重新抽取样品。</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eastAsia="黑体" w:cs="黑体"/>
          <w:color w:val="000000"/>
          <w:sz w:val="32"/>
          <w:szCs w:val="32"/>
        </w:rPr>
      </w:pPr>
      <w:r>
        <w:rPr>
          <w:rFonts w:hint="eastAsia" w:eastAsia="黑体" w:cs="黑体"/>
          <w:color w:val="000000"/>
          <w:sz w:val="32"/>
          <w:szCs w:val="32"/>
        </w:rPr>
        <w:t>二、主要检验项目及检验项目属性划分</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ascii="Times New Roman" w:hAnsi="Times New Roman" w:eastAsia="仿宋_GB2312" w:cs="Times New Roman"/>
          <w:color w:val="000000"/>
          <w:sz w:val="32"/>
          <w:szCs w:val="32"/>
        </w:rPr>
      </w:pPr>
      <w:r>
        <w:rPr>
          <w:rFonts w:hint="eastAsia" w:eastAsia="楷体_GB2312" w:cs="楷体_GB2312"/>
          <w:sz w:val="32"/>
          <w:szCs w:val="32"/>
        </w:rPr>
        <w:t>（一）通用硅酸盐水泥</w:t>
      </w:r>
    </w:p>
    <w:tbl>
      <w:tblPr>
        <w:tblStyle w:val="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552"/>
        <w:gridCol w:w="2532"/>
        <w:gridCol w:w="945"/>
        <w:gridCol w:w="875"/>
        <w:gridCol w:w="773"/>
        <w:gridCol w:w="773"/>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6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序号</w:t>
            </w:r>
          </w:p>
        </w:tc>
        <w:tc>
          <w:tcPr>
            <w:tcW w:w="85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6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检验项目</w:t>
            </w:r>
          </w:p>
        </w:tc>
        <w:tc>
          <w:tcPr>
            <w:tcW w:w="139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6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检验方法</w:t>
            </w:r>
          </w:p>
        </w:tc>
        <w:tc>
          <w:tcPr>
            <w:tcW w:w="5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6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强制性</w:t>
            </w:r>
          </w:p>
        </w:tc>
        <w:tc>
          <w:tcPr>
            <w:tcW w:w="4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6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非强制性</w:t>
            </w:r>
          </w:p>
        </w:tc>
        <w:tc>
          <w:tcPr>
            <w:tcW w:w="42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6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重要项</w:t>
            </w:r>
          </w:p>
        </w:tc>
        <w:tc>
          <w:tcPr>
            <w:tcW w:w="42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6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较重要项</w:t>
            </w:r>
          </w:p>
        </w:tc>
        <w:tc>
          <w:tcPr>
            <w:tcW w:w="511" w:type="pct"/>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6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857"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三氧化硫</w:t>
            </w:r>
          </w:p>
        </w:tc>
        <w:tc>
          <w:tcPr>
            <w:tcW w:w="1398"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 175-2007</w:t>
            </w:r>
          </w:p>
        </w:tc>
        <w:tc>
          <w:tcPr>
            <w:tcW w:w="522" w:type="pct"/>
            <w:noWrap w:val="0"/>
            <w:vAlign w:val="center"/>
          </w:tcPr>
          <w:p>
            <w:pPr>
              <w:keepNext w:val="0"/>
              <w:keepLines w:val="0"/>
              <w:pageBreakBefore w:val="0"/>
              <w:kinsoku/>
              <w:wordWrap/>
              <w:overflowPunct/>
              <w:topLinePunct w:val="0"/>
              <w:autoSpaceDE/>
              <w:autoSpaceDN/>
              <w:bidi w:val="0"/>
              <w:adjustRightIn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83" w:type="pct"/>
            <w:noWrap w:val="0"/>
            <w:vAlign w:val="center"/>
          </w:tcPr>
          <w:p>
            <w:pPr>
              <w:keepNext w:val="0"/>
              <w:keepLines w:val="0"/>
              <w:pageBreakBefore w:val="0"/>
              <w:kinsoku/>
              <w:wordWrap/>
              <w:overflowPunct/>
              <w:topLinePunct w:val="0"/>
              <w:autoSpaceDE/>
              <w:autoSpaceDN/>
              <w:bidi w:val="0"/>
              <w:adjustRightInd w:val="0"/>
              <w:spacing w:line="36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adjustRightIn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adjustRightInd w:val="0"/>
              <w:spacing w:line="360" w:lineRule="exact"/>
              <w:jc w:val="center"/>
              <w:textAlignment w:val="auto"/>
              <w:rPr>
                <w:rFonts w:hint="eastAsia" w:ascii="仿宋" w:hAnsi="仿宋" w:eastAsia="仿宋" w:cs="仿宋"/>
                <w:b w:val="0"/>
                <w:bCs w:val="0"/>
                <w:color w:val="000000"/>
                <w:sz w:val="24"/>
              </w:rPr>
            </w:pPr>
          </w:p>
        </w:tc>
        <w:tc>
          <w:tcPr>
            <w:tcW w:w="511" w:type="pct"/>
            <w:noWrap w:val="0"/>
            <w:vAlign w:val="center"/>
          </w:tcPr>
          <w:p>
            <w:pPr>
              <w:keepNext w:val="0"/>
              <w:keepLines w:val="0"/>
              <w:pageBreakBefore w:val="0"/>
              <w:kinsoku/>
              <w:wordWrap/>
              <w:overflowPunct/>
              <w:topLinePunct w:val="0"/>
              <w:autoSpaceDE/>
              <w:autoSpaceDN/>
              <w:bidi w:val="0"/>
              <w:adjustRightInd w:val="0"/>
              <w:spacing w:line="36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857"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氧化镁</w:t>
            </w:r>
          </w:p>
        </w:tc>
        <w:tc>
          <w:tcPr>
            <w:tcW w:w="1398"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 175-2007</w:t>
            </w:r>
          </w:p>
        </w:tc>
        <w:tc>
          <w:tcPr>
            <w:tcW w:w="522" w:type="pct"/>
            <w:noWrap w:val="0"/>
            <w:vAlign w:val="center"/>
          </w:tcPr>
          <w:p>
            <w:pPr>
              <w:keepNext w:val="0"/>
              <w:keepLines w:val="0"/>
              <w:pageBreakBefore w:val="0"/>
              <w:kinsoku/>
              <w:wordWrap/>
              <w:overflowPunct/>
              <w:topLinePunct w:val="0"/>
              <w:autoSpaceDE/>
              <w:autoSpaceDN/>
              <w:bidi w:val="0"/>
              <w:adjustRightIn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83" w:type="pct"/>
            <w:noWrap w:val="0"/>
            <w:vAlign w:val="center"/>
          </w:tcPr>
          <w:p>
            <w:pPr>
              <w:keepNext w:val="0"/>
              <w:keepLines w:val="0"/>
              <w:pageBreakBefore w:val="0"/>
              <w:kinsoku/>
              <w:wordWrap/>
              <w:overflowPunct/>
              <w:topLinePunct w:val="0"/>
              <w:autoSpaceDE/>
              <w:autoSpaceDN/>
              <w:bidi w:val="0"/>
              <w:adjustRightInd w:val="0"/>
              <w:spacing w:line="36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adjustRightIn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adjustRightInd w:val="0"/>
              <w:spacing w:line="360" w:lineRule="exact"/>
              <w:jc w:val="center"/>
              <w:textAlignment w:val="auto"/>
              <w:rPr>
                <w:rFonts w:hint="eastAsia" w:ascii="仿宋" w:hAnsi="仿宋" w:eastAsia="仿宋" w:cs="仿宋"/>
                <w:b w:val="0"/>
                <w:bCs w:val="0"/>
                <w:color w:val="000000"/>
                <w:sz w:val="24"/>
              </w:rPr>
            </w:pPr>
          </w:p>
        </w:tc>
        <w:tc>
          <w:tcPr>
            <w:tcW w:w="511"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857"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烧失量</w:t>
            </w:r>
          </w:p>
        </w:tc>
        <w:tc>
          <w:tcPr>
            <w:tcW w:w="1398"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 175-2007</w:t>
            </w:r>
          </w:p>
        </w:tc>
        <w:tc>
          <w:tcPr>
            <w:tcW w:w="522"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83" w:type="pct"/>
            <w:noWrap w:val="0"/>
            <w:vAlign w:val="center"/>
          </w:tcPr>
          <w:p>
            <w:pPr>
              <w:keepNext w:val="0"/>
              <w:keepLines w:val="0"/>
              <w:pageBreakBefore w:val="0"/>
              <w:kinsoku/>
              <w:wordWrap/>
              <w:overflowPunct/>
              <w:topLinePunct w:val="0"/>
              <w:autoSpaceDE/>
              <w:autoSpaceDN/>
              <w:bidi w:val="0"/>
              <w:adjustRightInd w:val="0"/>
              <w:spacing w:line="36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adjustRightInd w:val="0"/>
              <w:spacing w:line="360" w:lineRule="exact"/>
              <w:jc w:val="center"/>
              <w:textAlignment w:val="auto"/>
              <w:rPr>
                <w:rFonts w:hint="eastAsia" w:ascii="仿宋" w:hAnsi="仿宋" w:eastAsia="仿宋" w:cs="仿宋"/>
                <w:b w:val="0"/>
                <w:bCs w:val="0"/>
                <w:color w:val="000000"/>
                <w:sz w:val="24"/>
              </w:rPr>
            </w:pPr>
          </w:p>
        </w:tc>
        <w:tc>
          <w:tcPr>
            <w:tcW w:w="511"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tabs>
                <w:tab w:val="left" w:pos="492"/>
              </w:tabs>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p>
        </w:tc>
        <w:tc>
          <w:tcPr>
            <w:tcW w:w="857"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不溶物</w:t>
            </w:r>
          </w:p>
        </w:tc>
        <w:tc>
          <w:tcPr>
            <w:tcW w:w="1398"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 175-2007</w:t>
            </w:r>
          </w:p>
        </w:tc>
        <w:tc>
          <w:tcPr>
            <w:tcW w:w="522"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83" w:type="pct"/>
            <w:noWrap w:val="0"/>
            <w:vAlign w:val="center"/>
          </w:tcPr>
          <w:p>
            <w:pPr>
              <w:keepNext w:val="0"/>
              <w:keepLines w:val="0"/>
              <w:pageBreakBefore w:val="0"/>
              <w:kinsoku/>
              <w:wordWrap/>
              <w:overflowPunct/>
              <w:topLinePunct w:val="0"/>
              <w:autoSpaceDE/>
              <w:autoSpaceDN/>
              <w:bidi w:val="0"/>
              <w:adjustRightInd w:val="0"/>
              <w:spacing w:line="36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adjustRightInd w:val="0"/>
              <w:spacing w:line="360" w:lineRule="exact"/>
              <w:jc w:val="center"/>
              <w:textAlignment w:val="auto"/>
              <w:rPr>
                <w:rFonts w:hint="eastAsia" w:ascii="仿宋" w:hAnsi="仿宋" w:eastAsia="仿宋" w:cs="仿宋"/>
                <w:b w:val="0"/>
                <w:bCs w:val="0"/>
                <w:color w:val="000000"/>
                <w:sz w:val="24"/>
              </w:rPr>
            </w:pPr>
          </w:p>
        </w:tc>
        <w:tc>
          <w:tcPr>
            <w:tcW w:w="511"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5</w:t>
            </w:r>
          </w:p>
        </w:tc>
        <w:tc>
          <w:tcPr>
            <w:tcW w:w="857"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氯离子含量</w:t>
            </w:r>
          </w:p>
        </w:tc>
        <w:tc>
          <w:tcPr>
            <w:tcW w:w="1398"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 175-2007</w:t>
            </w:r>
          </w:p>
        </w:tc>
        <w:tc>
          <w:tcPr>
            <w:tcW w:w="522"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83"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c>
          <w:tcPr>
            <w:tcW w:w="511"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6</w:t>
            </w:r>
          </w:p>
        </w:tc>
        <w:tc>
          <w:tcPr>
            <w:tcW w:w="857"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细度</w:t>
            </w:r>
          </w:p>
        </w:tc>
        <w:tc>
          <w:tcPr>
            <w:tcW w:w="1398"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 175-2007</w:t>
            </w:r>
          </w:p>
        </w:tc>
        <w:tc>
          <w:tcPr>
            <w:tcW w:w="522"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c>
          <w:tcPr>
            <w:tcW w:w="483"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511"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7</w:t>
            </w:r>
          </w:p>
        </w:tc>
        <w:tc>
          <w:tcPr>
            <w:tcW w:w="857"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凝结时间</w:t>
            </w:r>
          </w:p>
        </w:tc>
        <w:tc>
          <w:tcPr>
            <w:tcW w:w="1398"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 175-2007</w:t>
            </w:r>
          </w:p>
        </w:tc>
        <w:tc>
          <w:tcPr>
            <w:tcW w:w="522"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83"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c>
          <w:tcPr>
            <w:tcW w:w="511"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8</w:t>
            </w:r>
          </w:p>
        </w:tc>
        <w:tc>
          <w:tcPr>
            <w:tcW w:w="857"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安定性</w:t>
            </w:r>
          </w:p>
        </w:tc>
        <w:tc>
          <w:tcPr>
            <w:tcW w:w="1398"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 175-2007</w:t>
            </w:r>
          </w:p>
        </w:tc>
        <w:tc>
          <w:tcPr>
            <w:tcW w:w="522"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83"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c>
          <w:tcPr>
            <w:tcW w:w="511"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9</w:t>
            </w:r>
          </w:p>
        </w:tc>
        <w:tc>
          <w:tcPr>
            <w:tcW w:w="857"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强度</w:t>
            </w:r>
          </w:p>
        </w:tc>
        <w:tc>
          <w:tcPr>
            <w:tcW w:w="1398"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 175-2007</w:t>
            </w:r>
          </w:p>
        </w:tc>
        <w:tc>
          <w:tcPr>
            <w:tcW w:w="522"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83"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c>
          <w:tcPr>
            <w:tcW w:w="511"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10</w:t>
            </w:r>
          </w:p>
        </w:tc>
        <w:tc>
          <w:tcPr>
            <w:tcW w:w="857"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放射性</w:t>
            </w:r>
          </w:p>
        </w:tc>
        <w:tc>
          <w:tcPr>
            <w:tcW w:w="1398"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 6566-2010</w:t>
            </w:r>
          </w:p>
        </w:tc>
        <w:tc>
          <w:tcPr>
            <w:tcW w:w="522"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83"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c>
          <w:tcPr>
            <w:tcW w:w="511"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11</w:t>
            </w:r>
          </w:p>
        </w:tc>
        <w:tc>
          <w:tcPr>
            <w:tcW w:w="857"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水溶性铬(Ⅵ)</w:t>
            </w:r>
          </w:p>
        </w:tc>
        <w:tc>
          <w:tcPr>
            <w:tcW w:w="1398" w:type="pct"/>
            <w:noWrap w:val="0"/>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 31893-2015</w:t>
            </w:r>
          </w:p>
        </w:tc>
        <w:tc>
          <w:tcPr>
            <w:tcW w:w="522"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83"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c>
          <w:tcPr>
            <w:tcW w:w="511" w:type="pct"/>
            <w:noWrap w:val="0"/>
            <w:vAlign w:val="center"/>
          </w:tcPr>
          <w:p>
            <w:pPr>
              <w:keepNext w:val="0"/>
              <w:keepLines w:val="0"/>
              <w:pageBreakBefore w:val="0"/>
              <w:kinsoku/>
              <w:wordWrap/>
              <w:overflowPunct/>
              <w:topLinePunct w:val="0"/>
              <w:autoSpaceDE/>
              <w:autoSpaceDN/>
              <w:bidi w:val="0"/>
              <w:spacing w:line="36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00" w:type="pct"/>
            <w:gridSpan w:val="8"/>
            <w:noWrap w:val="0"/>
            <w:vAlign w:val="center"/>
          </w:tcPr>
          <w:p>
            <w:pPr>
              <w:keepNext w:val="0"/>
              <w:keepLines w:val="0"/>
              <w:pageBreakBefore w:val="0"/>
              <w:kinsoku/>
              <w:wordWrap/>
              <w:overflowPunct/>
              <w:topLinePunct w:val="0"/>
              <w:autoSpaceDE/>
              <w:autoSpaceDN/>
              <w:bidi w:val="0"/>
              <w:adjustRightInd w:val="0"/>
              <w:snapToGrid w:val="0"/>
              <w:spacing w:line="360" w:lineRule="exact"/>
              <w:jc w:val="left"/>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备注：</w:t>
            </w:r>
          </w:p>
          <w:p>
            <w:pPr>
              <w:keepNext w:val="0"/>
              <w:keepLines w:val="0"/>
              <w:pageBreakBefore w:val="0"/>
              <w:kinsoku/>
              <w:wordWrap/>
              <w:overflowPunct/>
              <w:topLinePunct w:val="0"/>
              <w:autoSpaceDE/>
              <w:autoSpaceDN/>
              <w:bidi w:val="0"/>
              <w:adjustRightInd w:val="0"/>
              <w:snapToGrid w:val="0"/>
              <w:spacing w:line="360" w:lineRule="exact"/>
              <w:jc w:val="left"/>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r>
              <w:rPr>
                <w:rFonts w:hint="eastAsia" w:ascii="仿宋" w:hAnsi="仿宋" w:eastAsia="仿宋" w:cs="仿宋"/>
                <w:b w:val="0"/>
                <w:bCs w:val="0"/>
                <w:color w:val="000000"/>
                <w:sz w:val="24"/>
                <w:lang w:val="en-US" w:eastAsia="zh-CN"/>
              </w:rPr>
              <w:t>.</w:t>
            </w:r>
            <w:r>
              <w:rPr>
                <w:rFonts w:hint="eastAsia" w:ascii="仿宋" w:hAnsi="仿宋" w:eastAsia="仿宋" w:cs="仿宋"/>
                <w:b w:val="0"/>
                <w:bCs w:val="0"/>
                <w:color w:val="000000"/>
                <w:sz w:val="24"/>
              </w:rPr>
              <w:t>不同品种水泥的检验项目按照GB</w:t>
            </w:r>
            <w:r>
              <w:rPr>
                <w:rFonts w:hint="eastAsia" w:ascii="仿宋" w:hAnsi="仿宋" w:eastAsia="仿宋" w:cs="仿宋"/>
                <w:b w:val="0"/>
                <w:bCs w:val="0"/>
                <w:color w:val="000000"/>
                <w:sz w:val="24"/>
                <w:lang w:val="en-US" w:eastAsia="zh-CN"/>
              </w:rPr>
              <w:t xml:space="preserve"> </w:t>
            </w:r>
            <w:r>
              <w:rPr>
                <w:rFonts w:hint="eastAsia" w:ascii="仿宋" w:hAnsi="仿宋" w:eastAsia="仿宋" w:cs="仿宋"/>
                <w:b w:val="0"/>
                <w:bCs w:val="0"/>
                <w:color w:val="000000"/>
                <w:sz w:val="24"/>
              </w:rPr>
              <w:t>175-2007《通用硅酸盐水泥》相应产品的规定进行。</w:t>
            </w:r>
          </w:p>
          <w:p>
            <w:pPr>
              <w:keepNext w:val="0"/>
              <w:keepLines w:val="0"/>
              <w:pageBreakBefore w:val="0"/>
              <w:kinsoku/>
              <w:wordWrap/>
              <w:overflowPunct/>
              <w:topLinePunct w:val="0"/>
              <w:autoSpaceDE/>
              <w:autoSpaceDN/>
              <w:bidi w:val="0"/>
              <w:adjustRightInd w:val="0"/>
              <w:snapToGrid w:val="0"/>
              <w:spacing w:line="360" w:lineRule="exact"/>
              <w:jc w:val="left"/>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r>
              <w:rPr>
                <w:rFonts w:hint="eastAsia" w:ascii="仿宋" w:hAnsi="仿宋" w:eastAsia="仿宋" w:cs="仿宋"/>
                <w:b w:val="0"/>
                <w:bCs w:val="0"/>
                <w:color w:val="000000"/>
                <w:sz w:val="24"/>
                <w:lang w:val="en-US" w:eastAsia="zh-CN"/>
              </w:rPr>
              <w:t>.</w:t>
            </w:r>
            <w:r>
              <w:rPr>
                <w:rFonts w:hint="eastAsia" w:ascii="仿宋" w:hAnsi="仿宋" w:eastAsia="仿宋" w:cs="仿宋"/>
                <w:b w:val="0"/>
                <w:bCs w:val="0"/>
                <w:color w:val="000000"/>
                <w:sz w:val="24"/>
              </w:rPr>
              <w:t>放射性项目如果被检企业明示产品用途，按照明示用途进行判定；如果企业无明示，按照建筑主体材料要求进行判定。</w:t>
            </w:r>
          </w:p>
          <w:p>
            <w:pPr>
              <w:keepNext w:val="0"/>
              <w:keepLines w:val="0"/>
              <w:pageBreakBefore w:val="0"/>
              <w:kinsoku/>
              <w:wordWrap/>
              <w:overflowPunct/>
              <w:topLinePunct w:val="0"/>
              <w:autoSpaceDE/>
              <w:autoSpaceDN/>
              <w:bidi w:val="0"/>
              <w:adjustRightInd w:val="0"/>
              <w:snapToGrid w:val="0"/>
              <w:spacing w:line="360" w:lineRule="exact"/>
              <w:jc w:val="left"/>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r>
              <w:rPr>
                <w:rFonts w:hint="eastAsia" w:ascii="仿宋" w:hAnsi="仿宋" w:eastAsia="仿宋" w:cs="仿宋"/>
                <w:b w:val="0"/>
                <w:bCs w:val="0"/>
                <w:color w:val="000000"/>
                <w:sz w:val="24"/>
                <w:lang w:val="en-US" w:eastAsia="zh-CN"/>
              </w:rPr>
              <w:t>.</w:t>
            </w:r>
            <w:r>
              <w:rPr>
                <w:rFonts w:hint="eastAsia" w:ascii="仿宋" w:hAnsi="仿宋" w:eastAsia="仿宋" w:cs="仿宋"/>
                <w:b w:val="0"/>
                <w:bCs w:val="0"/>
                <w:color w:val="000000"/>
                <w:sz w:val="24"/>
              </w:rPr>
              <w:t>三氧化硫、氧化镁、氯离子、安定性、凝结时间、强度等方法标准中有基准法/标准法和代用法的检验项目，当有争议时以基准法/标准法检验结果为准。</w:t>
            </w:r>
          </w:p>
          <w:p>
            <w:pPr>
              <w:keepNext w:val="0"/>
              <w:keepLines w:val="0"/>
              <w:pageBreakBefore w:val="0"/>
              <w:kinsoku/>
              <w:wordWrap/>
              <w:overflowPunct/>
              <w:topLinePunct w:val="0"/>
              <w:autoSpaceDE/>
              <w:autoSpaceDN/>
              <w:bidi w:val="0"/>
              <w:adjustRightInd w:val="0"/>
              <w:snapToGrid w:val="0"/>
              <w:spacing w:line="360" w:lineRule="exact"/>
              <w:jc w:val="left"/>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r>
              <w:rPr>
                <w:rFonts w:hint="eastAsia" w:ascii="仿宋" w:hAnsi="仿宋" w:eastAsia="仿宋" w:cs="仿宋"/>
                <w:b w:val="0"/>
                <w:bCs w:val="0"/>
                <w:color w:val="000000"/>
                <w:sz w:val="24"/>
                <w:lang w:val="en-US" w:eastAsia="zh-CN"/>
              </w:rPr>
              <w:t>.</w:t>
            </w:r>
            <w:r>
              <w:rPr>
                <w:rFonts w:hint="eastAsia" w:ascii="仿宋" w:hAnsi="仿宋" w:eastAsia="仿宋" w:cs="仿宋"/>
                <w:b w:val="0"/>
                <w:bCs w:val="0"/>
                <w:color w:val="000000"/>
                <w:sz w:val="24"/>
              </w:rPr>
              <w:t>当硅酸盐水泥和普通硅酸盐水泥中氧化镁含量大于5.0％时，应进行压蒸安定性检验，压蒸安定性检验合格后，则水泥中氧化镁允许放宽至6.0%。</w:t>
            </w:r>
          </w:p>
          <w:p>
            <w:pPr>
              <w:keepNext w:val="0"/>
              <w:keepLines w:val="0"/>
              <w:pageBreakBefore w:val="0"/>
              <w:kinsoku/>
              <w:wordWrap/>
              <w:overflowPunct/>
              <w:topLinePunct w:val="0"/>
              <w:autoSpaceDE/>
              <w:autoSpaceDN/>
              <w:bidi w:val="0"/>
              <w:adjustRightInd w:val="0"/>
              <w:snapToGrid w:val="0"/>
              <w:spacing w:line="360" w:lineRule="exact"/>
              <w:jc w:val="left"/>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5</w:t>
            </w:r>
            <w:r>
              <w:rPr>
                <w:rFonts w:hint="eastAsia" w:ascii="仿宋" w:hAnsi="仿宋" w:eastAsia="仿宋" w:cs="仿宋"/>
                <w:b w:val="0"/>
                <w:bCs w:val="0"/>
                <w:color w:val="000000"/>
                <w:sz w:val="24"/>
                <w:lang w:val="en-US" w:eastAsia="zh-CN"/>
              </w:rPr>
              <w:t>.</w:t>
            </w:r>
            <w:r>
              <w:rPr>
                <w:rFonts w:hint="eastAsia" w:ascii="仿宋" w:hAnsi="仿宋" w:eastAsia="仿宋" w:cs="仿宋"/>
                <w:b w:val="0"/>
                <w:bCs w:val="0"/>
                <w:color w:val="000000"/>
                <w:sz w:val="24"/>
              </w:rPr>
              <w:t>当P•S•A型矿渣硅酸盐水泥、火山灰质硅酸盐水泥、粉煤灰硅酸盐水泥和复合硅酸盐水泥中氧化镁含量大于6.0％时，需进行压蒸安定性试验并合格。</w:t>
            </w:r>
          </w:p>
          <w:p>
            <w:pPr>
              <w:keepNext w:val="0"/>
              <w:keepLines w:val="0"/>
              <w:pageBreakBefore w:val="0"/>
              <w:kinsoku/>
              <w:wordWrap/>
              <w:overflowPunct/>
              <w:topLinePunct w:val="0"/>
              <w:autoSpaceDE/>
              <w:autoSpaceDN/>
              <w:bidi w:val="0"/>
              <w:adjustRightInd w:val="0"/>
              <w:snapToGrid w:val="0"/>
              <w:spacing w:line="360" w:lineRule="exact"/>
              <w:jc w:val="left"/>
              <w:textAlignment w:val="auto"/>
              <w:rPr>
                <w:rFonts w:hint="eastAsia" w:ascii="仿宋" w:hAnsi="仿宋" w:eastAsia="仿宋" w:cs="仿宋"/>
                <w:b w:val="0"/>
                <w:bCs w:val="0"/>
              </w:rPr>
            </w:pPr>
            <w:r>
              <w:rPr>
                <w:rFonts w:hint="eastAsia" w:ascii="仿宋" w:hAnsi="仿宋" w:eastAsia="仿宋" w:cs="仿宋"/>
                <w:b w:val="0"/>
                <w:bCs w:val="0"/>
                <w:color w:val="000000"/>
                <w:sz w:val="24"/>
              </w:rPr>
              <w:t>6</w:t>
            </w:r>
            <w:r>
              <w:rPr>
                <w:rFonts w:hint="eastAsia" w:ascii="仿宋" w:hAnsi="仿宋" w:eastAsia="仿宋" w:cs="仿宋"/>
                <w:b w:val="0"/>
                <w:bCs w:val="0"/>
                <w:color w:val="000000"/>
                <w:sz w:val="24"/>
                <w:lang w:val="en-US" w:eastAsia="zh-CN"/>
              </w:rPr>
              <w:t>.</w:t>
            </w:r>
            <w:r>
              <w:rPr>
                <w:rFonts w:hint="eastAsia" w:ascii="仿宋" w:hAnsi="仿宋" w:eastAsia="仿宋" w:cs="仿宋"/>
                <w:b w:val="0"/>
                <w:bCs w:val="0"/>
                <w:color w:val="000000"/>
                <w:sz w:val="24"/>
              </w:rPr>
              <w:t>应在取样之日起10天内完成水泥安定性检验。</w:t>
            </w:r>
          </w:p>
        </w:tc>
      </w:tr>
    </w:tbl>
    <w:p>
      <w:pPr>
        <w:spacing w:line="590" w:lineRule="exact"/>
        <w:ind w:firstLine="640" w:firstLineChars="200"/>
        <w:jc w:val="left"/>
        <w:rPr>
          <w:rFonts w:ascii="Times New Roman" w:hAnsi="Times New Roman" w:eastAsia="仿宋_GB2312" w:cs="Times New Roman"/>
          <w:color w:val="000000"/>
          <w:sz w:val="32"/>
          <w:szCs w:val="32"/>
        </w:rPr>
      </w:pPr>
      <w:r>
        <w:rPr>
          <w:rFonts w:hint="eastAsia" w:eastAsia="楷体_GB2312" w:cs="楷体_GB2312"/>
          <w:sz w:val="32"/>
          <w:szCs w:val="32"/>
        </w:rPr>
        <w:t>（二）砌筑水泥</w:t>
      </w:r>
    </w:p>
    <w:tbl>
      <w:tblPr>
        <w:tblStyle w:val="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690"/>
        <w:gridCol w:w="2394"/>
        <w:gridCol w:w="945"/>
        <w:gridCol w:w="875"/>
        <w:gridCol w:w="773"/>
        <w:gridCol w:w="773"/>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8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序号</w:t>
            </w:r>
          </w:p>
        </w:tc>
        <w:tc>
          <w:tcPr>
            <w:tcW w:w="93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8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检验项目</w:t>
            </w:r>
          </w:p>
        </w:tc>
        <w:tc>
          <w:tcPr>
            <w:tcW w:w="1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8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检验方法</w:t>
            </w:r>
          </w:p>
        </w:tc>
        <w:tc>
          <w:tcPr>
            <w:tcW w:w="5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8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强制性</w:t>
            </w:r>
          </w:p>
        </w:tc>
        <w:tc>
          <w:tcPr>
            <w:tcW w:w="4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8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非强制性</w:t>
            </w:r>
          </w:p>
        </w:tc>
        <w:tc>
          <w:tcPr>
            <w:tcW w:w="42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8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重要项</w:t>
            </w:r>
          </w:p>
        </w:tc>
        <w:tc>
          <w:tcPr>
            <w:tcW w:w="42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8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较重要项</w:t>
            </w:r>
          </w:p>
        </w:tc>
        <w:tc>
          <w:tcPr>
            <w:tcW w:w="510" w:type="pct"/>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380" w:lineRule="exact"/>
              <w:jc w:val="center"/>
              <w:textAlignment w:val="auto"/>
              <w:rPr>
                <w:rFonts w:hint="eastAsia" w:ascii="黑体" w:hAnsi="黑体" w:eastAsia="黑体" w:cs="黑体"/>
                <w:b w:val="0"/>
                <w:bCs w:val="0"/>
                <w:color w:val="000000"/>
                <w:sz w:val="24"/>
              </w:rPr>
            </w:pPr>
            <w:r>
              <w:rPr>
                <w:rFonts w:hint="eastAsia" w:ascii="黑体" w:hAnsi="黑体" w:eastAsia="黑体" w:cs="黑体"/>
                <w:b w:val="0"/>
                <w:bCs w:val="0"/>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933"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三氧化硫</w:t>
            </w:r>
          </w:p>
        </w:tc>
        <w:tc>
          <w:tcPr>
            <w:tcW w:w="1322" w:type="pct"/>
            <w:noWrap w:val="0"/>
            <w:vAlign w:val="center"/>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3183-2017</w:t>
            </w:r>
          </w:p>
        </w:tc>
        <w:tc>
          <w:tcPr>
            <w:tcW w:w="522" w:type="pct"/>
            <w:noWrap w:val="0"/>
            <w:vAlign w:val="center"/>
          </w:tcPr>
          <w:p>
            <w:pPr>
              <w:keepNext w:val="0"/>
              <w:keepLines w:val="0"/>
              <w:pageBreakBefore w:val="0"/>
              <w:kinsoku/>
              <w:wordWrap/>
              <w:overflowPunct/>
              <w:topLinePunct w:val="0"/>
              <w:autoSpaceDE/>
              <w:autoSpaceDN/>
              <w:bidi w:val="0"/>
              <w:adjustRightInd w:val="0"/>
              <w:spacing w:line="380" w:lineRule="exact"/>
              <w:jc w:val="center"/>
              <w:textAlignment w:val="auto"/>
              <w:rPr>
                <w:rFonts w:hint="eastAsia" w:ascii="仿宋" w:hAnsi="仿宋" w:eastAsia="仿宋" w:cs="仿宋"/>
                <w:b w:val="0"/>
                <w:bCs w:val="0"/>
                <w:color w:val="000000"/>
                <w:sz w:val="24"/>
              </w:rPr>
            </w:pPr>
          </w:p>
        </w:tc>
        <w:tc>
          <w:tcPr>
            <w:tcW w:w="483" w:type="pct"/>
            <w:noWrap w:val="0"/>
            <w:vAlign w:val="center"/>
          </w:tcPr>
          <w:p>
            <w:pPr>
              <w:keepNext w:val="0"/>
              <w:keepLines w:val="0"/>
              <w:pageBreakBefore w:val="0"/>
              <w:kinsoku/>
              <w:wordWrap/>
              <w:overflowPunct/>
              <w:topLinePunct w:val="0"/>
              <w:autoSpaceDE/>
              <w:autoSpaceDN/>
              <w:bidi w:val="0"/>
              <w:adjustRightIn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adjustRightInd w:val="0"/>
              <w:spacing w:line="38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adjustRightIn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510" w:type="pct"/>
            <w:noWrap w:val="0"/>
            <w:vAlign w:val="center"/>
          </w:tcPr>
          <w:p>
            <w:pPr>
              <w:keepNext w:val="0"/>
              <w:keepLines w:val="0"/>
              <w:pageBreakBefore w:val="0"/>
              <w:kinsoku/>
              <w:wordWrap/>
              <w:overflowPunct/>
              <w:topLinePunct w:val="0"/>
              <w:autoSpaceDE/>
              <w:autoSpaceDN/>
              <w:bidi w:val="0"/>
              <w:adjustRightInd w:val="0"/>
              <w:spacing w:line="38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933"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氯离子</w:t>
            </w:r>
          </w:p>
        </w:tc>
        <w:tc>
          <w:tcPr>
            <w:tcW w:w="1322"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3183-2017</w:t>
            </w:r>
          </w:p>
        </w:tc>
        <w:tc>
          <w:tcPr>
            <w:tcW w:w="522" w:type="pct"/>
            <w:noWrap w:val="0"/>
            <w:vAlign w:val="center"/>
          </w:tcPr>
          <w:p>
            <w:pPr>
              <w:keepNext w:val="0"/>
              <w:keepLines w:val="0"/>
              <w:pageBreakBefore w:val="0"/>
              <w:kinsoku/>
              <w:wordWrap/>
              <w:overflowPunct/>
              <w:topLinePunct w:val="0"/>
              <w:autoSpaceDE/>
              <w:autoSpaceDN/>
              <w:bidi w:val="0"/>
              <w:adjustRightInd w:val="0"/>
              <w:spacing w:line="380" w:lineRule="exact"/>
              <w:jc w:val="center"/>
              <w:textAlignment w:val="auto"/>
              <w:rPr>
                <w:rFonts w:hint="eastAsia" w:ascii="仿宋" w:hAnsi="仿宋" w:eastAsia="仿宋" w:cs="仿宋"/>
                <w:b w:val="0"/>
                <w:bCs w:val="0"/>
                <w:color w:val="000000"/>
                <w:sz w:val="24"/>
              </w:rPr>
            </w:pPr>
          </w:p>
        </w:tc>
        <w:tc>
          <w:tcPr>
            <w:tcW w:w="483" w:type="pct"/>
            <w:noWrap w:val="0"/>
            <w:vAlign w:val="center"/>
          </w:tcPr>
          <w:p>
            <w:pPr>
              <w:keepNext w:val="0"/>
              <w:keepLines w:val="0"/>
              <w:pageBreakBefore w:val="0"/>
              <w:kinsoku/>
              <w:wordWrap/>
              <w:overflowPunct/>
              <w:topLinePunct w:val="0"/>
              <w:autoSpaceDE/>
              <w:autoSpaceDN/>
              <w:bidi w:val="0"/>
              <w:adjustRightIn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adjustRightInd w:val="0"/>
              <w:spacing w:line="38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adjustRightIn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510"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933"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水溶性铬(Ⅵ)</w:t>
            </w:r>
          </w:p>
        </w:tc>
        <w:tc>
          <w:tcPr>
            <w:tcW w:w="1322"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3183-2017</w:t>
            </w:r>
          </w:p>
        </w:tc>
        <w:tc>
          <w:tcPr>
            <w:tcW w:w="522"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83"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510"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tabs>
                <w:tab w:val="left" w:pos="492"/>
              </w:tabs>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p>
        </w:tc>
        <w:tc>
          <w:tcPr>
            <w:tcW w:w="933"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细度</w:t>
            </w:r>
          </w:p>
        </w:tc>
        <w:tc>
          <w:tcPr>
            <w:tcW w:w="1322"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3183-2017</w:t>
            </w:r>
          </w:p>
        </w:tc>
        <w:tc>
          <w:tcPr>
            <w:tcW w:w="522"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83"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510"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5</w:t>
            </w:r>
          </w:p>
        </w:tc>
        <w:tc>
          <w:tcPr>
            <w:tcW w:w="933"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凝结时间</w:t>
            </w:r>
          </w:p>
        </w:tc>
        <w:tc>
          <w:tcPr>
            <w:tcW w:w="1322"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3183-2017</w:t>
            </w:r>
          </w:p>
        </w:tc>
        <w:tc>
          <w:tcPr>
            <w:tcW w:w="522"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83"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510"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6</w:t>
            </w:r>
          </w:p>
        </w:tc>
        <w:tc>
          <w:tcPr>
            <w:tcW w:w="933"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沸煮法安定性</w:t>
            </w:r>
          </w:p>
        </w:tc>
        <w:tc>
          <w:tcPr>
            <w:tcW w:w="1322"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3183-2017</w:t>
            </w:r>
          </w:p>
        </w:tc>
        <w:tc>
          <w:tcPr>
            <w:tcW w:w="522"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83" w:type="pct"/>
            <w:noWrap w:val="0"/>
            <w:vAlign w:val="center"/>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510"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7</w:t>
            </w:r>
          </w:p>
        </w:tc>
        <w:tc>
          <w:tcPr>
            <w:tcW w:w="933"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保水率</w:t>
            </w:r>
          </w:p>
        </w:tc>
        <w:tc>
          <w:tcPr>
            <w:tcW w:w="1322"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3183-2017</w:t>
            </w:r>
          </w:p>
        </w:tc>
        <w:tc>
          <w:tcPr>
            <w:tcW w:w="522"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83"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510"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8</w:t>
            </w:r>
          </w:p>
        </w:tc>
        <w:tc>
          <w:tcPr>
            <w:tcW w:w="933"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强度</w:t>
            </w:r>
          </w:p>
        </w:tc>
        <w:tc>
          <w:tcPr>
            <w:tcW w:w="1322"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3183-2017</w:t>
            </w:r>
          </w:p>
        </w:tc>
        <w:tc>
          <w:tcPr>
            <w:tcW w:w="522"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83"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510"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9</w:t>
            </w:r>
          </w:p>
        </w:tc>
        <w:tc>
          <w:tcPr>
            <w:tcW w:w="933"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放射性</w:t>
            </w:r>
          </w:p>
        </w:tc>
        <w:tc>
          <w:tcPr>
            <w:tcW w:w="1322" w:type="pct"/>
            <w:noWrap w:val="0"/>
            <w:vAlign w:val="top"/>
          </w:tcPr>
          <w:p>
            <w:pPr>
              <w:keepNext w:val="0"/>
              <w:keepLines w:val="0"/>
              <w:pageBreakBefore w:val="0"/>
              <w:kinsoku/>
              <w:wordWrap/>
              <w:overflowPunct/>
              <w:topLinePunct w:val="0"/>
              <w:autoSpaceDE/>
              <w:autoSpaceDN/>
              <w:bidi w:val="0"/>
              <w:adjustRightInd w:val="0"/>
              <w:snapToGrid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3183-2017</w:t>
            </w:r>
          </w:p>
        </w:tc>
        <w:tc>
          <w:tcPr>
            <w:tcW w:w="522"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83"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c>
          <w:tcPr>
            <w:tcW w:w="427"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510" w:type="pc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00" w:type="pct"/>
            <w:gridSpan w:val="8"/>
            <w:noWrap w:val="0"/>
            <w:vAlign w:val="center"/>
          </w:tcPr>
          <w:p>
            <w:pPr>
              <w:keepNext w:val="0"/>
              <w:keepLines w:val="0"/>
              <w:pageBreakBefore w:val="0"/>
              <w:kinsoku/>
              <w:wordWrap/>
              <w:overflowPunct/>
              <w:topLinePunct w:val="0"/>
              <w:autoSpaceDE/>
              <w:autoSpaceDN/>
              <w:bidi w:val="0"/>
              <w:adjustRightInd w:val="0"/>
              <w:snapToGrid w:val="0"/>
              <w:spacing w:line="380" w:lineRule="exact"/>
              <w:jc w:val="left"/>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备注：</w:t>
            </w:r>
          </w:p>
          <w:p>
            <w:pPr>
              <w:keepNext w:val="0"/>
              <w:keepLines w:val="0"/>
              <w:pageBreakBefore w:val="0"/>
              <w:kinsoku/>
              <w:wordWrap/>
              <w:overflowPunct/>
              <w:topLinePunct w:val="0"/>
              <w:autoSpaceDE/>
              <w:autoSpaceDN/>
              <w:bidi w:val="0"/>
              <w:adjustRightInd w:val="0"/>
              <w:snapToGrid w:val="0"/>
              <w:spacing w:line="380" w:lineRule="exact"/>
              <w:jc w:val="left"/>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r>
              <w:rPr>
                <w:rFonts w:hint="eastAsia" w:ascii="仿宋" w:hAnsi="仿宋" w:eastAsia="仿宋" w:cs="仿宋"/>
                <w:b w:val="0"/>
                <w:bCs w:val="0"/>
                <w:color w:val="000000"/>
                <w:sz w:val="24"/>
                <w:lang w:val="en-US" w:eastAsia="zh-CN"/>
              </w:rPr>
              <w:t>.</w:t>
            </w:r>
            <w:r>
              <w:rPr>
                <w:rFonts w:hint="eastAsia" w:ascii="仿宋" w:hAnsi="仿宋" w:eastAsia="仿宋" w:cs="仿宋"/>
                <w:b w:val="0"/>
                <w:bCs w:val="0"/>
                <w:color w:val="000000"/>
                <w:sz w:val="24"/>
              </w:rPr>
              <w:t>三氧化硫、氯离子、凝结时间、沸煮法安定性、强度等方法标准中有基准法/标准法和代用法的检验项目，当有争议时以基准法/标准法检验结果为准。</w:t>
            </w:r>
          </w:p>
          <w:p>
            <w:pPr>
              <w:keepNext w:val="0"/>
              <w:keepLines w:val="0"/>
              <w:pageBreakBefore w:val="0"/>
              <w:kinsoku/>
              <w:wordWrap/>
              <w:overflowPunct/>
              <w:topLinePunct w:val="0"/>
              <w:autoSpaceDE/>
              <w:autoSpaceDN/>
              <w:bidi w:val="0"/>
              <w:adjustRightInd w:val="0"/>
              <w:snapToGrid w:val="0"/>
              <w:spacing w:line="380" w:lineRule="exact"/>
              <w:jc w:val="left"/>
              <w:textAlignment w:val="auto"/>
              <w:rPr>
                <w:rFonts w:hint="eastAsia" w:ascii="仿宋" w:hAnsi="仿宋" w:eastAsia="仿宋" w:cs="仿宋"/>
                <w:b w:val="0"/>
                <w:bCs w:val="0"/>
              </w:rPr>
            </w:pPr>
            <w:r>
              <w:rPr>
                <w:rFonts w:hint="eastAsia" w:ascii="仿宋" w:hAnsi="仿宋" w:eastAsia="仿宋" w:cs="仿宋"/>
                <w:b w:val="0"/>
                <w:bCs w:val="0"/>
                <w:color w:val="000000"/>
                <w:sz w:val="24"/>
              </w:rPr>
              <w:t>2</w:t>
            </w:r>
            <w:r>
              <w:rPr>
                <w:rFonts w:hint="eastAsia" w:ascii="仿宋" w:hAnsi="仿宋" w:eastAsia="仿宋" w:cs="仿宋"/>
                <w:b w:val="0"/>
                <w:bCs w:val="0"/>
                <w:color w:val="000000"/>
                <w:sz w:val="24"/>
                <w:lang w:val="en-US" w:eastAsia="zh-CN"/>
              </w:rPr>
              <w:t>.</w:t>
            </w:r>
            <w:r>
              <w:rPr>
                <w:rFonts w:hint="eastAsia" w:ascii="仿宋" w:hAnsi="仿宋" w:eastAsia="仿宋" w:cs="仿宋"/>
                <w:b w:val="0"/>
                <w:bCs w:val="0"/>
                <w:color w:val="000000"/>
                <w:sz w:val="24"/>
              </w:rPr>
              <w:t>细度方法标准中有负压筛析法、水筛法和手工筛析法，当有争议时，以负压筛析法检验结果为准。</w:t>
            </w:r>
          </w:p>
        </w:tc>
      </w:tr>
    </w:tbl>
    <w:p>
      <w:pPr>
        <w:spacing w:line="240" w:lineRule="exact"/>
        <w:ind w:firstLine="640" w:firstLineChars="200"/>
        <w:jc w:val="left"/>
        <w:rPr>
          <w:rFonts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eastAsia="黑体" w:cs="黑体"/>
          <w:sz w:val="32"/>
          <w:szCs w:val="32"/>
        </w:rPr>
      </w:pPr>
      <w:r>
        <w:rPr>
          <w:rFonts w:hint="eastAsia" w:eastAsia="黑体" w:cs="黑体"/>
          <w:sz w:val="32"/>
          <w:szCs w:val="32"/>
        </w:rPr>
        <w:t>三、判定规则</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ascii="Times New Roman" w:hAnsi="Times New Roman" w:eastAsia="楷体_GB2312" w:cs="Times New Roman"/>
          <w:kern w:val="0"/>
          <w:sz w:val="32"/>
          <w:szCs w:val="32"/>
        </w:rPr>
      </w:pPr>
      <w:r>
        <w:rPr>
          <w:rFonts w:ascii="Times New Roman" w:hAnsi="Times New Roman" w:eastAsia="楷体_GB2312" w:cs="Times New Roman"/>
          <w:sz w:val="32"/>
          <w:szCs w:val="32"/>
        </w:rPr>
        <w:t>（一）</w:t>
      </w:r>
      <w:r>
        <w:rPr>
          <w:rFonts w:ascii="Times New Roman" w:hAnsi="Times New Roman" w:eastAsia="楷体_GB2312" w:cs="Times New Roman"/>
          <w:kern w:val="0"/>
          <w:sz w:val="32"/>
          <w:szCs w:val="32"/>
        </w:rPr>
        <w:t>依据标准</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rPr>
        <w:t>1</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强制性标准</w:t>
      </w:r>
      <w:r>
        <w:rPr>
          <w:rFonts w:hint="eastAsia" w:ascii="仿宋" w:hAnsi="仿宋" w:eastAsia="仿宋" w:cs="仿宋"/>
          <w:kern w:val="0"/>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GB 175-2007《通用硅酸盐水泥》；</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GB 6566-2010《建筑材料放射性核素限量》；</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GB 31893-2015《水泥中水溶性铬（Ⅵ）的限量及测定方法》。</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kern w:val="0"/>
          <w:sz w:val="32"/>
          <w:szCs w:val="32"/>
        </w:rPr>
        <w:t>2</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推荐性标准</w:t>
      </w:r>
      <w:r>
        <w:rPr>
          <w:rFonts w:hint="eastAsia" w:ascii="仿宋" w:hAnsi="仿宋" w:eastAsia="仿宋" w:cs="仿宋"/>
          <w:kern w:val="0"/>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GB/T 3183-2017《砌筑水泥》。</w:t>
      </w:r>
    </w:p>
    <w:p>
      <w:pPr>
        <w:keepNext w:val="0"/>
        <w:keepLines w:val="0"/>
        <w:pageBreakBefore w:val="0"/>
        <w:kinsoku/>
        <w:wordWrap/>
        <w:overflowPunct/>
        <w:topLinePunct w:val="0"/>
        <w:autoSpaceDE/>
        <w:autoSpaceDN/>
        <w:bidi w:val="0"/>
        <w:adjustRightInd/>
        <w:snapToGrid/>
        <w:spacing w:line="600" w:lineRule="exact"/>
        <w:ind w:firstLine="596" w:firstLineChars="200"/>
        <w:jc w:val="left"/>
        <w:textAlignment w:val="auto"/>
        <w:rPr>
          <w:rFonts w:hint="eastAsia" w:ascii="仿宋" w:hAnsi="仿宋" w:eastAsia="仿宋" w:cs="仿宋"/>
          <w:sz w:val="32"/>
          <w:szCs w:val="32"/>
        </w:rPr>
      </w:pPr>
      <w:r>
        <w:rPr>
          <w:rFonts w:hint="eastAsia" w:ascii="仿宋" w:hAnsi="仿宋" w:eastAsia="仿宋" w:cs="仿宋"/>
          <w:spacing w:val="-11"/>
          <w:sz w:val="32"/>
          <w:szCs w:val="32"/>
        </w:rPr>
        <w:t>相关的法律、行政法规、部门规章、规范性文件</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spacing w:line="600" w:lineRule="exact"/>
        <w:ind w:firstLine="596" w:firstLineChars="200"/>
        <w:jc w:val="left"/>
        <w:textAlignment w:val="auto"/>
        <w:rPr>
          <w:rFonts w:hint="eastAsia" w:ascii="仿宋" w:hAnsi="仿宋" w:eastAsia="仿宋" w:cs="仿宋"/>
          <w:spacing w:val="-11"/>
          <w:sz w:val="32"/>
          <w:szCs w:val="32"/>
        </w:rPr>
      </w:pPr>
      <w:r>
        <w:rPr>
          <w:rFonts w:hint="eastAsia" w:ascii="仿宋" w:hAnsi="仿宋" w:eastAsia="仿宋" w:cs="仿宋"/>
          <w:spacing w:val="-11"/>
          <w:sz w:val="32"/>
          <w:szCs w:val="32"/>
        </w:rPr>
        <w:t>现行有效的企业标准及产品明示质量要求。</w:t>
      </w:r>
    </w:p>
    <w:p>
      <w:pPr>
        <w:keepNext w:val="0"/>
        <w:keepLines w:val="0"/>
        <w:pageBreakBefore w:val="0"/>
        <w:kinsoku/>
        <w:wordWrap/>
        <w:overflowPunct/>
        <w:topLinePunct w:val="0"/>
        <w:bidi w:val="0"/>
        <w:adjustRightInd w:val="0"/>
        <w:snapToGrid w:val="0"/>
        <w:spacing w:line="600" w:lineRule="exact"/>
        <w:ind w:firstLine="640" w:firstLineChars="200"/>
        <w:jc w:val="left"/>
        <w:textAlignment w:val="auto"/>
        <w:rPr>
          <w:rFonts w:eastAsia="楷体_GB2312" w:cs="楷体_GB2312"/>
          <w:sz w:val="32"/>
          <w:szCs w:val="32"/>
        </w:rPr>
      </w:pPr>
      <w:r>
        <w:rPr>
          <w:rFonts w:hint="eastAsia" w:eastAsia="楷体_GB2312" w:cs="楷体_GB2312"/>
          <w:sz w:val="32"/>
          <w:szCs w:val="32"/>
        </w:rPr>
        <w:t>（二）判定原则</w:t>
      </w:r>
    </w:p>
    <w:p>
      <w:pPr>
        <w:keepNext w:val="0"/>
        <w:keepLines w:val="0"/>
        <w:pageBreakBefore w:val="0"/>
        <w:kinsoku/>
        <w:wordWrap/>
        <w:overflowPunct/>
        <w:topLinePunct w:val="0"/>
        <w:bidi w:val="0"/>
        <w:snapToGrid w:val="0"/>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经检验，检验项目全部合格，判定为抽取的样本所检项目未检出不合格；检验项目中任一项或一项以上不合格，判定为被抽查产品不合格。</w:t>
      </w:r>
    </w:p>
    <w:p>
      <w:pPr>
        <w:pStyle w:val="5"/>
        <w:keepNext w:val="0"/>
        <w:keepLines w:val="0"/>
        <w:pageBreakBefore w:val="0"/>
        <w:tabs>
          <w:tab w:val="clear" w:pos="4201"/>
          <w:tab w:val="clear" w:pos="9298"/>
        </w:tabs>
        <w:kinsoku/>
        <w:wordWrap/>
        <w:overflowPunct/>
        <w:topLinePunct w:val="0"/>
        <w:bidi w:val="0"/>
        <w:spacing w:line="60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当被检样品明示的质量要求优于监督抽查实施细则中依据的标准要求时，应按被检样品明示的质量要求判定；</w:t>
      </w:r>
    </w:p>
    <w:p>
      <w:pPr>
        <w:pStyle w:val="5"/>
        <w:keepNext w:val="0"/>
        <w:keepLines w:val="0"/>
        <w:pageBreakBefore w:val="0"/>
        <w:tabs>
          <w:tab w:val="clear" w:pos="4201"/>
          <w:tab w:val="clear" w:pos="9298"/>
        </w:tabs>
        <w:kinsoku/>
        <w:wordWrap/>
        <w:overflowPunct/>
        <w:topLinePunct w:val="0"/>
        <w:bidi w:val="0"/>
        <w:spacing w:line="60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当被检样品明示的质量要求劣于或不包含监督抽查实施细则中依据的强制性标准要求时，应按照强制性标准要求判定；</w:t>
      </w:r>
    </w:p>
    <w:p>
      <w:pPr>
        <w:pStyle w:val="5"/>
        <w:keepNext w:val="0"/>
        <w:keepLines w:val="0"/>
        <w:pageBreakBefore w:val="0"/>
        <w:widowControl w:val="0"/>
        <w:tabs>
          <w:tab w:val="clear" w:pos="4201"/>
          <w:tab w:val="clear" w:pos="9298"/>
        </w:tabs>
        <w:kinsoku/>
        <w:wordWrap/>
        <w:overflowPunct/>
        <w:topLinePunct w:val="0"/>
        <w:bidi w:val="0"/>
        <w:spacing w:line="60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pStyle w:val="5"/>
        <w:keepNext w:val="0"/>
        <w:keepLines w:val="0"/>
        <w:pageBreakBefore w:val="0"/>
        <w:widowControl w:val="0"/>
        <w:tabs>
          <w:tab w:val="clear" w:pos="4201"/>
          <w:tab w:val="clear" w:pos="9298"/>
        </w:tabs>
        <w:kinsoku/>
        <w:wordWrap/>
        <w:overflowPunct/>
        <w:topLinePunct w:val="0"/>
        <w:bidi w:val="0"/>
        <w:spacing w:line="60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当被检样品明示的质量要求不包含监督抽查实施细则中依据的推荐性标准要求时，该指标不参与判定，但应在检验报告中作出说明；</w:t>
      </w:r>
    </w:p>
    <w:p>
      <w:pPr>
        <w:pStyle w:val="5"/>
        <w:keepNext w:val="0"/>
        <w:keepLines w:val="0"/>
        <w:pageBreakBefore w:val="0"/>
        <w:widowControl w:val="0"/>
        <w:tabs>
          <w:tab w:val="clear" w:pos="4201"/>
          <w:tab w:val="clear" w:pos="9298"/>
        </w:tabs>
        <w:kinsoku/>
        <w:wordWrap/>
        <w:overflowPunct/>
        <w:topLinePunct w:val="0"/>
        <w:bidi w:val="0"/>
        <w:spacing w:line="60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当被检样品未能提供有效的企业标准时，按相关国家或行业标准进行判定；</w:t>
      </w:r>
    </w:p>
    <w:p>
      <w:pPr>
        <w:pStyle w:val="5"/>
        <w:keepNext w:val="0"/>
        <w:keepLines w:val="0"/>
        <w:pageBreakBefore w:val="0"/>
        <w:widowControl w:val="0"/>
        <w:tabs>
          <w:tab w:val="clear" w:pos="4201"/>
          <w:tab w:val="clear" w:pos="9298"/>
        </w:tabs>
        <w:kinsoku/>
        <w:wordWrap/>
        <w:overflowPunct/>
        <w:topLinePunct w:val="0"/>
        <w:bidi w:val="0"/>
        <w:spacing w:line="60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pStyle w:val="5"/>
        <w:keepNext w:val="0"/>
        <w:keepLines w:val="0"/>
        <w:pageBreakBefore w:val="0"/>
        <w:widowControl w:val="0"/>
        <w:tabs>
          <w:tab w:val="clear" w:pos="4201"/>
          <w:tab w:val="clear" w:pos="9298"/>
        </w:tabs>
        <w:kinsoku/>
        <w:wordWrap/>
        <w:overflowPunct/>
        <w:topLinePunct w:val="0"/>
        <w:bidi w:val="0"/>
        <w:spacing w:line="60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按照产品质量相关法律法规的规定判定。</w:t>
      </w:r>
    </w:p>
    <w:p>
      <w:pPr>
        <w:pStyle w:val="5"/>
        <w:keepNext w:val="0"/>
        <w:keepLines w:val="0"/>
        <w:pageBreakBefore w:val="0"/>
        <w:widowControl w:val="0"/>
        <w:tabs>
          <w:tab w:val="clear" w:pos="4201"/>
          <w:tab w:val="clear" w:pos="9298"/>
        </w:tabs>
        <w:kinsoku/>
        <w:wordWrap/>
        <w:overflowPunct/>
        <w:topLinePunct w:val="0"/>
        <w:bidi w:val="0"/>
        <w:spacing w:line="60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检验中发现因样品失效或者其他原因致使检验无法进行的，检验人员应如实记录，并提供相关证明材料，报送组织监督抽查的市场监管部门。</w:t>
      </w:r>
    </w:p>
    <w:p>
      <w:pPr>
        <w:jc w:val="left"/>
        <w:rPr>
          <w:rFonts w:hint="eastAsia" w:ascii="仿宋" w:hAnsi="仿宋" w:eastAsia="仿宋" w:cs="仿宋"/>
        </w:rPr>
      </w:pP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346F25D6"/>
    <w:rsid w:val="21C6085F"/>
    <w:rsid w:val="346F25D6"/>
    <w:rsid w:val="528B7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宋体"/>
      <w:sz w:val="30"/>
    </w:rPr>
  </w:style>
  <w:style w:type="paragraph" w:customStyle="1" w:styleId="5">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1940</Words>
  <Characters>2230</Characters>
  <Lines>0</Lines>
  <Paragraphs>0</Paragraphs>
  <TotalTime>4</TotalTime>
  <ScaleCrop>false</ScaleCrop>
  <LinksUpToDate>false</LinksUpToDate>
  <CharactersWithSpaces>2256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2022-05-07T07:15:00Z</dcterms:created>
  <dc:creator>宸</dc:creator>
  <cp:lastModifiedBy>刘赞</cp:lastModifiedBy>
  <dcterms:modified xsi:type="dcterms:W3CDTF">2023-05-08T08:52:13Z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2B069A88E066458A9B1DBBB4892ACA44</vt:lpwstr>
  </property>
</Properties>
</file>