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ind w:left="-160" w:leftChars="-50"/>
        <w:jc w:val="center"/>
        <w:rPr>
          <w:rFonts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珠海市涂料产品质量监督抽查实施细则</w:t>
      </w:r>
    </w:p>
    <w:p>
      <w:pPr>
        <w:spacing w:line="578" w:lineRule="exact"/>
        <w:ind w:left="-160" w:leftChars="-50"/>
        <w:jc w:val="left"/>
        <w:rPr>
          <w:rFonts w:ascii="仿宋_GB2312" w:hAnsi="仿宋_GB2312" w:cs="仿宋_GB2312"/>
          <w:b w:val="0"/>
          <w:bCs w:val="0"/>
          <w:sz w:val="30"/>
          <w:szCs w:val="32"/>
        </w:rPr>
      </w:pPr>
    </w:p>
    <w:p>
      <w:pPr>
        <w:spacing w:line="578" w:lineRule="exact"/>
        <w:ind w:left="-160" w:leftChars="-50" w:firstLine="640" w:firstLineChars="200"/>
        <w:jc w:val="left"/>
        <w:rPr>
          <w:rFonts w:ascii="黑体" w:hAnsi="黑体" w:eastAsia="黑体" w:cs="黑体"/>
          <w:b w:val="0"/>
          <w:bCs w:val="0"/>
          <w:szCs w:val="32"/>
        </w:rPr>
      </w:pPr>
      <w:r>
        <w:rPr>
          <w:rFonts w:hint="eastAsia" w:ascii="黑体" w:hAnsi="黑体" w:eastAsia="黑体" w:cs="黑体"/>
          <w:b w:val="0"/>
          <w:bCs w:val="0"/>
          <w:szCs w:val="32"/>
        </w:rPr>
        <w:t>一、抽样方法</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以随机抽样的方式在被抽查市场主体的待销产品中抽取。</w:t>
      </w:r>
    </w:p>
    <w:p>
      <w:pPr>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随机数一般可使用随机数表等方法产生</w:t>
      </w:r>
    </w:p>
    <w:p>
      <w:pPr>
        <w:spacing w:line="578" w:lineRule="exact"/>
        <w:ind w:left="-160" w:leftChars="-50"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抽检数量：共20款。在生产企业及流通领域处抽样，每款产品需抽取2组样本，其中，第1组检验，第2组备用。抽样要求及数量如下：</w:t>
      </w:r>
    </w:p>
    <w:p>
      <w:pPr>
        <w:spacing w:line="578" w:lineRule="exact"/>
        <w:ind w:left="-160" w:leftChars="-50"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以同一类型、同一规格为一批，主剂不少于1L，其中不少于500mL作为第1组样品用于检测，余下样品作为第2组样品备用。若主剂需要配套的固化剂及稀释剂配合使用，按照产品包装说明配套抽取相应体积或质量的固化剂及稀释剂。</w:t>
      </w:r>
    </w:p>
    <w:p>
      <w:pPr>
        <w:spacing w:line="578" w:lineRule="exact"/>
        <w:ind w:left="-160" w:leftChars="-50"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其他注意事项：当独立包装产品重量（体积）低于抽样数量要求时，应尽量整包装抽取，避免分装。当抽查产品为多组分涂料时，受检单位应提供该种涂料专用的配套组分及其施工要求和配比（质量比/体积比）等。对于执行企业产品标准的产品，受检单位或生产单位还应在抽样时提供有效的企业产品标准。</w:t>
      </w:r>
    </w:p>
    <w:p>
      <w:pPr>
        <w:spacing w:line="578" w:lineRule="exact"/>
        <w:ind w:left="-160" w:leftChars="-50" w:firstLine="640" w:firstLineChars="200"/>
        <w:jc w:val="left"/>
        <w:rPr>
          <w:rFonts w:ascii="仿宋" w:hAnsi="仿宋" w:eastAsia="仿宋" w:cs="仿宋"/>
          <w:b w:val="0"/>
          <w:bCs w:val="0"/>
          <w:szCs w:val="32"/>
        </w:rPr>
      </w:pPr>
      <w:r>
        <w:rPr>
          <w:rFonts w:hint="eastAsia" w:eastAsia="黑体" w:cs="黑体"/>
          <w:b w:val="0"/>
          <w:bCs w:val="0"/>
          <w:szCs w:val="32"/>
        </w:rPr>
        <w:t>二、主要检验项目及检验项目属性划分</w:t>
      </w:r>
    </w:p>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（一）</w:t>
      </w:r>
      <w:r>
        <w:rPr>
          <w:rFonts w:hint="eastAsia" w:ascii="楷体_GB2312" w:hAnsi="楷体_GB2312" w:eastAsia="楷体_GB2312" w:cs="楷体_GB2312"/>
          <w:b w:val="0"/>
          <w:bCs w:val="0"/>
          <w:kern w:val="0"/>
          <w:szCs w:val="32"/>
        </w:rPr>
        <w:t>各色汽车用面漆</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887"/>
        <w:gridCol w:w="2518"/>
        <w:gridCol w:w="772"/>
        <w:gridCol w:w="772"/>
        <w:gridCol w:w="772"/>
        <w:gridCol w:w="773"/>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36"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41"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89"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6"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6"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6"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6"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6" w:type="pct"/>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3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4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在容器中的物料状态</w:t>
            </w:r>
          </w:p>
        </w:tc>
        <w:tc>
          <w:tcPr>
            <w:tcW w:w="138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13492-1992</w:t>
            </w:r>
          </w:p>
        </w:tc>
        <w:tc>
          <w:tcPr>
            <w:tcW w:w="426" w:type="pct"/>
            <w:vAlign w:val="center"/>
          </w:tcPr>
          <w:p>
            <w:pPr>
              <w:adjustRightInd w:val="0"/>
              <w:snapToGrid w:val="0"/>
              <w:jc w:val="center"/>
              <w:rPr>
                <w:rFonts w:hint="eastAsia" w:ascii="仿宋" w:hAnsi="仿宋" w:eastAsia="仿宋" w:cs="仿宋"/>
                <w:b w:val="0"/>
                <w:bCs w:val="0"/>
                <w:color w:val="000000"/>
                <w:sz w:val="24"/>
              </w:rPr>
            </w:pPr>
          </w:p>
        </w:tc>
        <w:tc>
          <w:tcPr>
            <w:tcW w:w="42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6" w:type="pct"/>
          </w:tcPr>
          <w:p>
            <w:pPr>
              <w:adjustRightInd w:val="0"/>
              <w:snapToGrid w:val="0"/>
              <w:jc w:val="center"/>
              <w:rPr>
                <w:rFonts w:hint="eastAsia" w:ascii="仿宋" w:hAnsi="仿宋" w:eastAsia="仿宋" w:cs="仿宋"/>
                <w:b w:val="0"/>
                <w:bCs w:val="0"/>
                <w:color w:val="000000"/>
                <w:sz w:val="24"/>
              </w:rPr>
            </w:pPr>
          </w:p>
        </w:tc>
        <w:tc>
          <w:tcPr>
            <w:tcW w:w="42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6" w:type="pct"/>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3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4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铅笔硬度</w:t>
            </w:r>
          </w:p>
        </w:tc>
        <w:tc>
          <w:tcPr>
            <w:tcW w:w="138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13492-1992</w:t>
            </w:r>
          </w:p>
        </w:tc>
        <w:tc>
          <w:tcPr>
            <w:tcW w:w="426" w:type="pct"/>
            <w:vAlign w:val="center"/>
          </w:tcPr>
          <w:p>
            <w:pPr>
              <w:adjustRightInd w:val="0"/>
              <w:snapToGrid w:val="0"/>
              <w:jc w:val="center"/>
              <w:rPr>
                <w:rFonts w:hint="eastAsia" w:ascii="仿宋" w:hAnsi="仿宋" w:eastAsia="仿宋" w:cs="仿宋"/>
                <w:b w:val="0"/>
                <w:bCs w:val="0"/>
                <w:color w:val="000000"/>
                <w:sz w:val="24"/>
              </w:rPr>
            </w:pPr>
          </w:p>
        </w:tc>
        <w:tc>
          <w:tcPr>
            <w:tcW w:w="42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6" w:type="pct"/>
          </w:tcPr>
          <w:p>
            <w:pPr>
              <w:adjustRightInd w:val="0"/>
              <w:snapToGrid w:val="0"/>
              <w:jc w:val="center"/>
              <w:rPr>
                <w:rFonts w:hint="eastAsia" w:ascii="仿宋" w:hAnsi="仿宋" w:eastAsia="仿宋" w:cs="仿宋"/>
                <w:b w:val="0"/>
                <w:bCs w:val="0"/>
                <w:color w:val="000000"/>
                <w:sz w:val="24"/>
              </w:rPr>
            </w:pPr>
          </w:p>
        </w:tc>
        <w:tc>
          <w:tcPr>
            <w:tcW w:w="42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6" w:type="pct"/>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3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4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耐弯曲性</w:t>
            </w:r>
          </w:p>
        </w:tc>
        <w:tc>
          <w:tcPr>
            <w:tcW w:w="1389" w:type="pct"/>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13492-1992</w:t>
            </w:r>
          </w:p>
        </w:tc>
        <w:tc>
          <w:tcPr>
            <w:tcW w:w="426" w:type="pct"/>
            <w:vAlign w:val="center"/>
          </w:tcPr>
          <w:p>
            <w:pPr>
              <w:adjustRightInd w:val="0"/>
              <w:snapToGrid w:val="0"/>
              <w:jc w:val="center"/>
              <w:rPr>
                <w:rFonts w:hint="eastAsia" w:ascii="仿宋" w:hAnsi="仿宋" w:eastAsia="仿宋" w:cs="仿宋"/>
                <w:b w:val="0"/>
                <w:bCs w:val="0"/>
                <w:color w:val="000000"/>
                <w:sz w:val="24"/>
              </w:rPr>
            </w:pPr>
          </w:p>
        </w:tc>
        <w:tc>
          <w:tcPr>
            <w:tcW w:w="42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6" w:type="pct"/>
          </w:tcPr>
          <w:p>
            <w:pPr>
              <w:adjustRightInd w:val="0"/>
              <w:snapToGrid w:val="0"/>
              <w:jc w:val="center"/>
              <w:rPr>
                <w:rFonts w:hint="eastAsia" w:ascii="仿宋" w:hAnsi="仿宋" w:eastAsia="仿宋" w:cs="仿宋"/>
                <w:b w:val="0"/>
                <w:bCs w:val="0"/>
                <w:color w:val="000000"/>
                <w:sz w:val="24"/>
              </w:rPr>
            </w:pPr>
          </w:p>
        </w:tc>
        <w:tc>
          <w:tcPr>
            <w:tcW w:w="42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6" w:type="pct"/>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（二）</w:t>
      </w:r>
      <w:r>
        <w:rPr>
          <w:rFonts w:hint="eastAsia" w:ascii="楷体_GB2312" w:hAnsi="楷体_GB2312" w:eastAsia="楷体_GB2312" w:cs="楷体_GB2312"/>
          <w:b w:val="0"/>
          <w:bCs w:val="0"/>
          <w:kern w:val="0"/>
          <w:szCs w:val="32"/>
        </w:rPr>
        <w:t>溶剂型丙烯酸树脂涂料</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933"/>
        <w:gridCol w:w="2467"/>
        <w:gridCol w:w="777"/>
        <w:gridCol w:w="777"/>
        <w:gridCol w:w="777"/>
        <w:gridCol w:w="777"/>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6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6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30"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6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6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25264-2010</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30"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6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不挥发物含量</w:t>
            </w:r>
          </w:p>
        </w:tc>
        <w:tc>
          <w:tcPr>
            <w:tcW w:w="136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25264-2010</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30"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6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干燥时间（制板）（表干+实干）</w:t>
            </w:r>
          </w:p>
        </w:tc>
        <w:tc>
          <w:tcPr>
            <w:tcW w:w="136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25264-2010</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30"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6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漆膜外观</w:t>
            </w:r>
          </w:p>
        </w:tc>
        <w:tc>
          <w:tcPr>
            <w:tcW w:w="136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25264-2010</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30"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6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铅笔硬度</w:t>
            </w:r>
          </w:p>
        </w:tc>
        <w:tc>
          <w:tcPr>
            <w:tcW w:w="136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25264-2010</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30"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6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耐水性</w:t>
            </w:r>
          </w:p>
        </w:tc>
        <w:tc>
          <w:tcPr>
            <w:tcW w:w="136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25264-2010</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30"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4"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7</w:t>
            </w:r>
          </w:p>
        </w:tc>
        <w:tc>
          <w:tcPr>
            <w:tcW w:w="106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耐热性</w:t>
            </w:r>
          </w:p>
        </w:tc>
        <w:tc>
          <w:tcPr>
            <w:tcW w:w="136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25264-2010</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9" w:type="pct"/>
            <w:vAlign w:val="center"/>
          </w:tcPr>
          <w:p>
            <w:pPr>
              <w:adjustRightInd w:val="0"/>
              <w:snapToGrid w:val="0"/>
              <w:jc w:val="center"/>
              <w:rPr>
                <w:rFonts w:hint="eastAsia" w:ascii="仿宋" w:hAnsi="仿宋" w:eastAsia="仿宋" w:cs="仿宋"/>
                <w:b w:val="0"/>
                <w:bCs w:val="0"/>
                <w:color w:val="000000"/>
                <w:sz w:val="24"/>
              </w:rPr>
            </w:pPr>
          </w:p>
        </w:tc>
        <w:tc>
          <w:tcPr>
            <w:tcW w:w="429"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30"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（三）</w:t>
      </w:r>
      <w:r>
        <w:rPr>
          <w:rFonts w:hint="eastAsia" w:ascii="楷体_GB2312" w:hAnsi="楷体_GB2312" w:eastAsia="楷体_GB2312" w:cs="楷体_GB2312"/>
          <w:b w:val="0"/>
          <w:bCs w:val="0"/>
          <w:kern w:val="0"/>
          <w:szCs w:val="32"/>
        </w:rPr>
        <w:t>室内装饰装修用 溶剂型聚氨酯木器涂料</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932"/>
        <w:gridCol w:w="2503"/>
        <w:gridCol w:w="767"/>
        <w:gridCol w:w="767"/>
        <w:gridCol w:w="767"/>
        <w:gridCol w:w="767"/>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6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8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4"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8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23997-2009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施工性</w:t>
            </w:r>
          </w:p>
        </w:tc>
        <w:tc>
          <w:tcPr>
            <w:tcW w:w="138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23997-2009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涂膜外观</w:t>
            </w:r>
          </w:p>
        </w:tc>
        <w:tc>
          <w:tcPr>
            <w:tcW w:w="138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23997-2009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干燥时间（制板）（表干+实干）</w:t>
            </w:r>
          </w:p>
        </w:tc>
        <w:tc>
          <w:tcPr>
            <w:tcW w:w="138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23997-2009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附着力</w:t>
            </w:r>
          </w:p>
        </w:tc>
        <w:tc>
          <w:tcPr>
            <w:tcW w:w="138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23997-2009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铅笔硬度</w:t>
            </w:r>
          </w:p>
        </w:tc>
        <w:tc>
          <w:tcPr>
            <w:tcW w:w="138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23997-2009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（四）</w:t>
      </w:r>
      <w:r>
        <w:rPr>
          <w:rFonts w:hint="eastAsia" w:ascii="楷体_GB2312" w:hAnsi="楷体_GB2312" w:eastAsia="楷体_GB2312" w:cs="楷体_GB2312"/>
          <w:b w:val="0"/>
          <w:bCs w:val="0"/>
          <w:kern w:val="0"/>
          <w:szCs w:val="32"/>
        </w:rPr>
        <w:t>室内装饰装修用 溶剂型硝基木器涂料</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1952"/>
        <w:gridCol w:w="2485"/>
        <w:gridCol w:w="767"/>
        <w:gridCol w:w="767"/>
        <w:gridCol w:w="767"/>
        <w:gridCol w:w="767"/>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7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7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4"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7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7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23998-2009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7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涂膜外观</w:t>
            </w:r>
          </w:p>
        </w:tc>
        <w:tc>
          <w:tcPr>
            <w:tcW w:w="137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23998-2009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7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细度</w:t>
            </w:r>
          </w:p>
        </w:tc>
        <w:tc>
          <w:tcPr>
            <w:tcW w:w="137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23998-2009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7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干燥时间（制板）（表干+实干）</w:t>
            </w:r>
          </w:p>
        </w:tc>
        <w:tc>
          <w:tcPr>
            <w:tcW w:w="137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23998-2009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7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附着力</w:t>
            </w:r>
          </w:p>
        </w:tc>
        <w:tc>
          <w:tcPr>
            <w:tcW w:w="137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23998-2009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7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打磨性</w:t>
            </w:r>
          </w:p>
        </w:tc>
        <w:tc>
          <w:tcPr>
            <w:tcW w:w="1371" w:type="pct"/>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23998-2009</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3" w:type="pct"/>
            <w:vAlign w:val="center"/>
          </w:tcPr>
          <w:p>
            <w:pPr>
              <w:adjustRightInd w:val="0"/>
              <w:snapToGrid w:val="0"/>
              <w:jc w:val="center"/>
              <w:rPr>
                <w:rFonts w:hint="eastAsia" w:ascii="仿宋" w:hAnsi="仿宋" w:eastAsia="仿宋" w:cs="仿宋"/>
                <w:b w:val="0"/>
                <w:bCs w:val="0"/>
                <w:color w:val="000000"/>
                <w:sz w:val="24"/>
              </w:rPr>
            </w:pPr>
          </w:p>
        </w:tc>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4"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（五）</w:t>
      </w:r>
      <w:r>
        <w:rPr>
          <w:rFonts w:hint="eastAsia" w:ascii="楷体_GB2312" w:hAnsi="楷体_GB2312" w:eastAsia="楷体_GB2312" w:cs="楷体_GB2312"/>
          <w:b w:val="0"/>
          <w:bCs w:val="0"/>
          <w:kern w:val="0"/>
          <w:szCs w:val="32"/>
        </w:rPr>
        <w:t xml:space="preserve">酚醛树脂涂料 </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1950"/>
        <w:gridCol w:w="2486"/>
        <w:gridCol w:w="770"/>
        <w:gridCol w:w="770"/>
        <w:gridCol w:w="770"/>
        <w:gridCol w:w="770"/>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7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7"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7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25253-2010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施工性</w:t>
            </w:r>
          </w:p>
        </w:tc>
        <w:tc>
          <w:tcPr>
            <w:tcW w:w="137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25253-2010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漆膜外观</w:t>
            </w:r>
          </w:p>
        </w:tc>
        <w:tc>
          <w:tcPr>
            <w:tcW w:w="137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25253-2010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干燥时间（制板）（表干+实干）</w:t>
            </w:r>
          </w:p>
        </w:tc>
        <w:tc>
          <w:tcPr>
            <w:tcW w:w="137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25253-2010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漆膜柔韧性</w:t>
            </w:r>
          </w:p>
        </w:tc>
        <w:tc>
          <w:tcPr>
            <w:tcW w:w="137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25253-2010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不挥发物含量</w:t>
            </w:r>
          </w:p>
        </w:tc>
        <w:tc>
          <w:tcPr>
            <w:tcW w:w="137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25253-2010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2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7</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耐水性</w:t>
            </w:r>
          </w:p>
        </w:tc>
        <w:tc>
          <w:tcPr>
            <w:tcW w:w="137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25253-2010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（六）</w:t>
      </w:r>
      <w:r>
        <w:rPr>
          <w:rFonts w:hint="eastAsia" w:ascii="楷体_GB2312" w:hAnsi="楷体_GB2312" w:eastAsia="楷体_GB2312" w:cs="楷体_GB2312"/>
          <w:b w:val="0"/>
          <w:bCs w:val="0"/>
          <w:kern w:val="0"/>
          <w:szCs w:val="32"/>
        </w:rPr>
        <w:t>醇酸树脂涂料</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950"/>
        <w:gridCol w:w="2466"/>
        <w:gridCol w:w="770"/>
        <w:gridCol w:w="770"/>
        <w:gridCol w:w="770"/>
        <w:gridCol w:w="770"/>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6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7"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细度</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施工性</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附着力（划格试验）</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漆膜外观</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干燥时间（制板）（表干+实干）</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7</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耐盐水性</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8</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61"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25251-2010</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5" w:type="pct"/>
            <w:vAlign w:val="center"/>
          </w:tcPr>
          <w:p>
            <w:pPr>
              <w:adjustRightInd w:val="0"/>
              <w:snapToGrid w:val="0"/>
              <w:jc w:val="center"/>
              <w:rPr>
                <w:rFonts w:hint="eastAsia" w:ascii="仿宋" w:hAnsi="仿宋" w:eastAsia="仿宋" w:cs="仿宋"/>
                <w:b w:val="0"/>
                <w:bCs w:val="0"/>
                <w:color w:val="000000"/>
                <w:sz w:val="24"/>
              </w:rPr>
            </w:pPr>
          </w:p>
        </w:tc>
        <w:tc>
          <w:tcPr>
            <w:tcW w:w="425"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（七）</w:t>
      </w:r>
      <w:r>
        <w:rPr>
          <w:rFonts w:hint="eastAsia" w:ascii="楷体_GB2312" w:hAnsi="楷体_GB2312" w:eastAsia="楷体_GB2312" w:cs="楷体_GB2312"/>
          <w:b w:val="0"/>
          <w:bCs w:val="0"/>
          <w:kern w:val="0"/>
          <w:szCs w:val="32"/>
        </w:rPr>
        <w:t>富锌底漆</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950"/>
        <w:gridCol w:w="2452"/>
        <w:gridCol w:w="774"/>
        <w:gridCol w:w="774"/>
        <w:gridCol w:w="774"/>
        <w:gridCol w:w="774"/>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7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5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7"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容器中状态</w:t>
            </w:r>
          </w:p>
        </w:tc>
        <w:tc>
          <w:tcPr>
            <w:tcW w:w="135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3668-2020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不挥发分</w:t>
            </w:r>
          </w:p>
        </w:tc>
        <w:tc>
          <w:tcPr>
            <w:tcW w:w="135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3668-2020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施工性</w:t>
            </w:r>
          </w:p>
        </w:tc>
        <w:tc>
          <w:tcPr>
            <w:tcW w:w="135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3668-2020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适用期</w:t>
            </w:r>
          </w:p>
        </w:tc>
        <w:tc>
          <w:tcPr>
            <w:tcW w:w="135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3668-2020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涂膜外观</w:t>
            </w:r>
          </w:p>
        </w:tc>
        <w:tc>
          <w:tcPr>
            <w:tcW w:w="135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3668-2020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干燥时间（表干）</w:t>
            </w:r>
          </w:p>
        </w:tc>
        <w:tc>
          <w:tcPr>
            <w:tcW w:w="135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3668-2020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7</w:t>
            </w:r>
          </w:p>
        </w:tc>
        <w:tc>
          <w:tcPr>
            <w:tcW w:w="107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漆膜耐冲击测定</w:t>
            </w:r>
          </w:p>
        </w:tc>
        <w:tc>
          <w:tcPr>
            <w:tcW w:w="135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3668-2020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（八）</w:t>
      </w:r>
      <w:r>
        <w:rPr>
          <w:rFonts w:hint="eastAsia" w:ascii="楷体_GB2312" w:hAnsi="楷体_GB2312" w:eastAsia="楷体_GB2312" w:cs="楷体_GB2312"/>
          <w:b w:val="0"/>
          <w:bCs w:val="0"/>
          <w:kern w:val="0"/>
          <w:szCs w:val="32"/>
        </w:rPr>
        <w:t>环氧树脂底漆</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915"/>
        <w:gridCol w:w="2470"/>
        <w:gridCol w:w="774"/>
        <w:gridCol w:w="774"/>
        <w:gridCol w:w="774"/>
        <w:gridCol w:w="774"/>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5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7"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5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4566-2013</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5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漆膜外观</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4566-2013</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5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干燥时间（制板）（表干+实干）</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4566-2013</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5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漆膜耐冲击测定</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4566-2013</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5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不挥发物含量</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4566-2013</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5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耐弯曲性</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4566-2013</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42"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7</w:t>
            </w:r>
          </w:p>
        </w:tc>
        <w:tc>
          <w:tcPr>
            <w:tcW w:w="105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耐盐水性</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HG/T 4566-2013</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（九）</w:t>
      </w:r>
      <w:r>
        <w:rPr>
          <w:rFonts w:hint="eastAsia" w:ascii="楷体_GB2312" w:hAnsi="楷体_GB2312" w:eastAsia="楷体_GB2312" w:cs="楷体_GB2312"/>
          <w:b w:val="0"/>
          <w:bCs w:val="0"/>
          <w:kern w:val="0"/>
          <w:szCs w:val="32"/>
        </w:rPr>
        <w:t>氯化橡胶防腐涂料</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932"/>
        <w:gridCol w:w="2470"/>
        <w:gridCol w:w="774"/>
        <w:gridCol w:w="774"/>
        <w:gridCol w:w="774"/>
        <w:gridCol w:w="774"/>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序号</w:t>
            </w:r>
          </w:p>
        </w:tc>
        <w:tc>
          <w:tcPr>
            <w:tcW w:w="1066"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检验项目</w:t>
            </w:r>
          </w:p>
        </w:tc>
        <w:tc>
          <w:tcPr>
            <w:tcW w:w="1363"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依据法律法规或标准</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强制性</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非强制性</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重要项</w:t>
            </w:r>
          </w:p>
        </w:tc>
        <w:tc>
          <w:tcPr>
            <w:tcW w:w="4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较重要项</w:t>
            </w:r>
          </w:p>
        </w:tc>
        <w:tc>
          <w:tcPr>
            <w:tcW w:w="427" w:type="pct"/>
            <w:tcBorders>
              <w:top w:val="single" w:color="auto" w:sz="4" w:space="0"/>
              <w:left w:val="single" w:color="auto" w:sz="4" w:space="0"/>
              <w:right w:val="single" w:color="auto" w:sz="4" w:space="0"/>
            </w:tcBorders>
            <w:vAlign w:val="center"/>
          </w:tcPr>
          <w:p>
            <w:pPr>
              <w:adjustRightInd w:val="0"/>
              <w:snapToGrid w:val="0"/>
              <w:jc w:val="center"/>
              <w:rPr>
                <w:rFonts w:hint="eastAsia" w:ascii="黑体" w:hAnsi="黑体" w:eastAsia="黑体" w:cs="黑体"/>
                <w:b w:val="0"/>
                <w:bCs w:val="0"/>
                <w:color w:val="000000"/>
                <w:sz w:val="24"/>
              </w:rPr>
            </w:pPr>
            <w:r>
              <w:rPr>
                <w:rFonts w:hint="eastAsia" w:ascii="黑体" w:hAnsi="黑体" w:eastAsia="黑体" w:cs="黑体"/>
                <w:b w:val="0"/>
                <w:bCs w:val="0"/>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在容器中状态</w:t>
            </w:r>
          </w:p>
        </w:tc>
        <w:tc>
          <w:tcPr>
            <w:tcW w:w="136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25263-2010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施工性</w:t>
            </w:r>
          </w:p>
        </w:tc>
        <w:tc>
          <w:tcPr>
            <w:tcW w:w="1363" w:type="pct"/>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25263-2010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漆膜外观</w:t>
            </w:r>
          </w:p>
        </w:tc>
        <w:tc>
          <w:tcPr>
            <w:tcW w:w="1363" w:type="pct"/>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25263-2010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干燥时间（制板）（表干+实干）</w:t>
            </w:r>
          </w:p>
        </w:tc>
        <w:tc>
          <w:tcPr>
            <w:tcW w:w="1363" w:type="pct"/>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25263-2010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5</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弯曲试验</w:t>
            </w:r>
          </w:p>
        </w:tc>
        <w:tc>
          <w:tcPr>
            <w:tcW w:w="1363" w:type="pct"/>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25263-2010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atLeast"/>
          <w:jc w:val="center"/>
        </w:trPr>
        <w:tc>
          <w:tcPr>
            <w:tcW w:w="433"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6</w:t>
            </w:r>
          </w:p>
        </w:tc>
        <w:tc>
          <w:tcPr>
            <w:tcW w:w="1066"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不挥发物含量</w:t>
            </w:r>
          </w:p>
        </w:tc>
        <w:tc>
          <w:tcPr>
            <w:tcW w:w="1363" w:type="pct"/>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25263-2010</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c>
          <w:tcPr>
            <w:tcW w:w="427" w:type="pct"/>
            <w:vAlign w:val="center"/>
          </w:tcPr>
          <w:p>
            <w:pPr>
              <w:adjustRightInd w:val="0"/>
              <w:snapToGrid w:val="0"/>
              <w:jc w:val="center"/>
              <w:rPr>
                <w:rFonts w:hint="eastAsia" w:ascii="仿宋" w:hAnsi="仿宋" w:eastAsia="仿宋" w:cs="仿宋"/>
                <w:b w:val="0"/>
                <w:bCs w:val="0"/>
                <w:color w:val="000000"/>
                <w:sz w:val="24"/>
              </w:rPr>
            </w:pPr>
            <w:r>
              <w:rPr>
                <w:rFonts w:hint="eastAsia" w:ascii="仿宋" w:hAnsi="仿宋" w:eastAsia="仿宋" w:cs="仿宋"/>
                <w:b w:val="0"/>
                <w:bCs w:val="0"/>
                <w:color w:val="000000"/>
                <w:sz w:val="24"/>
              </w:rPr>
              <w:t>●</w:t>
            </w:r>
          </w:p>
        </w:tc>
        <w:tc>
          <w:tcPr>
            <w:tcW w:w="427" w:type="pct"/>
            <w:vAlign w:val="center"/>
          </w:tcPr>
          <w:p>
            <w:pPr>
              <w:adjustRightInd w:val="0"/>
              <w:snapToGrid w:val="0"/>
              <w:jc w:val="center"/>
              <w:rPr>
                <w:rFonts w:hint="eastAsia" w:ascii="仿宋" w:hAnsi="仿宋" w:eastAsia="仿宋" w:cs="仿宋"/>
                <w:b w:val="0"/>
                <w:bCs w:val="0"/>
                <w:color w:val="00000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（十）</w:t>
      </w:r>
      <w:r>
        <w:rPr>
          <w:rFonts w:hint="eastAsia" w:ascii="楷体_GB2312" w:hAnsi="楷体_GB2312" w:eastAsia="楷体_GB2312" w:cs="楷体_GB2312"/>
          <w:b w:val="0"/>
          <w:bCs w:val="0"/>
          <w:kern w:val="0"/>
          <w:szCs w:val="32"/>
        </w:rPr>
        <w:t>合成树脂乳液内墙涂料</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413"/>
        <w:gridCol w:w="2907"/>
        <w:gridCol w:w="618"/>
        <w:gridCol w:w="618"/>
        <w:gridCol w:w="618"/>
        <w:gridCol w:w="619"/>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3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序号</w:t>
            </w:r>
          </w:p>
        </w:tc>
        <w:tc>
          <w:tcPr>
            <w:tcW w:w="133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依据法律法规或标准</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341"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331" w:type="pct"/>
            <w:vAlign w:val="center"/>
          </w:tcPr>
          <w:p>
            <w:pPr>
              <w:pStyle w:val="30"/>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kern w:val="2"/>
                <w:sz w:val="24"/>
                <w:szCs w:val="24"/>
              </w:rPr>
            </w:pPr>
            <w:r>
              <w:rPr>
                <w:rFonts w:hint="eastAsia" w:ascii="仿宋" w:hAnsi="仿宋" w:eastAsia="仿宋" w:cs="仿宋"/>
                <w:b w:val="0"/>
                <w:bCs w:val="0"/>
                <w:color w:val="000000"/>
                <w:kern w:val="2"/>
                <w:sz w:val="24"/>
                <w:szCs w:val="24"/>
              </w:rPr>
              <w:t>容器中状态</w:t>
            </w:r>
          </w:p>
        </w:tc>
        <w:tc>
          <w:tcPr>
            <w:tcW w:w="1603" w:type="pct"/>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9756-2018</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331" w:type="pct"/>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施工性</w:t>
            </w:r>
          </w:p>
        </w:tc>
        <w:tc>
          <w:tcPr>
            <w:tcW w:w="1603" w:type="pct"/>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9756-2018</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331" w:type="pct"/>
            <w:vAlign w:val="center"/>
          </w:tcPr>
          <w:p>
            <w:pPr>
              <w:pStyle w:val="5"/>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漆膜外观</w:t>
            </w:r>
          </w:p>
        </w:tc>
        <w:tc>
          <w:tcPr>
            <w:tcW w:w="1603" w:type="pct"/>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9756-2018</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331" w:type="pct"/>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干燥时间</w:t>
            </w:r>
          </w:p>
        </w:tc>
        <w:tc>
          <w:tcPr>
            <w:tcW w:w="1603" w:type="pct"/>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GB/T 9756-2018</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（十一）</w:t>
      </w:r>
      <w:r>
        <w:rPr>
          <w:rFonts w:hint="eastAsia" w:ascii="楷体_GB2312" w:hAnsi="楷体_GB2312" w:eastAsia="楷体_GB2312" w:cs="楷体_GB2312"/>
          <w:b w:val="0"/>
          <w:bCs w:val="0"/>
          <w:kern w:val="0"/>
          <w:szCs w:val="32"/>
        </w:rPr>
        <w:t>木器涂料中有害物质限量</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413"/>
        <w:gridCol w:w="2907"/>
        <w:gridCol w:w="618"/>
        <w:gridCol w:w="618"/>
        <w:gridCol w:w="618"/>
        <w:gridCol w:w="619"/>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3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序号</w:t>
            </w:r>
          </w:p>
        </w:tc>
        <w:tc>
          <w:tcPr>
            <w:tcW w:w="133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依据法律法规或标准</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341"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331" w:type="pct"/>
            <w:vAlign w:val="center"/>
          </w:tcPr>
          <w:p>
            <w:pPr>
              <w:pStyle w:val="30"/>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kern w:val="2"/>
                <w:sz w:val="24"/>
                <w:szCs w:val="24"/>
              </w:rPr>
            </w:pPr>
            <w:r>
              <w:rPr>
                <w:rFonts w:hint="eastAsia" w:ascii="仿宋" w:hAnsi="仿宋" w:eastAsia="仿宋" w:cs="仿宋"/>
                <w:b w:val="0"/>
                <w:bCs w:val="0"/>
                <w:color w:val="000000"/>
                <w:kern w:val="2"/>
                <w:sz w:val="24"/>
                <w:szCs w:val="24"/>
              </w:rPr>
              <w:t>VOC含量</w:t>
            </w:r>
          </w:p>
        </w:tc>
        <w:tc>
          <w:tcPr>
            <w:tcW w:w="1603"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18581-2020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331" w:type="pct"/>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甲醛含量</w:t>
            </w:r>
          </w:p>
        </w:tc>
        <w:tc>
          <w:tcPr>
            <w:tcW w:w="1603" w:type="pct"/>
            <w:vAlign w:val="center"/>
          </w:tcPr>
          <w:p>
            <w:pPr>
              <w:keepNext w:val="0"/>
              <w:keepLines w:val="0"/>
              <w:pageBreakBefore w:val="0"/>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rPr>
            </w:pPr>
            <w:r>
              <w:rPr>
                <w:rFonts w:hint="eastAsia" w:ascii="仿宋" w:hAnsi="仿宋" w:eastAsia="仿宋" w:cs="仿宋"/>
                <w:b w:val="0"/>
                <w:bCs w:val="0"/>
                <w:color w:val="000000"/>
                <w:sz w:val="24"/>
              </w:rPr>
              <w:t>GB 18581-2020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331" w:type="pct"/>
            <w:vAlign w:val="center"/>
          </w:tcPr>
          <w:p>
            <w:pPr>
              <w:pStyle w:val="5"/>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可溶性重金属含量</w:t>
            </w:r>
          </w:p>
        </w:tc>
        <w:tc>
          <w:tcPr>
            <w:tcW w:w="1603" w:type="pct"/>
            <w:vAlign w:val="center"/>
          </w:tcPr>
          <w:p>
            <w:pPr>
              <w:keepNext w:val="0"/>
              <w:keepLines w:val="0"/>
              <w:pageBreakBefore w:val="0"/>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rPr>
            </w:pPr>
            <w:r>
              <w:rPr>
                <w:rFonts w:hint="eastAsia" w:ascii="仿宋" w:hAnsi="仿宋" w:eastAsia="仿宋" w:cs="仿宋"/>
                <w:b w:val="0"/>
                <w:bCs w:val="0"/>
                <w:color w:val="000000"/>
                <w:sz w:val="24"/>
              </w:rPr>
              <w:t>GB 18581-2020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331" w:type="pct"/>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总铅含量</w:t>
            </w:r>
          </w:p>
        </w:tc>
        <w:tc>
          <w:tcPr>
            <w:tcW w:w="1603" w:type="pct"/>
            <w:vAlign w:val="center"/>
          </w:tcPr>
          <w:p>
            <w:pPr>
              <w:keepNext w:val="0"/>
              <w:keepLines w:val="0"/>
              <w:pageBreakBefore w:val="0"/>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rPr>
            </w:pPr>
            <w:r>
              <w:rPr>
                <w:rFonts w:hint="eastAsia" w:ascii="仿宋" w:hAnsi="仿宋" w:eastAsia="仿宋" w:cs="仿宋"/>
                <w:b w:val="0"/>
                <w:bCs w:val="0"/>
                <w:color w:val="000000"/>
                <w:sz w:val="24"/>
              </w:rPr>
              <w:t>GB 18581-2020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bl>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lang w:eastAsia="zh-CN"/>
        </w:rPr>
        <w:t>（十二）</w:t>
      </w:r>
      <w:r>
        <w:rPr>
          <w:rFonts w:hint="eastAsia" w:ascii="楷体_GB2312" w:hAnsi="楷体_GB2312" w:eastAsia="楷体_GB2312" w:cs="楷体_GB2312"/>
          <w:b w:val="0"/>
          <w:bCs w:val="0"/>
          <w:kern w:val="0"/>
          <w:szCs w:val="32"/>
        </w:rPr>
        <w:t>建筑用墙面涂料中有害物质限量</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413"/>
        <w:gridCol w:w="2907"/>
        <w:gridCol w:w="618"/>
        <w:gridCol w:w="618"/>
        <w:gridCol w:w="618"/>
        <w:gridCol w:w="619"/>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356"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序号</w:t>
            </w:r>
          </w:p>
        </w:tc>
        <w:tc>
          <w:tcPr>
            <w:tcW w:w="133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检验项目</w:t>
            </w:r>
          </w:p>
        </w:tc>
        <w:tc>
          <w:tcPr>
            <w:tcW w:w="16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依据法律法规或标准</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强制性</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非强制性</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重要项</w:t>
            </w:r>
          </w:p>
        </w:tc>
        <w:tc>
          <w:tcPr>
            <w:tcW w:w="34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较重要项</w:t>
            </w:r>
          </w:p>
        </w:tc>
        <w:tc>
          <w:tcPr>
            <w:tcW w:w="341"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1</w:t>
            </w:r>
          </w:p>
        </w:tc>
        <w:tc>
          <w:tcPr>
            <w:tcW w:w="1331" w:type="pct"/>
            <w:vAlign w:val="center"/>
          </w:tcPr>
          <w:p>
            <w:pPr>
              <w:pStyle w:val="30"/>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kern w:val="2"/>
                <w:sz w:val="24"/>
                <w:szCs w:val="24"/>
              </w:rPr>
            </w:pPr>
            <w:r>
              <w:rPr>
                <w:rFonts w:hint="eastAsia" w:ascii="仿宋" w:hAnsi="仿宋" w:eastAsia="仿宋" w:cs="仿宋"/>
                <w:b w:val="0"/>
                <w:bCs w:val="0"/>
                <w:color w:val="000000"/>
                <w:kern w:val="2"/>
                <w:sz w:val="24"/>
                <w:szCs w:val="24"/>
              </w:rPr>
              <w:t>VOC含量</w:t>
            </w:r>
          </w:p>
        </w:tc>
        <w:tc>
          <w:tcPr>
            <w:tcW w:w="1603"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GB 18582-2020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2</w:t>
            </w:r>
          </w:p>
        </w:tc>
        <w:tc>
          <w:tcPr>
            <w:tcW w:w="1331" w:type="pct"/>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甲醛含量</w:t>
            </w:r>
          </w:p>
        </w:tc>
        <w:tc>
          <w:tcPr>
            <w:tcW w:w="1603" w:type="pct"/>
            <w:vAlign w:val="center"/>
          </w:tcPr>
          <w:p>
            <w:pPr>
              <w:keepNext w:val="0"/>
              <w:keepLines w:val="0"/>
              <w:pageBreakBefore w:val="0"/>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rPr>
            </w:pPr>
            <w:r>
              <w:rPr>
                <w:rFonts w:hint="eastAsia" w:ascii="仿宋" w:hAnsi="仿宋" w:eastAsia="仿宋" w:cs="仿宋"/>
                <w:b w:val="0"/>
                <w:bCs w:val="0"/>
                <w:color w:val="000000"/>
                <w:sz w:val="24"/>
              </w:rPr>
              <w:t>GB 18582-2020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3</w:t>
            </w:r>
          </w:p>
        </w:tc>
        <w:tc>
          <w:tcPr>
            <w:tcW w:w="1331" w:type="pct"/>
            <w:vAlign w:val="center"/>
          </w:tcPr>
          <w:p>
            <w:pPr>
              <w:pStyle w:val="5"/>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可溶性重金属含量</w:t>
            </w:r>
          </w:p>
        </w:tc>
        <w:tc>
          <w:tcPr>
            <w:tcW w:w="1603" w:type="pct"/>
            <w:vAlign w:val="center"/>
          </w:tcPr>
          <w:p>
            <w:pPr>
              <w:keepNext w:val="0"/>
              <w:keepLines w:val="0"/>
              <w:pageBreakBefore w:val="0"/>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rPr>
            </w:pPr>
            <w:r>
              <w:rPr>
                <w:rFonts w:hint="eastAsia" w:ascii="仿宋" w:hAnsi="仿宋" w:eastAsia="仿宋" w:cs="仿宋"/>
                <w:b w:val="0"/>
                <w:bCs w:val="0"/>
                <w:color w:val="000000"/>
                <w:sz w:val="24"/>
              </w:rPr>
              <w:t>GB 18582-2020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6" w:type="pct"/>
            <w:vAlign w:val="center"/>
          </w:tcPr>
          <w:p>
            <w:pPr>
              <w:keepNext w:val="0"/>
              <w:keepLines w:val="0"/>
              <w:pageBreakBefore w:val="0"/>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4</w:t>
            </w:r>
          </w:p>
        </w:tc>
        <w:tc>
          <w:tcPr>
            <w:tcW w:w="1331" w:type="pct"/>
            <w:vAlign w:val="center"/>
          </w:tcPr>
          <w:p>
            <w:pPr>
              <w:keepNext w:val="0"/>
              <w:keepLines w:val="0"/>
              <w:pageBreakBefore w:val="0"/>
              <w:widowControl/>
              <w:kinsoku/>
              <w:wordWrap/>
              <w:overflowPunct/>
              <w:topLinePunct w:val="0"/>
              <w:autoSpaceDE/>
              <w:autoSpaceDN/>
              <w:bidi w:val="0"/>
              <w:adjustRightInd/>
              <w:snapToGrid w:val="0"/>
              <w:spacing w:line="240" w:lineRule="auto"/>
              <w:ind w:left="0" w:leftChars="0"/>
              <w:jc w:val="center"/>
              <w:textAlignment w:val="auto"/>
              <w:rPr>
                <w:rFonts w:hint="eastAsia" w:ascii="仿宋" w:hAnsi="仿宋" w:eastAsia="仿宋" w:cs="仿宋"/>
                <w:b w:val="0"/>
                <w:bCs w:val="0"/>
                <w:color w:val="000000"/>
                <w:sz w:val="24"/>
              </w:rPr>
            </w:pPr>
            <w:r>
              <w:rPr>
                <w:rFonts w:hint="eastAsia" w:ascii="仿宋" w:hAnsi="仿宋" w:eastAsia="仿宋" w:cs="仿宋"/>
                <w:b w:val="0"/>
                <w:bCs w:val="0"/>
                <w:color w:val="000000"/>
                <w:sz w:val="24"/>
              </w:rPr>
              <w:t>总铅含量</w:t>
            </w:r>
          </w:p>
        </w:tc>
        <w:tc>
          <w:tcPr>
            <w:tcW w:w="1603" w:type="pct"/>
            <w:vAlign w:val="center"/>
          </w:tcPr>
          <w:p>
            <w:pPr>
              <w:keepNext w:val="0"/>
              <w:keepLines w:val="0"/>
              <w:pageBreakBefore w:val="0"/>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rPr>
            </w:pPr>
            <w:r>
              <w:rPr>
                <w:rFonts w:hint="eastAsia" w:ascii="仿宋" w:hAnsi="仿宋" w:eastAsia="仿宋" w:cs="仿宋"/>
                <w:b w:val="0"/>
                <w:bCs w:val="0"/>
                <w:color w:val="000000"/>
                <w:sz w:val="24"/>
              </w:rPr>
              <w:t>GB 18582-2020</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r>
              <w:rPr>
                <w:rFonts w:hint="eastAsia" w:ascii="仿宋" w:hAnsi="仿宋" w:eastAsia="仿宋" w:cs="仿宋"/>
                <w:b w:val="0"/>
                <w:bCs w:val="0"/>
                <w:sz w:val="24"/>
              </w:rPr>
              <w:t>●</w:t>
            </w: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c>
          <w:tcPr>
            <w:tcW w:w="341" w:type="pct"/>
            <w:vAlign w:val="center"/>
          </w:tcPr>
          <w:p>
            <w:pPr>
              <w:keepNext w:val="0"/>
              <w:keepLines w:val="0"/>
              <w:pageBreakBefore w:val="0"/>
              <w:widowControl/>
              <w:kinsoku/>
              <w:wordWrap/>
              <w:overflowPunct/>
              <w:topLinePunct w:val="0"/>
              <w:autoSpaceDE/>
              <w:autoSpaceDN/>
              <w:bidi w:val="0"/>
              <w:adjustRightInd/>
              <w:spacing w:line="240" w:lineRule="auto"/>
              <w:ind w:left="0" w:leftChars="0"/>
              <w:jc w:val="center"/>
              <w:textAlignment w:val="auto"/>
              <w:rPr>
                <w:rFonts w:hint="eastAsia" w:ascii="仿宋" w:hAnsi="仿宋" w:eastAsia="仿宋" w:cs="仿宋"/>
                <w:b w:val="0"/>
                <w:bCs w:val="0"/>
                <w:sz w:val="24"/>
              </w:rPr>
            </w:pPr>
          </w:p>
        </w:tc>
      </w:tr>
    </w:tbl>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注：执行企业标准、团体标准、地方标准的产品，检验项目参照上述内容执行</w:t>
      </w:r>
      <w:bookmarkStart w:id="0" w:name="_GoBack"/>
      <w:bookmarkEnd w:id="0"/>
      <w:r>
        <w:rPr>
          <w:rFonts w:hint="eastAsia" w:ascii="仿宋" w:hAnsi="仿宋" w:eastAsia="仿宋" w:cs="仿宋"/>
          <w:b w:val="0"/>
          <w:bCs w:val="0"/>
          <w:kern w:val="0"/>
          <w:szCs w:val="32"/>
        </w:rPr>
        <w:t>。</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凡是注日期的文件，其随后所有的修改单（不包括勘误的内容）或修订版不适用于本细则。凡是不注日期的文件，其最新版本适用于本细则。</w:t>
      </w:r>
    </w:p>
    <w:p>
      <w:pPr>
        <w:adjustRightInd w:val="0"/>
        <w:snapToGrid w:val="0"/>
        <w:spacing w:line="578" w:lineRule="exact"/>
        <w:ind w:left="-160" w:leftChars="-50" w:firstLine="640" w:firstLineChars="200"/>
        <w:jc w:val="left"/>
        <w:rPr>
          <w:rFonts w:eastAsia="黑体"/>
          <w:b w:val="0"/>
          <w:bCs w:val="0"/>
          <w:szCs w:val="32"/>
        </w:rPr>
      </w:pPr>
      <w:r>
        <w:rPr>
          <w:rFonts w:eastAsia="黑体"/>
          <w:b w:val="0"/>
          <w:bCs w:val="0"/>
          <w:szCs w:val="32"/>
        </w:rPr>
        <w:t>三、判定规则</w:t>
      </w:r>
    </w:p>
    <w:p>
      <w:pPr>
        <w:widowControl/>
        <w:spacing w:line="578" w:lineRule="exact"/>
        <w:ind w:left="-160" w:leftChars="-50" w:firstLine="640" w:firstLineChars="200"/>
        <w:jc w:val="left"/>
        <w:rPr>
          <w:rFonts w:hint="eastAsia" w:ascii="楷体_GB2312" w:hAnsi="楷体_GB2312" w:eastAsia="楷体_GB2312" w:cs="楷体_GB2312"/>
          <w:b w:val="0"/>
          <w:bCs w:val="0"/>
          <w:kern w:val="0"/>
          <w:szCs w:val="32"/>
        </w:rPr>
      </w:pPr>
      <w:r>
        <w:rPr>
          <w:rFonts w:hint="eastAsia" w:ascii="楷体_GB2312" w:hAnsi="楷体_GB2312" w:eastAsia="楷体_GB2312" w:cs="楷体_GB2312"/>
          <w:b w:val="0"/>
          <w:bCs w:val="0"/>
          <w:kern w:val="0"/>
          <w:szCs w:val="32"/>
        </w:rPr>
        <w:t>（一）依据标准</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 18581-2020《木器涂料中有害物质限量》</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 18582-2020 《建筑用墙面涂料中有害物质限量》</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13492-1992《各色汽车用面漆》</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25264-2010《溶剂型丙烯酸树脂涂料》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23997-2009《室内装饰装修用 溶剂型聚氨酯木器涂料》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23998-2009《室内装饰装修用 溶剂型硝基木器涂料》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25253-2010《酚醛树脂涂料》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25251-2010《醇酸树脂涂料》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HG/T 3668-2020 《富锌底漆》</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HG/T 4566-2013《环氧树脂底漆》</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23995-2009 《室内装饰装修用溶剂型醇酸木器涂料》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25263-2010《氯化橡胶防腐涂料》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GB/T 9756-2018《合成树脂乳液内墙涂料》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现行有效的企业标准、团体标准、地方标准及产品明示质量要求。</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 xml:space="preserve"> </w:t>
      </w:r>
      <w:r>
        <w:rPr>
          <w:rFonts w:hint="eastAsia" w:ascii="楷体_GB2312" w:hAnsi="楷体_GB2312" w:eastAsia="楷体_GB2312" w:cs="楷体_GB2312"/>
          <w:b w:val="0"/>
          <w:bCs w:val="0"/>
          <w:kern w:val="0"/>
          <w:szCs w:val="32"/>
        </w:rPr>
        <w:t>(二）判定原则</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经检验，检验项目全部合格，判定为被抽查产品所检项目未发现不合格；检验项目中任一项或一项以上不合格，判定为被抽查产品不合格。</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若被检产品明示的质量要求高于本细则中检验项目依据的标准要求时，应按被检产品明示的质量要求判定；</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若被检产品明示的质量要求低于本细则中检验项目依据的强制性标准要求时，应按照强制性标准要求判定；</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若被检产品明示的质量要求低于或包含本细则中检验项目依据的推荐性标准要求时，应以被检产品明示的质量要求判定；</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若被检产品明示的质量要求缺少本细则中检验项目依据的强制性标准要求时，应按照强制性标准要求判定；</w:t>
      </w:r>
    </w:p>
    <w:p>
      <w:pPr>
        <w:widowControl/>
        <w:spacing w:line="578" w:lineRule="exact"/>
        <w:ind w:left="-160" w:leftChars="-50"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 xml:space="preserve">若被检产品明示的质量要求缺少本细则中检验项目依据的推荐性标准要求时，该项目不参与判定。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2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AA"/>
    <w:rsid w:val="00001C26"/>
    <w:rsid w:val="00074B81"/>
    <w:rsid w:val="00105326"/>
    <w:rsid w:val="0011033D"/>
    <w:rsid w:val="002061E1"/>
    <w:rsid w:val="00207B48"/>
    <w:rsid w:val="002329FB"/>
    <w:rsid w:val="002A2A58"/>
    <w:rsid w:val="002B00B7"/>
    <w:rsid w:val="002B4B88"/>
    <w:rsid w:val="002F62B7"/>
    <w:rsid w:val="002F657D"/>
    <w:rsid w:val="00303651"/>
    <w:rsid w:val="003123D2"/>
    <w:rsid w:val="0036391B"/>
    <w:rsid w:val="003C5856"/>
    <w:rsid w:val="00454783"/>
    <w:rsid w:val="004675E9"/>
    <w:rsid w:val="004930A8"/>
    <w:rsid w:val="004A5926"/>
    <w:rsid w:val="004D042B"/>
    <w:rsid w:val="00501AAA"/>
    <w:rsid w:val="0055184B"/>
    <w:rsid w:val="005651A3"/>
    <w:rsid w:val="005C76E2"/>
    <w:rsid w:val="00601634"/>
    <w:rsid w:val="006346C3"/>
    <w:rsid w:val="00660B85"/>
    <w:rsid w:val="00661498"/>
    <w:rsid w:val="0066161B"/>
    <w:rsid w:val="00680B28"/>
    <w:rsid w:val="00730C50"/>
    <w:rsid w:val="0087296F"/>
    <w:rsid w:val="008A2C97"/>
    <w:rsid w:val="008D7CFE"/>
    <w:rsid w:val="0092355A"/>
    <w:rsid w:val="00946C65"/>
    <w:rsid w:val="00994430"/>
    <w:rsid w:val="009C07F7"/>
    <w:rsid w:val="00A409CA"/>
    <w:rsid w:val="00A53754"/>
    <w:rsid w:val="00AA56FC"/>
    <w:rsid w:val="00AB3E62"/>
    <w:rsid w:val="00B35102"/>
    <w:rsid w:val="00B700C0"/>
    <w:rsid w:val="00BF2CCA"/>
    <w:rsid w:val="00C44175"/>
    <w:rsid w:val="00C912E2"/>
    <w:rsid w:val="00CD52EF"/>
    <w:rsid w:val="00CD54E9"/>
    <w:rsid w:val="00D3394C"/>
    <w:rsid w:val="00D55025"/>
    <w:rsid w:val="00DB3885"/>
    <w:rsid w:val="00DD6A11"/>
    <w:rsid w:val="00EC48FF"/>
    <w:rsid w:val="00F03234"/>
    <w:rsid w:val="00F44F3C"/>
    <w:rsid w:val="00FB6064"/>
    <w:rsid w:val="0927012F"/>
    <w:rsid w:val="2EEF39F4"/>
    <w:rsid w:val="3006329B"/>
    <w:rsid w:val="39144B60"/>
    <w:rsid w:val="39800C87"/>
    <w:rsid w:val="3B6B7B6A"/>
    <w:rsid w:val="3DF335CA"/>
    <w:rsid w:val="486615AD"/>
    <w:rsid w:val="51DC5B10"/>
    <w:rsid w:val="52C332B4"/>
    <w:rsid w:val="658D0597"/>
    <w:rsid w:val="69192521"/>
    <w:rsid w:val="7EFE20C6"/>
    <w:rsid w:val="7FFF09A9"/>
    <w:rsid w:val="ADFD42F4"/>
    <w:rsid w:val="F77FF4C4"/>
    <w:rsid w:val="FDFF3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0"/>
    <w:pPr>
      <w:keepNext/>
      <w:keepLines/>
      <w:tabs>
        <w:tab w:val="left" w:pos="420"/>
      </w:tabs>
      <w:ind w:left="420" w:hanging="420"/>
      <w:outlineLvl w:val="0"/>
    </w:pPr>
    <w:rPr>
      <w:rFonts w:eastAsia="黑体"/>
      <w:bCs/>
      <w:kern w:val="44"/>
      <w:sz w:val="30"/>
      <w:szCs w:val="44"/>
    </w:rPr>
  </w:style>
  <w:style w:type="paragraph" w:styleId="3">
    <w:name w:val="heading 2"/>
    <w:next w:val="1"/>
    <w:link w:val="15"/>
    <w:qFormat/>
    <w:uiPriority w:val="0"/>
    <w:pPr>
      <w:keepNext/>
      <w:keepLines/>
      <w:tabs>
        <w:tab w:val="left" w:pos="930"/>
      </w:tabs>
      <w:outlineLvl w:val="1"/>
    </w:pPr>
    <w:rPr>
      <w:rFonts w:ascii="Arial" w:hAnsi="Arial" w:eastAsia="楷体_GB2312" w:cs="Times New Roman"/>
      <w:b/>
      <w:bCs/>
      <w:kern w:val="2"/>
      <w:sz w:val="32"/>
      <w:szCs w:val="32"/>
      <w:lang w:val="en-US" w:eastAsia="zh-CN" w:bidi="ar-SA"/>
    </w:rPr>
  </w:style>
  <w:style w:type="paragraph" w:styleId="4">
    <w:name w:val="heading 3"/>
    <w:basedOn w:val="1"/>
    <w:next w:val="1"/>
    <w:link w:val="16"/>
    <w:qFormat/>
    <w:uiPriority w:val="0"/>
    <w:pPr>
      <w:keepNext/>
      <w:keepLines/>
      <w:tabs>
        <w:tab w:val="left" w:pos="420"/>
      </w:tabs>
      <w:ind w:left="420" w:hanging="420"/>
      <w:outlineLvl w:val="2"/>
    </w:pPr>
    <w:rPr>
      <w:b/>
      <w:bCs/>
      <w:sz w:val="30"/>
      <w:szCs w:val="32"/>
    </w:rPr>
  </w:style>
  <w:style w:type="character" w:default="1" w:styleId="11">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Plain Text"/>
    <w:basedOn w:val="1"/>
    <w:qFormat/>
    <w:uiPriority w:val="0"/>
    <w:rPr>
      <w:rFonts w:hint="eastAsia" w:ascii="宋体" w:hAnsi="Courier New"/>
      <w:szCs w:val="20"/>
    </w:rPr>
  </w:style>
  <w:style w:type="paragraph" w:styleId="6">
    <w:name w:val="Balloon Text"/>
    <w:basedOn w:val="1"/>
    <w:link w:val="23"/>
    <w:qFormat/>
    <w:uiPriority w:val="0"/>
    <w:rPr>
      <w:rFonts w:eastAsia="宋体"/>
      <w:sz w:val="18"/>
      <w:szCs w:val="18"/>
    </w:rPr>
  </w:style>
  <w:style w:type="paragraph" w:styleId="7">
    <w:name w:val="footer"/>
    <w:basedOn w:val="1"/>
    <w:link w:val="19"/>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Indent 3"/>
    <w:basedOn w:val="1"/>
    <w:link w:val="20"/>
    <w:qFormat/>
    <w:uiPriority w:val="0"/>
    <w:pPr>
      <w:spacing w:after="120"/>
      <w:ind w:left="420" w:leftChars="200"/>
    </w:pPr>
    <w:rPr>
      <w:sz w:val="16"/>
      <w:szCs w:val="16"/>
    </w:rPr>
  </w:style>
  <w:style w:type="character" w:styleId="12">
    <w:name w:val="page number"/>
    <w:basedOn w:val="11"/>
    <w:qFormat/>
    <w:uiPriority w:val="0"/>
  </w:style>
  <w:style w:type="character" w:styleId="13">
    <w:name w:val="Hyperlink"/>
    <w:basedOn w:val="11"/>
    <w:qFormat/>
    <w:uiPriority w:val="0"/>
    <w:rPr>
      <w:rFonts w:ascii="Times New Roman" w:hAnsi="Times New Roman" w:eastAsia="宋体" w:cs="Times New Roman"/>
      <w:color w:val="0000FF"/>
      <w:u w:val="single"/>
    </w:rPr>
  </w:style>
  <w:style w:type="character" w:customStyle="1" w:styleId="14">
    <w:name w:val="标题 1 Char"/>
    <w:basedOn w:val="11"/>
    <w:link w:val="2"/>
    <w:qFormat/>
    <w:uiPriority w:val="0"/>
    <w:rPr>
      <w:rFonts w:ascii="Times New Roman" w:hAnsi="Times New Roman" w:eastAsia="黑体" w:cs="Times New Roman"/>
      <w:bCs/>
      <w:kern w:val="44"/>
      <w:sz w:val="30"/>
      <w:szCs w:val="44"/>
    </w:rPr>
  </w:style>
  <w:style w:type="character" w:customStyle="1" w:styleId="15">
    <w:name w:val="标题 2 Char"/>
    <w:basedOn w:val="11"/>
    <w:link w:val="3"/>
    <w:qFormat/>
    <w:uiPriority w:val="0"/>
    <w:rPr>
      <w:rFonts w:ascii="Arial" w:hAnsi="Arial" w:eastAsia="楷体_GB2312" w:cs="Times New Roman"/>
      <w:b/>
      <w:bCs/>
      <w:sz w:val="32"/>
      <w:szCs w:val="32"/>
    </w:rPr>
  </w:style>
  <w:style w:type="character" w:customStyle="1" w:styleId="16">
    <w:name w:val="标题 3 Char"/>
    <w:basedOn w:val="11"/>
    <w:link w:val="4"/>
    <w:qFormat/>
    <w:uiPriority w:val="0"/>
    <w:rPr>
      <w:rFonts w:ascii="Times New Roman" w:hAnsi="Times New Roman" w:eastAsia="仿宋_GB2312" w:cs="Times New Roman"/>
      <w:b/>
      <w:bCs/>
      <w:sz w:val="30"/>
      <w:szCs w:val="32"/>
    </w:rPr>
  </w:style>
  <w:style w:type="character" w:customStyle="1" w:styleId="17">
    <w:name w:val="页眉 Char"/>
    <w:link w:val="8"/>
    <w:qFormat/>
    <w:uiPriority w:val="0"/>
    <w:rPr>
      <w:sz w:val="18"/>
      <w:szCs w:val="18"/>
    </w:rPr>
  </w:style>
  <w:style w:type="character" w:customStyle="1" w:styleId="18">
    <w:name w:val="NormalCharacter"/>
    <w:qFormat/>
    <w:uiPriority w:val="0"/>
    <w:rPr>
      <w:rFonts w:ascii="Times New Roman" w:hAnsi="Times New Roman" w:eastAsia="宋体" w:cs="Times New Roman"/>
    </w:rPr>
  </w:style>
  <w:style w:type="character" w:customStyle="1" w:styleId="19">
    <w:name w:val="页脚 Char"/>
    <w:link w:val="7"/>
    <w:qFormat/>
    <w:uiPriority w:val="0"/>
    <w:rPr>
      <w:sz w:val="18"/>
      <w:szCs w:val="18"/>
    </w:rPr>
  </w:style>
  <w:style w:type="character" w:customStyle="1" w:styleId="20">
    <w:name w:val="正文文本缩进 3 Char"/>
    <w:basedOn w:val="11"/>
    <w:link w:val="9"/>
    <w:qFormat/>
    <w:uiPriority w:val="0"/>
    <w:rPr>
      <w:rFonts w:ascii="Times New Roman" w:hAnsi="Times New Roman" w:eastAsia="仿宋_GB2312" w:cs="Times New Roman"/>
      <w:sz w:val="16"/>
      <w:szCs w:val="16"/>
    </w:rPr>
  </w:style>
  <w:style w:type="character" w:customStyle="1" w:styleId="21">
    <w:name w:val="页脚 Char1"/>
    <w:basedOn w:val="11"/>
    <w:semiHidden/>
    <w:qFormat/>
    <w:uiPriority w:val="99"/>
    <w:rPr>
      <w:rFonts w:ascii="Times New Roman" w:hAnsi="Times New Roman" w:eastAsia="仿宋_GB2312" w:cs="Times New Roman"/>
      <w:sz w:val="18"/>
      <w:szCs w:val="18"/>
    </w:rPr>
  </w:style>
  <w:style w:type="character" w:customStyle="1" w:styleId="22">
    <w:name w:val="页眉 Char1"/>
    <w:basedOn w:val="11"/>
    <w:semiHidden/>
    <w:qFormat/>
    <w:uiPriority w:val="99"/>
    <w:rPr>
      <w:rFonts w:ascii="Times New Roman" w:hAnsi="Times New Roman" w:eastAsia="仿宋_GB2312" w:cs="Times New Roman"/>
      <w:sz w:val="18"/>
      <w:szCs w:val="18"/>
    </w:rPr>
  </w:style>
  <w:style w:type="character" w:customStyle="1" w:styleId="23">
    <w:name w:val="批注框文本 Char"/>
    <w:basedOn w:val="11"/>
    <w:link w:val="6"/>
    <w:qFormat/>
    <w:uiPriority w:val="0"/>
    <w:rPr>
      <w:rFonts w:ascii="Times New Roman" w:hAnsi="Times New Roman" w:eastAsia="宋体" w:cs="Times New Roman"/>
      <w:sz w:val="18"/>
      <w:szCs w:val="18"/>
    </w:rPr>
  </w:style>
  <w:style w:type="paragraph" w:customStyle="1" w:styleId="24">
    <w:name w:val="列出段落1"/>
    <w:basedOn w:val="1"/>
    <w:qFormat/>
    <w:uiPriority w:val="0"/>
    <w:pPr>
      <w:ind w:firstLine="420" w:firstLineChars="200"/>
    </w:pPr>
    <w:rPr>
      <w:sz w:val="30"/>
    </w:rPr>
  </w:style>
  <w:style w:type="paragraph" w:customStyle="1" w:styleId="25">
    <w:name w:val="p0"/>
    <w:basedOn w:val="1"/>
    <w:qFormat/>
    <w:uiPriority w:val="0"/>
    <w:pPr>
      <w:widowControl/>
    </w:pPr>
    <w:rPr>
      <w:kern w:val="0"/>
      <w:sz w:val="30"/>
      <w:szCs w:val="21"/>
    </w:rPr>
  </w:style>
  <w:style w:type="paragraph" w:customStyle="1" w:styleId="26">
    <w:name w:val="主题词"/>
    <w:basedOn w:val="1"/>
    <w:qFormat/>
    <w:uiPriority w:val="0"/>
    <w:pPr>
      <w:spacing w:after="156" w:afterLines="50" w:line="600" w:lineRule="exact"/>
    </w:pPr>
    <w:rPr>
      <w:rFonts w:eastAsia="方正小标宋简体"/>
      <w:sz w:val="30"/>
      <w:szCs w:val="20"/>
    </w:rPr>
  </w:style>
  <w:style w:type="paragraph" w:customStyle="1" w:styleId="27">
    <w:name w:val="二级无标题条"/>
    <w:basedOn w:val="1"/>
    <w:qFormat/>
    <w:uiPriority w:val="0"/>
    <w:rPr>
      <w:sz w:val="30"/>
    </w:rPr>
  </w:style>
  <w:style w:type="paragraph" w:customStyle="1" w:styleId="28">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29">
    <w:name w:val="二级条标题"/>
    <w:basedOn w:val="1"/>
    <w:next w:val="1"/>
    <w:qFormat/>
    <w:uiPriority w:val="0"/>
    <w:pPr>
      <w:widowControl/>
      <w:numPr>
        <w:ilvl w:val="3"/>
        <w:numId w:val="1"/>
      </w:numPr>
      <w:jc w:val="left"/>
      <w:outlineLvl w:val="3"/>
    </w:pPr>
    <w:rPr>
      <w:rFonts w:eastAsia="黑体"/>
      <w:kern w:val="0"/>
      <w:sz w:val="21"/>
      <w:szCs w:val="20"/>
    </w:rPr>
  </w:style>
  <w:style w:type="paragraph" w:customStyle="1" w:styleId="30">
    <w:name w:val="纯文本1"/>
    <w:basedOn w:val="1"/>
    <w:qFormat/>
    <w:uiPriority w:val="0"/>
    <w:pPr>
      <w:adjustRightInd w:val="0"/>
    </w:pPr>
    <w:rPr>
      <w:rFonts w:ascii="宋体"/>
      <w:kern w:val="0"/>
      <w:szCs w:val="20"/>
    </w:rPr>
  </w:style>
  <w:style w:type="paragraph" w:customStyle="1" w:styleId="31">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xxx</Company>
  <Pages>8</Pages>
  <Words>610</Words>
  <Characters>3480</Characters>
  <Lines>29</Lines>
  <Paragraphs>8</Paragraphs>
  <TotalTime>12</TotalTime>
  <ScaleCrop>false</ScaleCrop>
  <LinksUpToDate>false</LinksUpToDate>
  <CharactersWithSpaces>4082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2023-04-11T07:49:00Z</dcterms:created>
  <dc:creator>China</dc:creator>
  <cp:lastModifiedBy>刘赞</cp:lastModifiedBy>
  <dcterms:modified xsi:type="dcterms:W3CDTF">2023-05-10T09:09:45Z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8FA299C1DA6044D3B0B1B28EA8F5A1C3</vt:lpwstr>
  </property>
</Properties>
</file>