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exact"/>
        <w:jc w:val="center"/>
        <w:rPr>
          <w:rFonts w:hint="eastAsia" w:eastAsia="方正小标宋简体" w:cs="方正小标宋简体"/>
          <w:bCs/>
          <w:sz w:val="44"/>
          <w:szCs w:val="44"/>
        </w:rPr>
      </w:pPr>
      <w:r>
        <w:rPr>
          <w:rFonts w:hint="eastAsia" w:eastAsia="方正小标宋简体" w:cs="方正小标宋简体"/>
          <w:bCs/>
          <w:sz w:val="44"/>
          <w:szCs w:val="44"/>
        </w:rPr>
        <w:t>珠海市儿童及婴幼儿服装品质量监督抽查</w:t>
      </w:r>
    </w:p>
    <w:p>
      <w:pPr>
        <w:widowControl/>
        <w:spacing w:line="578" w:lineRule="exact"/>
        <w:jc w:val="center"/>
        <w:rPr>
          <w:rFonts w:ascii="楷体_GB2312" w:hAnsi="楷体_GB2312" w:eastAsia="楷体_GB2312" w:cs="楷体_GB2312"/>
          <w:szCs w:val="32"/>
        </w:rPr>
      </w:pPr>
      <w:r>
        <w:rPr>
          <w:rFonts w:hint="eastAsia" w:eastAsia="方正小标宋简体" w:cs="方正小标宋简体"/>
          <w:bCs/>
          <w:sz w:val="44"/>
          <w:szCs w:val="44"/>
        </w:rPr>
        <w:t>实施细则</w:t>
      </w:r>
    </w:p>
    <w:p>
      <w:pPr>
        <w:widowControl/>
        <w:spacing w:line="578" w:lineRule="exact"/>
        <w:jc w:val="left"/>
        <w:rPr>
          <w:rFonts w:eastAsia="方正小标宋简体" w:cs="方正小标宋简体"/>
          <w:bCs/>
          <w:sz w:val="44"/>
          <w:szCs w:val="44"/>
        </w:rPr>
      </w:pPr>
    </w:p>
    <w:p>
      <w:pPr>
        <w:spacing w:line="578"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一、抽样方法</w:t>
      </w:r>
    </w:p>
    <w:p>
      <w:pPr>
        <w:widowControl/>
        <w:spacing w:line="578" w:lineRule="exact"/>
        <w:ind w:firstLine="640" w:firstLineChars="200"/>
        <w:jc w:val="left"/>
        <w:rPr>
          <w:rFonts w:hint="eastAsia" w:ascii="仿宋" w:hAnsi="仿宋" w:eastAsia="仿宋" w:cs="仿宋"/>
          <w:b w:val="0"/>
          <w:bCs/>
          <w:kern w:val="0"/>
          <w:sz w:val="32"/>
          <w:szCs w:val="32"/>
        </w:rPr>
      </w:pPr>
      <w:r>
        <w:rPr>
          <w:rFonts w:hint="eastAsia" w:ascii="仿宋" w:hAnsi="仿宋" w:eastAsia="仿宋" w:cs="仿宋"/>
          <w:b w:val="0"/>
          <w:bCs/>
          <w:kern w:val="0"/>
          <w:sz w:val="32"/>
          <w:szCs w:val="32"/>
        </w:rPr>
        <w:t>以随机抽样的方式在被抽查市场主体的待销产品中抽取。</w:t>
      </w:r>
    </w:p>
    <w:p>
      <w:pPr>
        <w:widowControl/>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kern w:val="0"/>
          <w:sz w:val="32"/>
          <w:szCs w:val="32"/>
        </w:rPr>
        <w:t>随机数一般可使用随机数表等方法产生。</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抽查数量：每款产品抽取2组样本，第1组用于检验，第2组用于备样。每组样本需抽取样品数量如下表所示：</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2194"/>
        <w:gridCol w:w="3257"/>
        <w:gridCol w:w="2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61" w:type="pct"/>
            <w:vAlign w:val="center"/>
          </w:tcPr>
          <w:p>
            <w:pPr>
              <w:adjustRightInd w:val="0"/>
              <w:snapToGrid w:val="0"/>
              <w:spacing w:line="578" w:lineRule="exact"/>
              <w:jc w:val="center"/>
              <w:rPr>
                <w:rFonts w:hint="eastAsia" w:ascii="黑体" w:hAnsi="黑体" w:eastAsia="黑体" w:cs="黑体"/>
                <w:b w:val="0"/>
                <w:bCs/>
                <w:sz w:val="24"/>
                <w:szCs w:val="24"/>
              </w:rPr>
            </w:pPr>
            <w:r>
              <w:rPr>
                <w:rFonts w:hint="eastAsia" w:ascii="黑体" w:hAnsi="黑体" w:eastAsia="黑体" w:cs="黑体"/>
                <w:b w:val="0"/>
                <w:bCs/>
                <w:sz w:val="24"/>
                <w:szCs w:val="24"/>
              </w:rPr>
              <w:t>序号</w:t>
            </w:r>
          </w:p>
        </w:tc>
        <w:tc>
          <w:tcPr>
            <w:tcW w:w="1211" w:type="pct"/>
            <w:vAlign w:val="center"/>
          </w:tcPr>
          <w:p>
            <w:pPr>
              <w:adjustRightInd w:val="0"/>
              <w:snapToGrid w:val="0"/>
              <w:spacing w:line="578" w:lineRule="exact"/>
              <w:jc w:val="center"/>
              <w:rPr>
                <w:rFonts w:hint="eastAsia" w:ascii="黑体" w:hAnsi="黑体" w:eastAsia="黑体" w:cs="黑体"/>
                <w:b w:val="0"/>
                <w:bCs/>
                <w:sz w:val="24"/>
                <w:szCs w:val="24"/>
              </w:rPr>
            </w:pPr>
            <w:r>
              <w:rPr>
                <w:rFonts w:hint="eastAsia" w:ascii="黑体" w:hAnsi="黑体" w:eastAsia="黑体" w:cs="黑体"/>
                <w:b w:val="0"/>
                <w:bCs/>
                <w:sz w:val="24"/>
                <w:szCs w:val="24"/>
              </w:rPr>
              <w:t>产品名称</w:t>
            </w:r>
          </w:p>
        </w:tc>
        <w:tc>
          <w:tcPr>
            <w:tcW w:w="1797" w:type="pct"/>
            <w:vAlign w:val="center"/>
          </w:tcPr>
          <w:p>
            <w:pPr>
              <w:adjustRightInd w:val="0"/>
              <w:snapToGrid w:val="0"/>
              <w:spacing w:line="578" w:lineRule="exact"/>
              <w:jc w:val="center"/>
              <w:rPr>
                <w:rFonts w:hint="eastAsia" w:ascii="黑体" w:hAnsi="黑体" w:eastAsia="黑体" w:cs="黑体"/>
                <w:b w:val="0"/>
                <w:bCs/>
                <w:sz w:val="24"/>
                <w:szCs w:val="24"/>
              </w:rPr>
            </w:pPr>
            <w:r>
              <w:rPr>
                <w:rFonts w:hint="eastAsia" w:ascii="黑体" w:hAnsi="黑体" w:eastAsia="黑体" w:cs="黑体"/>
                <w:b w:val="0"/>
                <w:bCs/>
                <w:sz w:val="24"/>
                <w:szCs w:val="24"/>
              </w:rPr>
              <w:t>第1组数量</w:t>
            </w:r>
          </w:p>
        </w:tc>
        <w:tc>
          <w:tcPr>
            <w:tcW w:w="1429" w:type="pct"/>
            <w:vAlign w:val="center"/>
          </w:tcPr>
          <w:p>
            <w:pPr>
              <w:adjustRightInd w:val="0"/>
              <w:snapToGrid w:val="0"/>
              <w:spacing w:line="578" w:lineRule="exact"/>
              <w:jc w:val="center"/>
              <w:rPr>
                <w:rFonts w:hint="eastAsia" w:ascii="黑体" w:hAnsi="黑体" w:eastAsia="黑体" w:cs="黑体"/>
                <w:b w:val="0"/>
                <w:bCs/>
                <w:sz w:val="24"/>
                <w:szCs w:val="24"/>
              </w:rPr>
            </w:pPr>
            <w:r>
              <w:rPr>
                <w:rFonts w:hint="eastAsia" w:ascii="黑体" w:hAnsi="黑体" w:eastAsia="黑体" w:cs="黑体"/>
                <w:b w:val="0"/>
                <w:bCs/>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61"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1</w:t>
            </w:r>
          </w:p>
        </w:tc>
        <w:tc>
          <w:tcPr>
            <w:tcW w:w="1211"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婴幼儿服装</w:t>
            </w:r>
          </w:p>
        </w:tc>
        <w:tc>
          <w:tcPr>
            <w:tcW w:w="1797"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3件/条/套</w:t>
            </w:r>
          </w:p>
        </w:tc>
        <w:tc>
          <w:tcPr>
            <w:tcW w:w="1429"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1件/条/套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61"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2</w:t>
            </w:r>
          </w:p>
        </w:tc>
        <w:tc>
          <w:tcPr>
            <w:tcW w:w="1211"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儿童服装</w:t>
            </w:r>
          </w:p>
        </w:tc>
        <w:tc>
          <w:tcPr>
            <w:tcW w:w="1797"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3件/条/套</w:t>
            </w:r>
          </w:p>
        </w:tc>
        <w:tc>
          <w:tcPr>
            <w:tcW w:w="1429" w:type="pct"/>
            <w:vAlign w:val="center"/>
          </w:tcPr>
          <w:p>
            <w:pPr>
              <w:adjustRightInd w:val="0"/>
              <w:snapToGrid w:val="0"/>
              <w:spacing w:line="578"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1件/条/套</w:t>
            </w:r>
          </w:p>
        </w:tc>
      </w:tr>
    </w:tbl>
    <w:p>
      <w:pPr>
        <w:ind w:firstLine="640" w:firstLineChars="200"/>
        <w:jc w:val="left"/>
        <w:rPr>
          <w:rFonts w:hint="eastAsia" w:ascii="仿宋" w:hAnsi="仿宋" w:eastAsia="仿宋" w:cs="仿宋"/>
          <w:b w:val="0"/>
          <w:bCs/>
          <w:kern w:val="0"/>
          <w:sz w:val="32"/>
          <w:szCs w:val="32"/>
        </w:rPr>
      </w:pPr>
      <w:r>
        <w:rPr>
          <w:rFonts w:hint="eastAsia" w:ascii="仿宋" w:hAnsi="仿宋" w:eastAsia="仿宋" w:cs="仿宋"/>
          <w:b w:val="0"/>
          <w:bCs/>
          <w:kern w:val="0"/>
          <w:sz w:val="32"/>
          <w:szCs w:val="32"/>
        </w:rPr>
        <w:t>备注：如样品面积过小，或花型复杂，可适当增加抽样数量，但不得超过检验、复检的合理需要；每款产品应为</w:t>
      </w:r>
      <w:r>
        <w:rPr>
          <w:rFonts w:hint="eastAsia" w:ascii="仿宋" w:hAnsi="仿宋" w:eastAsia="仿宋" w:cs="仿宋"/>
          <w:b w:val="0"/>
          <w:bCs/>
          <w:kern w:val="0"/>
          <w:sz w:val="32"/>
          <w:szCs w:val="32"/>
        </w:rPr>
        <w:t>同一款式（货/款号）、同一花型、同一颜色、同一年龄段的产品。</w:t>
      </w:r>
    </w:p>
    <w:p>
      <w:pPr>
        <w:spacing w:line="578"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二、主要检验项目及检验项目属性划</w:t>
      </w:r>
    </w:p>
    <w:tbl>
      <w:tblPr>
        <w:tblStyle w:val="8"/>
        <w:tblpPr w:leftFromText="180" w:rightFromText="180" w:vertAnchor="text" w:horzAnchor="page" w:tblpXSpec="center" w:tblpY="575"/>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832"/>
        <w:gridCol w:w="2138"/>
        <w:gridCol w:w="848"/>
        <w:gridCol w:w="848"/>
        <w:gridCol w:w="848"/>
        <w:gridCol w:w="84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jc w:val="center"/>
        </w:trPr>
        <w:tc>
          <w:tcPr>
            <w:tcW w:w="4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序号</w:t>
            </w:r>
          </w:p>
        </w:tc>
        <w:tc>
          <w:tcPr>
            <w:tcW w:w="10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检验项目</w:t>
            </w:r>
          </w:p>
        </w:tc>
        <w:tc>
          <w:tcPr>
            <w:tcW w:w="11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检验方法</w:t>
            </w:r>
          </w:p>
        </w:tc>
        <w:tc>
          <w:tcPr>
            <w:tcW w:w="4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强制性</w:t>
            </w:r>
          </w:p>
        </w:tc>
        <w:tc>
          <w:tcPr>
            <w:tcW w:w="4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非强制性</w:t>
            </w:r>
          </w:p>
        </w:tc>
        <w:tc>
          <w:tcPr>
            <w:tcW w:w="4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重要项</w:t>
            </w:r>
          </w:p>
        </w:tc>
        <w:tc>
          <w:tcPr>
            <w:tcW w:w="4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较重要项</w:t>
            </w:r>
          </w:p>
        </w:tc>
        <w:tc>
          <w:tcPr>
            <w:tcW w:w="469"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产品使用说明（标识）</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GB/T 5296.4-2012</w:t>
            </w:r>
          </w:p>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相应产品标准</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2</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纤维含量</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GB/T 29862-2013</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3</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甲醛含量</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4</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pH值</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5</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可分解致癌芳香胺染料</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6</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耐水色牢度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7</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耐酸汗渍色牢度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8</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耐碱汗渍色牢度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9</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耐干摩擦色牢度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10</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耐湿摩擦色牢度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11</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耐唾液色牢度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12</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耐（皂）洗色牢度</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相应产品标准</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13</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邻苯二甲酸酯</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14</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附件抗拉强力</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15</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绳带要求</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16</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附件尖端和边缘的锐利性</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 31701-2015</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65"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17</w:t>
            </w:r>
          </w:p>
        </w:tc>
        <w:tc>
          <w:tcPr>
            <w:tcW w:w="1011"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可萃取的重金属</w:t>
            </w:r>
          </w:p>
        </w:tc>
        <w:tc>
          <w:tcPr>
            <w:tcW w:w="1180"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GB/T 17593.1</w:t>
            </w:r>
          </w:p>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GB/T 17593.2</w:t>
            </w:r>
          </w:p>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GB/T 17593.3</w:t>
            </w:r>
          </w:p>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GB/T 17593.4</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r>
              <w:rPr>
                <w:rFonts w:hint="eastAsia" w:ascii="仿宋" w:hAnsi="仿宋" w:eastAsia="仿宋" w:cs="仿宋"/>
                <w:b w:val="0"/>
                <w:bCs/>
                <w:sz w:val="24"/>
                <w:szCs w:val="24"/>
              </w:rPr>
              <w:t>●</w:t>
            </w:r>
          </w:p>
        </w:tc>
        <w:tc>
          <w:tcPr>
            <w:tcW w:w="468" w:type="pct"/>
            <w:vAlign w:val="center"/>
          </w:tcPr>
          <w:p>
            <w:pPr>
              <w:adjustRightInd w:val="0"/>
              <w:snapToGrid w:val="0"/>
              <w:jc w:val="center"/>
              <w:rPr>
                <w:rFonts w:hint="eastAsia" w:ascii="仿宋" w:hAnsi="仿宋" w:eastAsia="仿宋" w:cs="仿宋"/>
                <w:b w:val="0"/>
                <w:bCs/>
                <w:sz w:val="24"/>
                <w:szCs w:val="24"/>
              </w:rPr>
            </w:pPr>
          </w:p>
        </w:tc>
        <w:tc>
          <w:tcPr>
            <w:tcW w:w="469" w:type="pct"/>
            <w:vAlign w:val="center"/>
          </w:tcPr>
          <w:p>
            <w:pPr>
              <w:adjustRightInd w:val="0"/>
              <w:snapToGrid w:val="0"/>
              <w:jc w:val="center"/>
              <w:rPr>
                <w:rFonts w:hint="eastAsia" w:ascii="仿宋" w:hAnsi="仿宋" w:eastAsia="仿宋" w:cs="仿宋"/>
                <w:b w:val="0"/>
                <w:bCs/>
                <w:sz w:val="24"/>
                <w:szCs w:val="24"/>
              </w:rPr>
            </w:pPr>
          </w:p>
        </w:tc>
      </w:tr>
    </w:tbl>
    <w:p>
      <w:pPr>
        <w:spacing w:line="578" w:lineRule="exact"/>
        <w:ind w:firstLine="320" w:firstLineChars="100"/>
        <w:jc w:val="left"/>
        <w:rPr>
          <w:rFonts w:hint="eastAsia" w:ascii="仿宋" w:hAnsi="仿宋" w:eastAsia="仿宋" w:cs="仿宋"/>
          <w:b w:val="0"/>
          <w:bCs/>
          <w:sz w:val="32"/>
          <w:szCs w:val="32"/>
        </w:rPr>
      </w:pPr>
      <w:r>
        <w:rPr>
          <w:rFonts w:hint="eastAsia" w:ascii="仿宋" w:hAnsi="仿宋" w:eastAsia="仿宋" w:cs="仿宋"/>
          <w:b w:val="0"/>
          <w:bCs/>
          <w:sz w:val="32"/>
          <w:szCs w:val="32"/>
        </w:rPr>
        <w:t>备注：①如果未标注产品主要原材料的纤维含量或纤维含量标注不正确、不规范，则判定标识、纤维含量项目均不符合。</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②考虑到样品存在的不均匀性和检验的可靠性，样品中检测出微量其他纤维（未明示）时，如果其他纤维（未明示）的含量≤1%，或样品明示含微量其他纤维而未检出时，该微量其他纤维不计入总量进行判定。</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③色牢度试验采用单纤维贴衬，针织产品耐摩擦色牢度只考核直向。当明示不可水洗，耐洗色牢度不考核。</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④本色及漂白产品不考核色牢度、可分解致癌芳香胺染料。</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⑤pH 值的测定用0.1 mol/L 氯化钾溶液作为萃取介质。</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⑥可萃取重金属项目采用FZ/T 73025、GB/T 33271标准考核时，六价铬采用GB/T 17593.3标准，As、Hg采用GB/T 17593.4标准，其余重金属离子采用GB/T 17593.2标准。</w:t>
      </w:r>
    </w:p>
    <w:p>
      <w:pPr>
        <w:adjustRightInd w:val="0"/>
        <w:snapToGrid w:val="0"/>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⑦执行企业标准、团体标准、地方标准的产品，检验项目参照上述内容执行。</w:t>
      </w:r>
    </w:p>
    <w:p>
      <w:pPr>
        <w:adjustRightInd w:val="0"/>
        <w:snapToGrid w:val="0"/>
        <w:spacing w:line="578" w:lineRule="exact"/>
        <w:ind w:firstLine="480"/>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w:t>
      </w:r>
      <w:r>
        <w:rPr>
          <w:rFonts w:hint="eastAsia" w:ascii="黑体" w:hAnsi="黑体" w:eastAsia="黑体" w:cs="黑体"/>
          <w:b w:val="0"/>
          <w:bCs/>
          <w:sz w:val="32"/>
          <w:szCs w:val="32"/>
        </w:rPr>
        <w:t>三、判定规则</w:t>
      </w:r>
    </w:p>
    <w:p>
      <w:pPr>
        <w:spacing w:line="578" w:lineRule="exact"/>
        <w:ind w:firstLine="640" w:firstLineChars="200"/>
        <w:jc w:val="left"/>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（一）依据标准</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1. 强制性标准：</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 31701-2015《婴幼儿及儿童纺织产品安全技术规范》</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2. 推荐性标准：</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2660《衬衫》</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2662《棉服装》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2664《男西服、大衣》</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2665《女西服、大衣》</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2666《西裤》</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8878《棉针织内衣》</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14272《羽绒服装》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18132《丝绸服装》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22700《水洗整理服装》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22849《针织T恤衫》</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22853《针织运动服》</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24019《印花羊绒针织品》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26384《针织棉服装》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26385《针织拼接服装》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29862《纺织品 纤维含量的标识》</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31900《机织儿童服装》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33271《机织婴幼儿服装》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35460《机织弹力裤》</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43015《桑蚕丝针织服装》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73005《低含毛混纺及仿毛针织品》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73005《低含毛混纺及仿毛针织品》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73009《羊绒针织品》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73010《针织工艺衫》</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73013《针织泳装》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73015《亚麻针织品》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73016《针织保暖内衣 絮片型》</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73017《针织家居服》</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73018《毛针织品》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73020《针织休闲服装》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73024《化纤针织内衣》</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73025《婴幼儿针织服饰》</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73026《针织裙、裙套》</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73029《针织裤》</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73029《针织裤》</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73032《针织牛仔服装》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73034《半精纺毛针织品》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73043《针织衬衫》</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73044《针织配饰品》</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73045《针织儿童服装》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73052《水洗整理针织服装》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73056《针织西服 》</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73058《针织大衣》</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73059《双面穿服装》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74005《针织瑜伽服》</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81001《睡衣套》</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81004《连衣裙、裙套》</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81006《牛仔服装》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81007《单、夹服装》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81008《茄克衫》</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81009《人造毛皮服装》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FZ/T 81010《风衣》</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5296.4-2012《消费品使用说明 第4部分：纺织品和服装》</w:t>
      </w:r>
    </w:p>
    <w:p>
      <w:pPr>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GB/T 29862-2013 《纺织品 纤维含量的标识》</w:t>
      </w:r>
    </w:p>
    <w:p>
      <w:pPr>
        <w:snapToGrid w:val="0"/>
        <w:spacing w:line="578" w:lineRule="exact"/>
        <w:ind w:firstLine="547" w:firstLineChars="171"/>
        <w:jc w:val="left"/>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现行有效的企业标准、团体标准、地方标准及产品明示质量要求。</w:t>
      </w:r>
    </w:p>
    <w:p>
      <w:pPr>
        <w:snapToGrid w:val="0"/>
        <w:spacing w:line="578" w:lineRule="exact"/>
        <w:ind w:firstLine="547" w:firstLineChars="171"/>
        <w:jc w:val="left"/>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备注：凡是注日期的文件，其随后所有的修改单（不包括勘误的内容）或修订版不适用于本细则。凡是不注日期的文件，其最新版本适用于本细则。</w:t>
      </w:r>
    </w:p>
    <w:p>
      <w:pPr>
        <w:adjustRightInd w:val="0"/>
        <w:snapToGrid w:val="0"/>
        <w:spacing w:line="578" w:lineRule="exact"/>
        <w:ind w:firstLine="640" w:firstLineChars="200"/>
        <w:jc w:val="left"/>
        <w:rPr>
          <w:rFonts w:hint="eastAsia" w:ascii="仿宋" w:hAnsi="仿宋" w:eastAsia="仿宋" w:cs="仿宋"/>
          <w:b w:val="0"/>
          <w:bCs/>
          <w:sz w:val="32"/>
          <w:szCs w:val="32"/>
        </w:rPr>
      </w:pPr>
      <w:r>
        <w:rPr>
          <w:rFonts w:hint="eastAsia" w:ascii="楷体_GB2312" w:hAnsi="楷体_GB2312" w:eastAsia="楷体_GB2312" w:cs="楷体_GB2312"/>
          <w:b w:val="0"/>
          <w:bCs/>
          <w:sz w:val="32"/>
          <w:szCs w:val="32"/>
        </w:rPr>
        <w:t xml:space="preserve"> (二）判定原则</w:t>
      </w:r>
    </w:p>
    <w:p>
      <w:pPr>
        <w:snapToGrid w:val="0"/>
        <w:spacing w:line="578"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经检验，检验项目全部合格，判定为被抽查产品所检项目未发现不合格；检验项目中任一项或一项以上不合格，判定为被抽查产品不合格。</w:t>
      </w:r>
    </w:p>
    <w:p>
      <w:pPr>
        <w:pStyle w:val="16"/>
        <w:tabs>
          <w:tab w:val="clear" w:pos="4201"/>
          <w:tab w:val="clear" w:pos="9298"/>
        </w:tabs>
        <w:spacing w:line="578" w:lineRule="exact"/>
        <w:ind w:firstLine="640"/>
        <w:jc w:val="left"/>
        <w:rPr>
          <w:rFonts w:hint="eastAsia" w:ascii="仿宋" w:hAnsi="仿宋" w:eastAsia="仿宋" w:cs="仿宋"/>
          <w:b w:val="0"/>
          <w:bCs/>
          <w:sz w:val="32"/>
          <w:szCs w:val="32"/>
        </w:rPr>
      </w:pPr>
      <w:r>
        <w:rPr>
          <w:rFonts w:hint="eastAsia" w:ascii="仿宋" w:hAnsi="仿宋" w:eastAsia="仿宋" w:cs="仿宋"/>
          <w:b w:val="0"/>
          <w:bCs/>
          <w:sz w:val="32"/>
          <w:szCs w:val="32"/>
        </w:rPr>
        <w:t>若被检产品明示的质量要求高于本细则中检验项目依据的标准要求时，应按被检产品明示的质量要求判定；</w:t>
      </w:r>
    </w:p>
    <w:p>
      <w:pPr>
        <w:pStyle w:val="16"/>
        <w:tabs>
          <w:tab w:val="clear" w:pos="4201"/>
          <w:tab w:val="clear" w:pos="9298"/>
        </w:tabs>
        <w:spacing w:line="578" w:lineRule="exact"/>
        <w:ind w:firstLine="640"/>
        <w:jc w:val="left"/>
        <w:rPr>
          <w:rFonts w:hint="eastAsia" w:ascii="仿宋" w:hAnsi="仿宋" w:eastAsia="仿宋" w:cs="仿宋"/>
          <w:b w:val="0"/>
          <w:bCs/>
          <w:sz w:val="32"/>
          <w:szCs w:val="32"/>
        </w:rPr>
      </w:pPr>
      <w:r>
        <w:rPr>
          <w:rFonts w:hint="eastAsia" w:ascii="仿宋" w:hAnsi="仿宋" w:eastAsia="仿宋" w:cs="仿宋"/>
          <w:b w:val="0"/>
          <w:bCs/>
          <w:sz w:val="32"/>
          <w:szCs w:val="32"/>
        </w:rPr>
        <w:t>若被检产品明示的质量要求低于本细则中检验项目依据的强制性标准要求时，应按照强制性标准要求判定；</w:t>
      </w:r>
    </w:p>
    <w:p>
      <w:pPr>
        <w:pStyle w:val="16"/>
        <w:widowControl w:val="0"/>
        <w:tabs>
          <w:tab w:val="clear" w:pos="4201"/>
          <w:tab w:val="clear" w:pos="9298"/>
        </w:tabs>
        <w:spacing w:line="578" w:lineRule="exact"/>
        <w:ind w:firstLine="640"/>
        <w:jc w:val="left"/>
        <w:rPr>
          <w:rFonts w:hint="eastAsia" w:ascii="仿宋" w:hAnsi="仿宋" w:eastAsia="仿宋" w:cs="仿宋"/>
          <w:b w:val="0"/>
          <w:bCs/>
          <w:sz w:val="32"/>
          <w:szCs w:val="32"/>
        </w:rPr>
      </w:pPr>
      <w:r>
        <w:rPr>
          <w:rFonts w:hint="eastAsia" w:ascii="仿宋" w:hAnsi="仿宋" w:eastAsia="仿宋" w:cs="仿宋"/>
          <w:b w:val="0"/>
          <w:bCs/>
          <w:sz w:val="32"/>
          <w:szCs w:val="32"/>
        </w:rPr>
        <w:t>若被检产品明示的质量要求低于或包含本细则中检验项目依据的推荐性标准要求时，应以被检产品明示的质量要求判定；</w:t>
      </w:r>
    </w:p>
    <w:p>
      <w:pPr>
        <w:pStyle w:val="16"/>
        <w:widowControl w:val="0"/>
        <w:tabs>
          <w:tab w:val="clear" w:pos="4201"/>
          <w:tab w:val="clear" w:pos="9298"/>
        </w:tabs>
        <w:spacing w:line="578" w:lineRule="exact"/>
        <w:ind w:firstLine="640"/>
        <w:jc w:val="left"/>
        <w:rPr>
          <w:rFonts w:hint="eastAsia" w:ascii="仿宋" w:hAnsi="仿宋" w:eastAsia="仿宋" w:cs="仿宋"/>
          <w:b w:val="0"/>
          <w:bCs/>
          <w:sz w:val="32"/>
          <w:szCs w:val="32"/>
        </w:rPr>
      </w:pPr>
      <w:r>
        <w:rPr>
          <w:rFonts w:hint="eastAsia" w:ascii="仿宋" w:hAnsi="仿宋" w:eastAsia="仿宋" w:cs="仿宋"/>
          <w:b w:val="0"/>
          <w:bCs/>
          <w:sz w:val="32"/>
          <w:szCs w:val="32"/>
        </w:rPr>
        <w:t>若被检产品明示的质量要求缺少本细则中检验项目依据的强制性标准要求时，应按照</w:t>
      </w:r>
      <w:bookmarkStart w:id="0" w:name="_GoBack"/>
      <w:bookmarkEnd w:id="0"/>
      <w:r>
        <w:rPr>
          <w:rFonts w:hint="eastAsia" w:ascii="仿宋" w:hAnsi="仿宋" w:eastAsia="仿宋" w:cs="仿宋"/>
          <w:b w:val="0"/>
          <w:bCs/>
          <w:sz w:val="32"/>
          <w:szCs w:val="32"/>
        </w:rPr>
        <w:t>强制性标准要求判定；</w:t>
      </w:r>
    </w:p>
    <w:p>
      <w:pPr>
        <w:pStyle w:val="16"/>
        <w:widowControl w:val="0"/>
        <w:tabs>
          <w:tab w:val="clear" w:pos="4201"/>
          <w:tab w:val="clear" w:pos="9298"/>
        </w:tabs>
        <w:spacing w:line="578" w:lineRule="exact"/>
        <w:ind w:firstLine="640"/>
        <w:jc w:val="left"/>
        <w:rPr>
          <w:rFonts w:hint="eastAsia" w:ascii="仿宋" w:hAnsi="仿宋" w:eastAsia="仿宋" w:cs="仿宋"/>
          <w:b w:val="0"/>
          <w:bCs/>
          <w:sz w:val="32"/>
          <w:szCs w:val="32"/>
        </w:rPr>
      </w:pPr>
      <w:r>
        <w:rPr>
          <w:rFonts w:hint="eastAsia" w:ascii="仿宋" w:hAnsi="仿宋" w:eastAsia="仿宋" w:cs="仿宋"/>
          <w:b w:val="0"/>
          <w:bCs/>
          <w:sz w:val="32"/>
          <w:szCs w:val="32"/>
        </w:rPr>
        <w:t>若被检产品明示的质量要求缺少本细则中检验项目依据的推荐性标准要求时，该项目不参与判定。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6C2"/>
    <w:rsid w:val="000659A5"/>
    <w:rsid w:val="000927A0"/>
    <w:rsid w:val="000A1D7A"/>
    <w:rsid w:val="000B39BE"/>
    <w:rsid w:val="000F1098"/>
    <w:rsid w:val="000F4601"/>
    <w:rsid w:val="00124C89"/>
    <w:rsid w:val="00135CE2"/>
    <w:rsid w:val="001377E6"/>
    <w:rsid w:val="00144CE9"/>
    <w:rsid w:val="001500B1"/>
    <w:rsid w:val="00153FF2"/>
    <w:rsid w:val="00177B98"/>
    <w:rsid w:val="00185DBA"/>
    <w:rsid w:val="00192F92"/>
    <w:rsid w:val="001B4899"/>
    <w:rsid w:val="001B4F6E"/>
    <w:rsid w:val="001C235F"/>
    <w:rsid w:val="001C3366"/>
    <w:rsid w:val="001F0CA7"/>
    <w:rsid w:val="002147D6"/>
    <w:rsid w:val="00225AF4"/>
    <w:rsid w:val="002304FD"/>
    <w:rsid w:val="002376A6"/>
    <w:rsid w:val="00244C4C"/>
    <w:rsid w:val="0027576D"/>
    <w:rsid w:val="002774DD"/>
    <w:rsid w:val="00277AD0"/>
    <w:rsid w:val="002D0D97"/>
    <w:rsid w:val="002F7506"/>
    <w:rsid w:val="003035BB"/>
    <w:rsid w:val="00306022"/>
    <w:rsid w:val="00327728"/>
    <w:rsid w:val="003334B3"/>
    <w:rsid w:val="0035333A"/>
    <w:rsid w:val="00375055"/>
    <w:rsid w:val="003A3F40"/>
    <w:rsid w:val="003B4720"/>
    <w:rsid w:val="003C1B1F"/>
    <w:rsid w:val="003D37D1"/>
    <w:rsid w:val="003D4E7E"/>
    <w:rsid w:val="003E0C81"/>
    <w:rsid w:val="003F3208"/>
    <w:rsid w:val="00400485"/>
    <w:rsid w:val="00413B9E"/>
    <w:rsid w:val="00442AEB"/>
    <w:rsid w:val="0044427D"/>
    <w:rsid w:val="004C1E71"/>
    <w:rsid w:val="004E1AE6"/>
    <w:rsid w:val="004E36F0"/>
    <w:rsid w:val="004E6A81"/>
    <w:rsid w:val="004F0364"/>
    <w:rsid w:val="00504603"/>
    <w:rsid w:val="00504DD3"/>
    <w:rsid w:val="005132D3"/>
    <w:rsid w:val="00522F24"/>
    <w:rsid w:val="005469FC"/>
    <w:rsid w:val="005817E2"/>
    <w:rsid w:val="00592248"/>
    <w:rsid w:val="005A22AD"/>
    <w:rsid w:val="005A46A5"/>
    <w:rsid w:val="005B4B2B"/>
    <w:rsid w:val="005C4049"/>
    <w:rsid w:val="005C61F0"/>
    <w:rsid w:val="005C7D67"/>
    <w:rsid w:val="00612E64"/>
    <w:rsid w:val="00617E5C"/>
    <w:rsid w:val="006249B2"/>
    <w:rsid w:val="0063372C"/>
    <w:rsid w:val="00666D15"/>
    <w:rsid w:val="00683AA9"/>
    <w:rsid w:val="0068516D"/>
    <w:rsid w:val="0069598F"/>
    <w:rsid w:val="006A4068"/>
    <w:rsid w:val="006B7D7B"/>
    <w:rsid w:val="006C245A"/>
    <w:rsid w:val="006E53E5"/>
    <w:rsid w:val="006F58DB"/>
    <w:rsid w:val="00700632"/>
    <w:rsid w:val="00704D0D"/>
    <w:rsid w:val="007129F4"/>
    <w:rsid w:val="00716F37"/>
    <w:rsid w:val="007448DD"/>
    <w:rsid w:val="007514C2"/>
    <w:rsid w:val="0077192E"/>
    <w:rsid w:val="007A1653"/>
    <w:rsid w:val="007A363A"/>
    <w:rsid w:val="008066F3"/>
    <w:rsid w:val="008223FC"/>
    <w:rsid w:val="0083503F"/>
    <w:rsid w:val="008411A6"/>
    <w:rsid w:val="00851D9C"/>
    <w:rsid w:val="00862239"/>
    <w:rsid w:val="00863016"/>
    <w:rsid w:val="00867C7D"/>
    <w:rsid w:val="008764B6"/>
    <w:rsid w:val="00886012"/>
    <w:rsid w:val="00890246"/>
    <w:rsid w:val="0089374F"/>
    <w:rsid w:val="00893D98"/>
    <w:rsid w:val="008A6B23"/>
    <w:rsid w:val="008D14C3"/>
    <w:rsid w:val="008E13CC"/>
    <w:rsid w:val="008F1833"/>
    <w:rsid w:val="00902E20"/>
    <w:rsid w:val="00905329"/>
    <w:rsid w:val="00926839"/>
    <w:rsid w:val="00931AB6"/>
    <w:rsid w:val="00937083"/>
    <w:rsid w:val="00937883"/>
    <w:rsid w:val="009557A7"/>
    <w:rsid w:val="009A212F"/>
    <w:rsid w:val="009A3AAB"/>
    <w:rsid w:val="009B2EBD"/>
    <w:rsid w:val="009C55C5"/>
    <w:rsid w:val="009D7D0A"/>
    <w:rsid w:val="009E4955"/>
    <w:rsid w:val="00A04613"/>
    <w:rsid w:val="00A116C7"/>
    <w:rsid w:val="00A36790"/>
    <w:rsid w:val="00A851DC"/>
    <w:rsid w:val="00A91F8B"/>
    <w:rsid w:val="00AA10D4"/>
    <w:rsid w:val="00AB7CCE"/>
    <w:rsid w:val="00AE10BA"/>
    <w:rsid w:val="00AF18F1"/>
    <w:rsid w:val="00AF20FF"/>
    <w:rsid w:val="00B070E9"/>
    <w:rsid w:val="00B10563"/>
    <w:rsid w:val="00B2090C"/>
    <w:rsid w:val="00B44C4E"/>
    <w:rsid w:val="00B5353D"/>
    <w:rsid w:val="00B676DA"/>
    <w:rsid w:val="00B75A4A"/>
    <w:rsid w:val="00B9083E"/>
    <w:rsid w:val="00BA1B68"/>
    <w:rsid w:val="00BB1513"/>
    <w:rsid w:val="00BB7347"/>
    <w:rsid w:val="00BC3526"/>
    <w:rsid w:val="00BD53D9"/>
    <w:rsid w:val="00BD550F"/>
    <w:rsid w:val="00BE47C3"/>
    <w:rsid w:val="00BF0558"/>
    <w:rsid w:val="00C11D55"/>
    <w:rsid w:val="00C15660"/>
    <w:rsid w:val="00C50929"/>
    <w:rsid w:val="00C53F36"/>
    <w:rsid w:val="00C55788"/>
    <w:rsid w:val="00C60AD4"/>
    <w:rsid w:val="00C75D65"/>
    <w:rsid w:val="00C84022"/>
    <w:rsid w:val="00C96F93"/>
    <w:rsid w:val="00CB327A"/>
    <w:rsid w:val="00CB392D"/>
    <w:rsid w:val="00CC2075"/>
    <w:rsid w:val="00CD244B"/>
    <w:rsid w:val="00CE4DA8"/>
    <w:rsid w:val="00CF78CB"/>
    <w:rsid w:val="00D00B6F"/>
    <w:rsid w:val="00D22557"/>
    <w:rsid w:val="00D71CD6"/>
    <w:rsid w:val="00DA6668"/>
    <w:rsid w:val="00DB16C2"/>
    <w:rsid w:val="00DB410B"/>
    <w:rsid w:val="00DB7D94"/>
    <w:rsid w:val="00DC0580"/>
    <w:rsid w:val="00DD17EE"/>
    <w:rsid w:val="00DD1E2D"/>
    <w:rsid w:val="00DE2016"/>
    <w:rsid w:val="00DF1592"/>
    <w:rsid w:val="00DF2F58"/>
    <w:rsid w:val="00E37EF3"/>
    <w:rsid w:val="00E71D66"/>
    <w:rsid w:val="00E82B11"/>
    <w:rsid w:val="00E83256"/>
    <w:rsid w:val="00EB230E"/>
    <w:rsid w:val="00EB6E2A"/>
    <w:rsid w:val="00EF2AFF"/>
    <w:rsid w:val="00EF4264"/>
    <w:rsid w:val="00F03190"/>
    <w:rsid w:val="00F16C13"/>
    <w:rsid w:val="00F22880"/>
    <w:rsid w:val="00F30CD3"/>
    <w:rsid w:val="00F355CA"/>
    <w:rsid w:val="00F63D54"/>
    <w:rsid w:val="00FB1757"/>
    <w:rsid w:val="00FC22F6"/>
    <w:rsid w:val="00FE0563"/>
    <w:rsid w:val="00FE6383"/>
    <w:rsid w:val="00FF38C4"/>
    <w:rsid w:val="0D1D27C5"/>
    <w:rsid w:val="13B0701B"/>
    <w:rsid w:val="1EA6B600"/>
    <w:rsid w:val="1EAF3D79"/>
    <w:rsid w:val="22CE579C"/>
    <w:rsid w:val="2FE21BF8"/>
    <w:rsid w:val="36AFE081"/>
    <w:rsid w:val="3F923CF5"/>
    <w:rsid w:val="40951541"/>
    <w:rsid w:val="50CD7F30"/>
    <w:rsid w:val="5EBC2EDA"/>
    <w:rsid w:val="70750D90"/>
    <w:rsid w:val="73283DE8"/>
    <w:rsid w:val="754F70EA"/>
    <w:rsid w:val="75B92D56"/>
    <w:rsid w:val="7BEF0070"/>
    <w:rsid w:val="7BF71110"/>
    <w:rsid w:val="7E3EFC41"/>
    <w:rsid w:val="7EEF6FA9"/>
    <w:rsid w:val="B6E7B6B6"/>
    <w:rsid w:val="B7F7432A"/>
    <w:rsid w:val="BCDD5B12"/>
    <w:rsid w:val="CF6EB72E"/>
    <w:rsid w:val="FFD6E4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4"/>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Char"/>
    <w:basedOn w:val="9"/>
    <w:link w:val="6"/>
    <w:qFormat/>
    <w:uiPriority w:val="99"/>
    <w:rPr>
      <w:rFonts w:ascii="Times New Roman" w:hAnsi="Times New Roman" w:eastAsia="仿宋_GB2312" w:cs="Times New Roman"/>
      <w:kern w:val="2"/>
      <w:sz w:val="18"/>
      <w:szCs w:val="18"/>
    </w:rPr>
  </w:style>
  <w:style w:type="character" w:customStyle="1" w:styleId="12">
    <w:name w:val="页脚 Char"/>
    <w:basedOn w:val="9"/>
    <w:link w:val="5"/>
    <w:qFormat/>
    <w:uiPriority w:val="99"/>
    <w:rPr>
      <w:rFonts w:ascii="Times New Roman" w:hAnsi="Times New Roman" w:eastAsia="仿宋_GB2312" w:cs="Times New Roman"/>
      <w:kern w:val="2"/>
      <w:sz w:val="18"/>
      <w:szCs w:val="18"/>
    </w:rPr>
  </w:style>
  <w:style w:type="character" w:customStyle="1" w:styleId="13">
    <w:name w:val="批注文字 Char"/>
    <w:basedOn w:val="9"/>
    <w:link w:val="3"/>
    <w:qFormat/>
    <w:uiPriority w:val="99"/>
    <w:rPr>
      <w:rFonts w:ascii="Times New Roman" w:hAnsi="Times New Roman" w:eastAsia="仿宋_GB2312" w:cs="Times New Roman"/>
      <w:kern w:val="2"/>
      <w:sz w:val="32"/>
      <w:szCs w:val="24"/>
    </w:rPr>
  </w:style>
  <w:style w:type="character" w:customStyle="1" w:styleId="14">
    <w:name w:val="批注主题 Char"/>
    <w:basedOn w:val="13"/>
    <w:link w:val="7"/>
    <w:semiHidden/>
    <w:qFormat/>
    <w:uiPriority w:val="99"/>
    <w:rPr>
      <w:rFonts w:ascii="Times New Roman" w:hAnsi="Times New Roman" w:eastAsia="仿宋_GB2312" w:cs="Times New Roman"/>
      <w:b/>
      <w:bCs/>
      <w:kern w:val="2"/>
      <w:sz w:val="32"/>
      <w:szCs w:val="24"/>
    </w:rPr>
  </w:style>
  <w:style w:type="character" w:customStyle="1" w:styleId="15">
    <w:name w:val="批注框文本 Char"/>
    <w:basedOn w:val="9"/>
    <w:link w:val="4"/>
    <w:semiHidden/>
    <w:qFormat/>
    <w:uiPriority w:val="99"/>
    <w:rPr>
      <w:rFonts w:ascii="Times New Roman" w:hAnsi="Times New Roman" w:eastAsia="仿宋_GB2312" w:cs="Times New Roman"/>
      <w:kern w:val="2"/>
      <w:sz w:val="18"/>
      <w:szCs w:val="18"/>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7</Pages>
  <Words>418</Words>
  <Characters>2389</Characters>
  <Lines>19</Lines>
  <Paragraphs>5</Paragraphs>
  <TotalTime>32</TotalTime>
  <ScaleCrop>false</ScaleCrop>
  <LinksUpToDate>false</LinksUpToDate>
  <CharactersWithSpaces>2802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2023-04-11T08:00:00Z</dcterms:created>
  <dc:creator>yws1</dc:creator>
  <cp:lastModifiedBy>刘赞</cp:lastModifiedBy>
  <cp:lastPrinted>2021-06-07T04:49:00Z</cp:lastPrinted>
  <dcterms:modified xsi:type="dcterms:W3CDTF">2023-05-10T08:28:35Z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62E8FACDC1EB4FE087A27E7645567738</vt:lpwstr>
  </property>
</Properties>
</file>