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珠海市纸尿裤产品质量监督抽查实施细则</w:t>
      </w:r>
    </w:p>
    <w:p>
      <w:pPr>
        <w:spacing w:line="600" w:lineRule="exact"/>
        <w:jc w:val="left"/>
        <w:rPr>
          <w:rFonts w:hint="eastAsia" w:ascii="方正小标宋简体" w:hAnsi="方正小标宋简体" w:eastAsia="方正小标宋简体" w:cs="方正小标宋简体"/>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抽查数量：每款产品抽取2组(3包/组)样本，第1组用于检验，第2组用于备样。</w:t>
      </w:r>
    </w:p>
    <w:p>
      <w:pPr>
        <w:widowControl/>
        <w:spacing w:line="600" w:lineRule="exact"/>
        <w:ind w:firstLine="640" w:firstLineChars="200"/>
        <w:jc w:val="left"/>
        <w:rPr>
          <w:rFonts w:hint="eastAsia" w:ascii="仿宋" w:hAnsi="仿宋" w:eastAsia="仿宋" w:cs="仿宋"/>
        </w:rPr>
      </w:pPr>
      <w:r>
        <w:rPr>
          <w:rFonts w:hint="eastAsia" w:ascii="仿宋" w:hAnsi="仿宋" w:eastAsia="仿宋" w:cs="仿宋"/>
          <w:kern w:val="0"/>
        </w:rPr>
        <w:t>以随机抽样的方式在被抽查市场主体的待销产品中抽取。</w:t>
      </w:r>
    </w:p>
    <w:p>
      <w:pPr>
        <w:widowControl/>
        <w:spacing w:line="600" w:lineRule="exact"/>
        <w:ind w:firstLine="640" w:firstLineChars="200"/>
        <w:jc w:val="left"/>
        <w:rPr>
          <w:rFonts w:hint="eastAsia" w:ascii="仿宋" w:hAnsi="仿宋" w:eastAsia="仿宋" w:cs="仿宋"/>
        </w:rPr>
      </w:pPr>
      <w:r>
        <w:rPr>
          <w:rFonts w:hint="eastAsia" w:ascii="仿宋" w:hAnsi="仿宋" w:eastAsia="仿宋" w:cs="仿宋"/>
          <w:color w:val="333333"/>
          <w:kern w:val="0"/>
        </w:rPr>
        <w:t>随机数一般可使用随机数表等方法产生。</w:t>
      </w:r>
    </w:p>
    <w:p>
      <w:pPr>
        <w:spacing w:line="600" w:lineRule="exact"/>
        <w:ind w:firstLine="640" w:firstLineChars="200"/>
        <w:jc w:val="left"/>
        <w:rPr>
          <w:rFonts w:hint="eastAsia" w:ascii="仿宋" w:hAnsi="仿宋" w:eastAsia="仿宋" w:cs="仿宋"/>
          <w:color w:val="000000"/>
        </w:rPr>
      </w:pPr>
      <w:r>
        <w:rPr>
          <w:rFonts w:hint="eastAsia" w:ascii="仿宋" w:hAnsi="仿宋" w:eastAsia="仿宋" w:cs="仿宋"/>
          <w:color w:val="000000"/>
        </w:rPr>
        <w:t>抽查数量：每款产品抽取2组样本，第1组用于检验，第2组用于备样。具体抽样数量和方法如下：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4"/>
        <w:gridCol w:w="4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3" w:hRule="atLeast"/>
          <w:jc w:val="center"/>
        </w:trPr>
        <w:tc>
          <w:tcPr>
            <w:tcW w:w="26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黑体" w:hAnsi="黑体" w:eastAsia="黑体" w:cs="黑体"/>
                <w:sz w:val="24"/>
              </w:rPr>
            </w:pPr>
            <w:r>
              <w:rPr>
                <w:rFonts w:hint="eastAsia" w:ascii="黑体" w:hAnsi="黑体" w:eastAsia="黑体" w:cs="黑体"/>
                <w:sz w:val="24"/>
              </w:rPr>
              <w:t>第1组数量</w:t>
            </w:r>
          </w:p>
        </w:tc>
        <w:tc>
          <w:tcPr>
            <w:tcW w:w="23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黑体" w:hAnsi="黑体" w:eastAsia="黑体" w:cs="黑体"/>
                <w:sz w:val="24"/>
              </w:rPr>
            </w:pPr>
            <w:r>
              <w:rPr>
                <w:rFonts w:hint="eastAsia" w:ascii="黑体" w:hAnsi="黑体" w:eastAsia="黑体" w:cs="黑体"/>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26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jc w:val="center"/>
              <w:rPr>
                <w:rFonts w:ascii="仿宋" w:hAnsi="仿宋" w:cs="仿宋"/>
                <w:sz w:val="24"/>
              </w:rPr>
            </w:pPr>
            <w:r>
              <w:rPr>
                <w:rFonts w:ascii="仿宋" w:hAnsi="仿宋" w:cs="仿宋"/>
                <w:sz w:val="24"/>
              </w:rPr>
              <w:t>4</w:t>
            </w:r>
            <w:r>
              <w:rPr>
                <w:rFonts w:hint="eastAsia" w:ascii="仿宋" w:hAnsi="仿宋" w:cs="仿宋"/>
                <w:sz w:val="24"/>
              </w:rPr>
              <w:t>0片（不少于9个独立包装）</w:t>
            </w:r>
          </w:p>
        </w:tc>
        <w:tc>
          <w:tcPr>
            <w:tcW w:w="23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jc w:val="center"/>
              <w:rPr>
                <w:rFonts w:ascii="仿宋" w:hAnsi="仿宋" w:cs="仿宋"/>
                <w:sz w:val="24"/>
              </w:rPr>
            </w:pPr>
            <w:r>
              <w:rPr>
                <w:rFonts w:hint="eastAsia" w:ascii="仿宋" w:hAnsi="仿宋" w:cs="仿宋"/>
                <w:sz w:val="24"/>
              </w:rPr>
              <w:t>20片（不少于2个独立包装）</w:t>
            </w:r>
          </w:p>
        </w:tc>
      </w:tr>
    </w:tbl>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寄/送给检验机构。封样单上应有被抽查企业和抽样人员双方的签名，注明抽样日期。封好样后，可采取拍照、封样单骑缝签名、漆封、特殊材料等其他附加的防拆封措施。在运送过程中应注意对样品进行适当防护，避免出现雨淋、进水等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黑体"/>
        </w:rPr>
      </w:pPr>
      <w:r>
        <w:rPr>
          <w:rFonts w:hint="eastAsia" w:eastAsia="黑体"/>
        </w:rPr>
        <w:t>二、主要检验项目及检验项目属性划分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楷体" w:hAnsi="楷体" w:eastAsia="楷体"/>
        </w:rPr>
      </w:pPr>
      <w:r>
        <w:rPr>
          <w:rFonts w:hint="eastAsia" w:ascii="楷体" w:hAnsi="楷体" w:eastAsia="楷体"/>
        </w:rPr>
        <w:t>(一)婴儿纸尿裤、婴儿纸尿片、婴儿纸尿垫（护理垫）</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2481"/>
        <w:gridCol w:w="2111"/>
        <w:gridCol w:w="739"/>
        <w:gridCol w:w="741"/>
        <w:gridCol w:w="740"/>
        <w:gridCol w:w="742"/>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序号</w:t>
            </w: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检验项目</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检验方法</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强制性</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非强制性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重要项</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较重要项</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感官</w:t>
            </w:r>
          </w:p>
        </w:tc>
        <w:tc>
          <w:tcPr>
            <w:tcW w:w="1165"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28004.1-2021</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条质量偏差</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吸收速度</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回渗量</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渗漏量</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渗透性能</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面层附着物</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pH值</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杂质</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防侧漏性能</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交货水分</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r>
              <w:rPr>
                <w:rFonts w:hint="eastAsia" w:ascii="仿宋" w:hAnsi="仿宋" w:eastAsia="仿宋" w:cs="仿宋"/>
                <w:sz w:val="24"/>
              </w:rPr>
              <w:t>●</w:t>
            </w: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铅</w:t>
            </w:r>
          </w:p>
        </w:tc>
        <w:tc>
          <w:tcPr>
            <w:tcW w:w="1165"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《化妆品安全技术规范》2015版</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砷</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镉</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汞</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可迁移性荧光性</w:t>
            </w:r>
          </w:p>
          <w:p>
            <w:pPr>
              <w:adjustRightInd w:val="0"/>
              <w:snapToGrid w:val="0"/>
              <w:jc w:val="center"/>
              <w:rPr>
                <w:rFonts w:hint="eastAsia" w:ascii="仿宋" w:hAnsi="仿宋" w:eastAsia="仿宋" w:cs="仿宋"/>
                <w:sz w:val="24"/>
              </w:rPr>
            </w:pPr>
            <w:r>
              <w:rPr>
                <w:rFonts w:hint="eastAsia" w:ascii="仿宋" w:hAnsi="仿宋" w:eastAsia="仿宋" w:cs="仿宋"/>
                <w:sz w:val="24"/>
              </w:rPr>
              <w:t>物质</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28004.1-2021</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丙烯酰胺含量</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37859-2019</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甲醛含量</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34448-2017</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邻苯二甲酸二丁酯（DBP）、邻苯二甲酸丁苄酯（BBP）和邻苯二甲酸二（2-乙基）己酯（DEHP）</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37860-2019</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可分解致癌芳香胺染料</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17592-2011、GB/T 23334-2009</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细菌菌落总数</w:t>
            </w:r>
          </w:p>
        </w:tc>
        <w:tc>
          <w:tcPr>
            <w:tcW w:w="1165"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15979-2002</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大肠菌群</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绿脓杆菌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金黄色葡萄球菌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溶血性链球菌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1"/>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真菌菌落总数</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pPr>
      <w:r>
        <w:rPr>
          <w:rFonts w:hint="eastAsia" w:ascii="楷体" w:hAnsi="楷体" w:eastAsia="楷体"/>
        </w:rPr>
        <w:t>(</w:t>
      </w:r>
      <w:r>
        <w:rPr>
          <w:rFonts w:hint="eastAsia" w:ascii="楷体" w:hAnsi="楷体" w:eastAsia="楷体"/>
          <w:lang w:eastAsia="zh-CN"/>
        </w:rPr>
        <w:t>二</w:t>
      </w:r>
      <w:r>
        <w:rPr>
          <w:rFonts w:hint="eastAsia" w:ascii="楷体" w:hAnsi="楷体" w:eastAsia="楷体"/>
        </w:rPr>
        <w:t>) 成人纸尿裤</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2481"/>
        <w:gridCol w:w="2111"/>
        <w:gridCol w:w="739"/>
        <w:gridCol w:w="741"/>
        <w:gridCol w:w="740"/>
        <w:gridCol w:w="742"/>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ind w:firstLine="0" w:firstLineChars="0"/>
              <w:jc w:val="center"/>
              <w:rPr>
                <w:rFonts w:hint="eastAsia" w:ascii="黑体" w:hAnsi="黑体" w:eastAsia="黑体" w:cs="黑体"/>
                <w:b w:val="0"/>
                <w:bCs/>
                <w:sz w:val="24"/>
              </w:rPr>
            </w:pPr>
            <w:r>
              <w:rPr>
                <w:rFonts w:hint="eastAsia" w:ascii="黑体" w:hAnsi="黑体" w:eastAsia="黑体" w:cs="黑体"/>
                <w:b w:val="0"/>
                <w:bCs/>
                <w:sz w:val="24"/>
              </w:rPr>
              <w:t>序号</w:t>
            </w: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检验项目</w:t>
            </w:r>
          </w:p>
        </w:tc>
        <w:tc>
          <w:tcPr>
            <w:tcW w:w="1165" w:type="pct"/>
            <w:tcBorders>
              <w:left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检验方法</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强制性</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黑体" w:hAnsi="黑体" w:eastAsia="黑体" w:cs="黑体"/>
                <w:b w:val="0"/>
                <w:bCs/>
                <w:sz w:val="24"/>
              </w:rPr>
            </w:pPr>
            <w:r>
              <w:rPr>
                <w:rFonts w:hint="eastAsia" w:ascii="黑体" w:hAnsi="黑体" w:eastAsia="黑体" w:cs="黑体"/>
                <w:b w:val="0"/>
                <w:bCs/>
                <w:sz w:val="24"/>
              </w:rPr>
              <w:t>非强制性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黑体" w:hAnsi="黑体" w:eastAsia="黑体" w:cs="黑体"/>
                <w:b w:val="0"/>
                <w:bCs/>
                <w:sz w:val="24"/>
              </w:rPr>
            </w:pPr>
            <w:r>
              <w:rPr>
                <w:rFonts w:hint="eastAsia" w:ascii="黑体" w:hAnsi="黑体" w:eastAsia="黑体" w:cs="黑体"/>
                <w:b w:val="0"/>
                <w:bCs/>
                <w:sz w:val="24"/>
              </w:rPr>
              <w:t>重要项</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黑体" w:hAnsi="黑体" w:eastAsia="黑体" w:cs="黑体"/>
                <w:b w:val="0"/>
                <w:bCs/>
                <w:sz w:val="24"/>
              </w:rPr>
            </w:pPr>
            <w:r>
              <w:rPr>
                <w:rFonts w:hint="eastAsia" w:ascii="黑体" w:hAnsi="黑体" w:eastAsia="黑体" w:cs="黑体"/>
                <w:b w:val="0"/>
                <w:bCs/>
                <w:sz w:val="24"/>
              </w:rPr>
              <w:t>较重要项</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感官</w:t>
            </w:r>
          </w:p>
        </w:tc>
        <w:tc>
          <w:tcPr>
            <w:tcW w:w="1165" w:type="pct"/>
            <w:vMerge w:val="restart"/>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28004.2-2021</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条质量偏差</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面层附着物</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pH值</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杂质</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吸收倍率</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甲醛含量</w:t>
            </w:r>
          </w:p>
        </w:tc>
        <w:tc>
          <w:tcPr>
            <w:tcW w:w="1165" w:type="pct"/>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34448-2017</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可迁移性荧光性物质</w:t>
            </w:r>
          </w:p>
        </w:tc>
        <w:tc>
          <w:tcPr>
            <w:tcW w:w="1165" w:type="pct"/>
            <w:vMerge w:val="restart"/>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GB/T 28004.2-2021</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交货水分</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细菌菌落总数</w:t>
            </w:r>
          </w:p>
        </w:tc>
        <w:tc>
          <w:tcPr>
            <w:tcW w:w="1165" w:type="pct"/>
            <w:vMerge w:val="restart"/>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15979-2002</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大肠菌群</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绿脓杆菌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金黄色葡萄球菌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溶血性链球菌</w:t>
            </w:r>
          </w:p>
        </w:tc>
        <w:tc>
          <w:tcPr>
            <w:tcW w:w="1165" w:type="pct"/>
            <w:vMerge w:val="continue"/>
            <w:tcBorders>
              <w:left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2"/>
              </w:numPr>
              <w:adjustRightInd w:val="0"/>
              <w:snapToGrid w:val="0"/>
              <w:ind w:firstLineChars="0"/>
              <w:jc w:val="center"/>
              <w:rPr>
                <w:rFonts w:hint="eastAsia" w:ascii="仿宋" w:hAnsi="仿宋" w:eastAsia="仿宋" w:cs="仿宋"/>
                <w:b/>
                <w:sz w:val="24"/>
              </w:rPr>
            </w:pPr>
          </w:p>
        </w:tc>
        <w:tc>
          <w:tcPr>
            <w:tcW w:w="13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真菌菌落总数</w:t>
            </w:r>
          </w:p>
        </w:tc>
        <w:tc>
          <w:tcPr>
            <w:tcW w:w="1165"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r>
              <w:rPr>
                <w:rFonts w:hint="eastAsia" w:ascii="仿宋" w:hAnsi="仿宋" w:eastAsia="仿宋" w:cs="仿宋"/>
                <w:sz w:val="24"/>
              </w:rPr>
              <w:t>●</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rPr>
            </w:pPr>
          </w:p>
        </w:tc>
      </w:tr>
    </w:tbl>
    <w:p>
      <w:pPr>
        <w:adjustRightInd w:val="0"/>
        <w:snapToGrid w:val="0"/>
        <w:jc w:val="left"/>
        <w:rPr>
          <w:rFonts w:hint="eastAsia" w:ascii="仿宋" w:hAnsi="仿宋" w:cs="仿宋"/>
          <w:sz w:val="30"/>
          <w:szCs w:val="30"/>
        </w:rPr>
      </w:pPr>
      <w:r>
        <w:rPr>
          <w:rFonts w:hint="eastAsia" w:ascii="仿宋" w:hAnsi="仿宋" w:cs="仿宋"/>
          <w:sz w:val="30"/>
          <w:szCs w:val="30"/>
        </w:rPr>
        <w:t>注：微生物项目不复检。</w:t>
      </w:r>
    </w:p>
    <w:p>
      <w:pPr>
        <w:keepNext w:val="0"/>
        <w:keepLines w:val="0"/>
        <w:pageBreakBefore w:val="0"/>
        <w:kinsoku/>
        <w:wordWrap/>
        <w:overflowPunct/>
        <w:topLinePunct w:val="0"/>
        <w:bidi w:val="0"/>
        <w:spacing w:before="312" w:beforeLines="100"/>
        <w:ind w:firstLine="640" w:firstLineChars="200"/>
        <w:jc w:val="left"/>
        <w:textAlignment w:val="auto"/>
        <w:rPr>
          <w:rFonts w:eastAsia="黑体"/>
        </w:rPr>
      </w:pPr>
      <w:r>
        <w:rPr>
          <w:rFonts w:hint="eastAsia" w:eastAsia="黑体"/>
        </w:rPr>
        <w:t>三、判定规则</w:t>
      </w:r>
    </w:p>
    <w:p>
      <w:pPr>
        <w:keepNext w:val="0"/>
        <w:keepLines w:val="0"/>
        <w:pageBreakBefore w:val="0"/>
        <w:kinsoku/>
        <w:wordWrap/>
        <w:overflowPunct/>
        <w:topLinePunct w:val="0"/>
        <w:bidi w:val="0"/>
        <w:ind w:firstLine="640" w:firstLineChars="200"/>
        <w:jc w:val="left"/>
        <w:textAlignment w:val="auto"/>
        <w:rPr>
          <w:rFonts w:ascii="楷体_GB2312" w:hAnsi="楷体_GB2312" w:eastAsia="楷体_GB2312" w:cs="楷体_GB2312"/>
        </w:rPr>
      </w:pPr>
      <w:r>
        <w:rPr>
          <w:rFonts w:hint="eastAsia" w:ascii="楷体_GB2312" w:hAnsi="楷体_GB2312" w:eastAsia="楷体_GB2312" w:cs="楷体_GB2312"/>
        </w:rPr>
        <w:t>（一）依据标准</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GB/T 28004.1－2021《纸尿裤 第1部分 婴儿纸尿裤》</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GB/T 28004.2－2021《纸尿裤 第1部分 成人纸尿裤》</w:t>
      </w:r>
    </w:p>
    <w:p>
      <w:pPr>
        <w:keepNext w:val="0"/>
        <w:keepLines w:val="0"/>
        <w:pageBreakBefore w:val="0"/>
        <w:kinsoku/>
        <w:wordWrap/>
        <w:overflowPunct/>
        <w:topLinePunct w:val="0"/>
        <w:autoSpaceDE w:val="0"/>
        <w:autoSpaceDN w:val="0"/>
        <w:bidi w:val="0"/>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keepNext w:val="0"/>
        <w:keepLines w:val="0"/>
        <w:pageBreakBefore w:val="0"/>
        <w:kinsoku/>
        <w:wordWrap/>
        <w:overflowPunct/>
        <w:topLinePunct w:val="0"/>
        <w:bidi w:val="0"/>
        <w:spacing w:before="156" w:beforeLines="50"/>
        <w:ind w:firstLine="640" w:firstLineChars="200"/>
        <w:jc w:val="left"/>
        <w:textAlignment w:val="auto"/>
        <w:rPr>
          <w:rFonts w:ascii="楷体_GB2312" w:hAnsi="楷体_GB2312" w:eastAsia="楷体_GB2312" w:cs="楷体_GB2312"/>
        </w:rPr>
      </w:pPr>
      <w:r>
        <w:rPr>
          <w:rFonts w:hint="eastAsia" w:ascii="楷体_GB2312" w:hAnsi="楷体_GB2312" w:eastAsia="楷体_GB2312" w:cs="楷体_GB2312"/>
        </w:rPr>
        <w:t>（二）判定原则</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经检验，检验项目全部合格，判定为抽取的样本所检项目未检出不合格；检验项目中任一项或一项以上不合格，判定为被抽查产品不合格。</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当被检样品明示的质量要求优于监督抽查实施细则中依据的标准要求时，应按被检样品明示的质量要求判定；</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bookmarkStart w:id="0" w:name="_GoBack"/>
      <w:bookmarkEnd w:id="0"/>
      <w:r>
        <w:rPr>
          <w:rFonts w:hint="eastAsia" w:ascii="仿宋" w:hAnsi="仿宋" w:eastAsia="仿宋" w:cs="仿宋"/>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当被检样品明示的质量要求不包含监督抽查实施细则中依据的推荐性标准要求时，该指标不参与判定，但应在检验报告中作出说明；</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当被检样品未能提供有效的企业标准时，按相关国家或行业标准进行判定；</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按照产品质量相关法律法规的规定判定。</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r>
        <w:rPr>
          <w:rFonts w:hint="eastAsia" w:ascii="仿宋" w:hAnsi="仿宋" w:eastAsia="仿宋" w:cs="仿宋"/>
        </w:rPr>
        <w:t>检验中发现因样品失效或者其他原因致使检验无法进行的，检验人员应如实记录，并提供相关证明材料，报送组织监督抽查的市场监管部门。</w:t>
      </w:r>
    </w:p>
    <w:p>
      <w:pPr>
        <w:keepNext w:val="0"/>
        <w:keepLines w:val="0"/>
        <w:pageBreakBefore w:val="0"/>
        <w:kinsoku/>
        <w:wordWrap/>
        <w:overflowPunct/>
        <w:topLinePunct w:val="0"/>
        <w:bidi w:val="0"/>
        <w:adjustRightInd w:val="0"/>
        <w:snapToGrid w:val="0"/>
        <w:spacing w:line="590" w:lineRule="exact"/>
        <w:ind w:firstLine="640" w:firstLineChars="200"/>
        <w:jc w:val="left"/>
        <w:textAlignment w:val="auto"/>
        <w:rPr>
          <w:rFonts w:hint="eastAsia" w:ascii="仿宋" w:hAnsi="仿宋" w:eastAsia="仿宋" w:cs="仿宋"/>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D3E40"/>
    <w:multiLevelType w:val="multilevel"/>
    <w:tmpl w:val="155D3E40"/>
    <w:lvl w:ilvl="0" w:tentative="0">
      <w:start w:val="1"/>
      <w:numFmt w:val="decimal"/>
      <w:suff w:val="nothing"/>
      <w:lvlText w:val="%1"/>
      <w:lvlJc w:val="left"/>
      <w:pPr>
        <w:ind w:left="0" w:firstLine="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921B8D"/>
    <w:multiLevelType w:val="multilevel"/>
    <w:tmpl w:val="25921B8D"/>
    <w:lvl w:ilvl="0" w:tentative="0">
      <w:start w:val="1"/>
      <w:numFmt w:val="decimal"/>
      <w:suff w:val="nothing"/>
      <w:lvlText w:val="%1"/>
      <w:lvlJc w:val="left"/>
      <w:pPr>
        <w:ind w:left="0" w:firstLine="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07388"/>
    <w:rsid w:val="00036BC7"/>
    <w:rsid w:val="00043080"/>
    <w:rsid w:val="00043A52"/>
    <w:rsid w:val="0005045D"/>
    <w:rsid w:val="00063BD5"/>
    <w:rsid w:val="00092ABD"/>
    <w:rsid w:val="000B4C5F"/>
    <w:rsid w:val="001134AB"/>
    <w:rsid w:val="00116270"/>
    <w:rsid w:val="00120EFB"/>
    <w:rsid w:val="001221DB"/>
    <w:rsid w:val="00192BBD"/>
    <w:rsid w:val="001E1CD8"/>
    <w:rsid w:val="001F5DD4"/>
    <w:rsid w:val="00201CDD"/>
    <w:rsid w:val="00223348"/>
    <w:rsid w:val="00250DFA"/>
    <w:rsid w:val="002923B9"/>
    <w:rsid w:val="00294579"/>
    <w:rsid w:val="00310C73"/>
    <w:rsid w:val="0039338B"/>
    <w:rsid w:val="003D18F0"/>
    <w:rsid w:val="003E64E3"/>
    <w:rsid w:val="004015F5"/>
    <w:rsid w:val="004757C1"/>
    <w:rsid w:val="004A5090"/>
    <w:rsid w:val="004B2573"/>
    <w:rsid w:val="004F0611"/>
    <w:rsid w:val="00544BE4"/>
    <w:rsid w:val="00592C01"/>
    <w:rsid w:val="005A0994"/>
    <w:rsid w:val="006238A1"/>
    <w:rsid w:val="00624315"/>
    <w:rsid w:val="00695250"/>
    <w:rsid w:val="006D4F7A"/>
    <w:rsid w:val="006D505E"/>
    <w:rsid w:val="006F4E7D"/>
    <w:rsid w:val="0071761A"/>
    <w:rsid w:val="00732793"/>
    <w:rsid w:val="00735F9B"/>
    <w:rsid w:val="0074286E"/>
    <w:rsid w:val="00752F93"/>
    <w:rsid w:val="0075545D"/>
    <w:rsid w:val="007914F7"/>
    <w:rsid w:val="007A0EE2"/>
    <w:rsid w:val="007A10C3"/>
    <w:rsid w:val="007B0EC6"/>
    <w:rsid w:val="007F204B"/>
    <w:rsid w:val="00841ED0"/>
    <w:rsid w:val="00895950"/>
    <w:rsid w:val="008C102E"/>
    <w:rsid w:val="008C280B"/>
    <w:rsid w:val="008F74C7"/>
    <w:rsid w:val="00926BC7"/>
    <w:rsid w:val="009F07C3"/>
    <w:rsid w:val="00A02A33"/>
    <w:rsid w:val="00A40122"/>
    <w:rsid w:val="00A66D10"/>
    <w:rsid w:val="00A97411"/>
    <w:rsid w:val="00AC1C38"/>
    <w:rsid w:val="00B25DB1"/>
    <w:rsid w:val="00B5571C"/>
    <w:rsid w:val="00B67E0F"/>
    <w:rsid w:val="00B70361"/>
    <w:rsid w:val="00B7736F"/>
    <w:rsid w:val="00BA2151"/>
    <w:rsid w:val="00BA664E"/>
    <w:rsid w:val="00BB0B4C"/>
    <w:rsid w:val="00BC667E"/>
    <w:rsid w:val="00BD50D2"/>
    <w:rsid w:val="00C070D8"/>
    <w:rsid w:val="00C17D35"/>
    <w:rsid w:val="00C36908"/>
    <w:rsid w:val="00C4082C"/>
    <w:rsid w:val="00C450FD"/>
    <w:rsid w:val="00C512B6"/>
    <w:rsid w:val="00CC19A7"/>
    <w:rsid w:val="00CC373F"/>
    <w:rsid w:val="00D1464E"/>
    <w:rsid w:val="00D224DD"/>
    <w:rsid w:val="00D357A6"/>
    <w:rsid w:val="00D554F8"/>
    <w:rsid w:val="00D629E1"/>
    <w:rsid w:val="00D9435F"/>
    <w:rsid w:val="00E54840"/>
    <w:rsid w:val="00E56737"/>
    <w:rsid w:val="00E61CE3"/>
    <w:rsid w:val="00E72969"/>
    <w:rsid w:val="00E94DFB"/>
    <w:rsid w:val="00E9624B"/>
    <w:rsid w:val="00E977EC"/>
    <w:rsid w:val="00EC3EBE"/>
    <w:rsid w:val="00EE24A1"/>
    <w:rsid w:val="00F1323C"/>
    <w:rsid w:val="00F250EF"/>
    <w:rsid w:val="00F5376E"/>
    <w:rsid w:val="00F60942"/>
    <w:rsid w:val="00F8007C"/>
    <w:rsid w:val="00FA7094"/>
    <w:rsid w:val="00FA791E"/>
    <w:rsid w:val="00FB22F7"/>
    <w:rsid w:val="00FE6536"/>
    <w:rsid w:val="25431FC9"/>
    <w:rsid w:val="5BEB6052"/>
    <w:rsid w:val="719D7363"/>
    <w:rsid w:val="7BE96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uiPriority w:val="0"/>
    <w:rPr>
      <w:rFonts w:eastAsia="仿宋_GB2312"/>
      <w:kern w:val="2"/>
      <w:sz w:val="18"/>
      <w:szCs w:val="18"/>
    </w:rPr>
  </w:style>
  <w:style w:type="character" w:customStyle="1" w:styleId="15">
    <w:name w:val="页脚 Char"/>
    <w:basedOn w:val="8"/>
    <w:link w:val="4"/>
    <w:uiPriority w:val="0"/>
    <w:rPr>
      <w:rFonts w:eastAsia="仿宋_GB2312"/>
      <w:kern w:val="2"/>
      <w:sz w:val="18"/>
      <w:szCs w:val="18"/>
    </w:rPr>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326</Words>
  <Characters>1859</Characters>
  <Lines>15</Lines>
  <Paragraphs>4</Paragraphs>
  <TotalTime>103</TotalTime>
  <ScaleCrop>false</ScaleCrop>
  <LinksUpToDate>false</LinksUpToDate>
  <CharactersWithSpaces>2181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2023-05-10T09:07:48Z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4235B37C62814CC5866EA2F0D8CBA897</vt:lpwstr>
  </property>
</Properties>
</file>