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Courier New" w:eastAsia="方正小标宋简体" w:cs="Courier New"/>
          <w:bCs/>
          <w:sz w:val="44"/>
          <w:szCs w:val="44"/>
        </w:rPr>
      </w:pPr>
      <w:r>
        <w:rPr>
          <w:rFonts w:hint="eastAsia" w:ascii="方正小标宋简体" w:hAnsi="Courier New" w:eastAsia="方正小标宋简体" w:cs="Courier New"/>
          <w:bCs/>
          <w:sz w:val="44"/>
          <w:szCs w:val="44"/>
        </w:rPr>
        <w:t>珠海市液化石油气产品质量监督抽查实施细则</w:t>
      </w:r>
    </w:p>
    <w:p>
      <w:pPr>
        <w:spacing w:line="600" w:lineRule="exact"/>
        <w:jc w:val="left"/>
        <w:rPr>
          <w:rFonts w:ascii="方正小标宋简体" w:hAnsi="Courier New" w:eastAsia="方正小标宋简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抽查数量：每款产品抽取2组（1瓶/组）样本，第1组用于检验，第2组用于备样。</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抽取样品应为同一型号规格、同一批次的产品，检验样品和备用样品必须取自同一储气罐。</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寄/送给检验机构。封样单上应有被抽查企业和抽样人员双方的签名，注明抽样日期。封好样后，可采取拍照、封样单骑缝签名、漆封、特殊材料等其他附加的防拆封措施。在运送过程中应注意对样品外表面进行适当防护，避免出现磕碰、磨损，尤其避免雨淋、进水等情况。</w:t>
      </w:r>
    </w:p>
    <w:p>
      <w:pPr>
        <w:keepNext w:val="0"/>
        <w:keepLines w:val="0"/>
        <w:pageBreakBefore w:val="0"/>
        <w:widowControl w:val="0"/>
        <w:kinsoku/>
        <w:wordWrap/>
        <w:overflowPunct/>
        <w:topLinePunct w:val="0"/>
        <w:autoSpaceDE/>
        <w:autoSpaceDN/>
        <w:bidi w:val="0"/>
        <w:adjustRightInd/>
        <w:snapToGrid/>
        <w:spacing w:after="313" w:afterLines="100" w:line="600" w:lineRule="exact"/>
        <w:ind w:firstLine="640" w:firstLineChars="200"/>
        <w:jc w:val="left"/>
        <w:textAlignment w:val="auto"/>
        <w:rPr>
          <w:rFonts w:eastAsia="黑体"/>
        </w:rPr>
      </w:pPr>
      <w:r>
        <w:rPr>
          <w:rFonts w:hint="eastAsia" w:eastAsia="黑体"/>
        </w:rPr>
        <w:t>二、主要检验项目及检验项目属性划分</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451"/>
        <w:gridCol w:w="2227"/>
        <w:gridCol w:w="1142"/>
        <w:gridCol w:w="892"/>
        <w:gridCol w:w="879"/>
        <w:gridCol w:w="758"/>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80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228"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630"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92"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85"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18"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较重要性</w:t>
            </w:r>
          </w:p>
        </w:tc>
        <w:tc>
          <w:tcPr>
            <w:tcW w:w="421" w:type="pct"/>
            <w:tcBorders>
              <w:top w:val="single" w:color="auto" w:sz="4" w:space="0"/>
              <w:left w:val="single" w:color="auto" w:sz="4" w:space="0"/>
              <w:right w:val="single" w:color="auto" w:sz="4" w:space="0"/>
            </w:tcBorders>
            <w:vAlign w:val="center"/>
          </w:tcPr>
          <w:p>
            <w:pPr>
              <w:spacing w:line="24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密度</w:t>
            </w:r>
          </w:p>
        </w:tc>
        <w:tc>
          <w:tcPr>
            <w:tcW w:w="1228" w:type="pct"/>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GB/T 12576-1997</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p>
        </w:tc>
        <w:tc>
          <w:tcPr>
            <w:tcW w:w="418"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蒸气压</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GB/T 12576-1997</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组分</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NB/SH/T 0230-2019</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蒸发残留物</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SY/T 7509-2014</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残留物油渍观察</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SY/T 7509-2014</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p>
        </w:tc>
        <w:tc>
          <w:tcPr>
            <w:tcW w:w="418"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铜片腐蚀</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SH/T 0232-1992</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总硫含量</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SH/T 0222-1992</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硫化氢</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SH/T 0231-1992</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snapToGrid w:val="0"/>
              <w:jc w:val="center"/>
              <w:rPr>
                <w:rFonts w:hint="eastAsia" w:ascii="仿宋" w:hAnsi="仿宋" w:eastAsia="仿宋" w:cs="仿宋"/>
                <w:sz w:val="24"/>
                <w:szCs w:val="24"/>
              </w:rPr>
            </w:pPr>
          </w:p>
        </w:tc>
        <w:tc>
          <w:tcPr>
            <w:tcW w:w="418" w:type="pct"/>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w:t>
            </w: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21" w:type="pct"/>
            <w:vAlign w:val="center"/>
          </w:tcPr>
          <w:p>
            <w:pPr>
              <w:widowControl/>
              <w:numPr>
                <w:ilvl w:val="0"/>
                <w:numId w:val="1"/>
              </w:numPr>
              <w:spacing w:line="240" w:lineRule="exact"/>
              <w:jc w:val="center"/>
              <w:rPr>
                <w:rFonts w:hint="eastAsia" w:ascii="仿宋" w:hAnsi="仿宋" w:eastAsia="仿宋" w:cs="仿宋"/>
                <w:sz w:val="24"/>
                <w:szCs w:val="24"/>
              </w:rPr>
            </w:pPr>
          </w:p>
        </w:tc>
        <w:tc>
          <w:tcPr>
            <w:tcW w:w="80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游离水</w:t>
            </w:r>
          </w:p>
        </w:tc>
        <w:tc>
          <w:tcPr>
            <w:tcW w:w="1228"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GB 11174-2011</w:t>
            </w:r>
          </w:p>
        </w:tc>
        <w:tc>
          <w:tcPr>
            <w:tcW w:w="630"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92" w:type="pct"/>
            <w:vAlign w:val="center"/>
          </w:tcPr>
          <w:p>
            <w:pPr>
              <w:snapToGrid w:val="0"/>
              <w:jc w:val="center"/>
              <w:rPr>
                <w:rFonts w:hint="eastAsia" w:ascii="仿宋" w:hAnsi="仿宋" w:eastAsia="仿宋" w:cs="仿宋"/>
                <w:sz w:val="24"/>
                <w:szCs w:val="24"/>
              </w:rPr>
            </w:pPr>
          </w:p>
        </w:tc>
        <w:tc>
          <w:tcPr>
            <w:tcW w:w="485" w:type="pct"/>
            <w:vAlign w:val="center"/>
          </w:tcPr>
          <w:p>
            <w:pPr>
              <w:autoSpaceDE w:val="0"/>
              <w:autoSpaceDN w:val="0"/>
              <w:adjustRightInd w:val="0"/>
              <w:jc w:val="center"/>
              <w:textAlignment w:val="bottom"/>
              <w:rPr>
                <w:rFonts w:hint="eastAsia" w:ascii="仿宋" w:hAnsi="仿宋" w:eastAsia="仿宋" w:cs="仿宋"/>
                <w:kern w:val="0"/>
                <w:sz w:val="24"/>
                <w:szCs w:val="24"/>
              </w:rPr>
            </w:pPr>
            <w:r>
              <w:rPr>
                <w:rFonts w:hint="eastAsia" w:ascii="仿宋" w:hAnsi="仿宋" w:eastAsia="仿宋" w:cs="仿宋"/>
                <w:kern w:val="0"/>
                <w:sz w:val="24"/>
                <w:szCs w:val="24"/>
              </w:rPr>
              <w:t>●</w:t>
            </w:r>
          </w:p>
        </w:tc>
        <w:tc>
          <w:tcPr>
            <w:tcW w:w="418" w:type="pct"/>
            <w:vAlign w:val="center"/>
          </w:tcPr>
          <w:p>
            <w:pPr>
              <w:snapToGrid w:val="0"/>
              <w:jc w:val="center"/>
              <w:rPr>
                <w:rFonts w:hint="eastAsia" w:ascii="仿宋" w:hAnsi="仿宋" w:eastAsia="仿宋" w:cs="仿宋"/>
                <w:sz w:val="24"/>
                <w:szCs w:val="24"/>
              </w:rPr>
            </w:pPr>
          </w:p>
        </w:tc>
        <w:tc>
          <w:tcPr>
            <w:tcW w:w="421" w:type="pct"/>
            <w:vAlign w:val="center"/>
          </w:tcPr>
          <w:p>
            <w:pPr>
              <w:autoSpaceDE w:val="0"/>
              <w:autoSpaceDN w:val="0"/>
              <w:adjustRightInd w:val="0"/>
              <w:jc w:val="center"/>
              <w:textAlignment w:val="bottom"/>
              <w:rPr>
                <w:rFonts w:hint="eastAsia" w:ascii="仿宋" w:hAnsi="仿宋" w:eastAsia="仿宋" w:cs="仿宋"/>
                <w:kern w:val="0"/>
                <w:sz w:val="24"/>
                <w:szCs w:val="24"/>
              </w:rPr>
            </w:pPr>
          </w:p>
        </w:tc>
      </w:tr>
    </w:tbl>
    <w:p>
      <w:pPr>
        <w:ind w:firstLine="640" w:firstLineChars="200"/>
        <w:jc w:val="left"/>
        <w:rPr>
          <w:rFonts w:eastAsia="黑体"/>
        </w:rPr>
      </w:pPr>
      <w:r>
        <w:rPr>
          <w:rFonts w:hint="eastAsia" w:eastAsia="黑体"/>
        </w:rPr>
        <w:t>三、判定规则</w:t>
      </w:r>
    </w:p>
    <w:p>
      <w:pPr>
        <w:keepNext w:val="0"/>
        <w:keepLines w:val="0"/>
        <w:pageBreakBefore w:val="0"/>
        <w:widowControl w:val="0"/>
        <w:kinsoku/>
        <w:wordWrap/>
        <w:overflowPunct/>
        <w:topLinePunct w:val="0"/>
        <w:bidi w:val="0"/>
        <w:adjustRightInd/>
        <w:snapToGrid/>
        <w:ind w:firstLine="640" w:firstLineChars="200"/>
        <w:jc w:val="left"/>
        <w:textAlignment w:val="auto"/>
        <w:rPr>
          <w:rFonts w:hint="eastAsia" w:ascii="楷体_GB2312" w:hAnsi="楷体_GB2312" w:eastAsia="楷体_GB2312" w:cs="楷体_GB2312"/>
        </w:rPr>
      </w:pPr>
      <w:r>
        <w:rPr>
          <w:rFonts w:hint="eastAsia" w:ascii="楷体_GB2312" w:hAnsi="楷体_GB2312" w:eastAsia="楷体_GB2312" w:cs="楷体_GB2312"/>
        </w:rPr>
        <w:t>（一）依据标准</w:t>
      </w: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GB 11174-2011《液化石油气》</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keepNext w:val="0"/>
        <w:keepLines w:val="0"/>
        <w:pageBreakBefore w:val="0"/>
        <w:widowControl w:val="0"/>
        <w:kinsoku/>
        <w:wordWrap/>
        <w:overflowPunct/>
        <w:topLinePunct w:val="0"/>
        <w:bidi w:val="0"/>
        <w:adjustRightInd/>
        <w:snapToGrid/>
        <w:ind w:firstLine="640" w:firstLineChars="200"/>
        <w:jc w:val="left"/>
        <w:textAlignment w:val="auto"/>
        <w:rPr>
          <w:rFonts w:hint="eastAsia" w:ascii="楷体_GB2312" w:hAnsi="楷体_GB2312" w:eastAsia="楷体_GB2312" w:cs="楷体_GB2312"/>
        </w:rPr>
      </w:pPr>
      <w:r>
        <w:rPr>
          <w:rFonts w:hint="eastAsia" w:ascii="楷体_GB2312" w:hAnsi="楷体_GB2312" w:eastAsia="楷体_GB2312" w:cs="楷体_GB2312"/>
        </w:rPr>
        <w:t>（二）判定原则</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经检验，检验项目全部合格，判定为被抽查产品合格；检验项目中任一项或一项以上不合格，判定为被抽查产品不合格。</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当被检产品明示的质量要求缺少本细则中检验项目依据的强制性标准要求时，应按照强制性标准要求判定。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bookmarkStart w:id="0" w:name="_GoBack"/>
      <w:bookmarkEnd w:id="0"/>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按照产品质量相关法律法规的规定判定。</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065C2"/>
    <w:multiLevelType w:val="multilevel"/>
    <w:tmpl w:val="06F065C2"/>
    <w:lvl w:ilvl="0" w:tentative="0">
      <w:start w:val="1"/>
      <w:numFmt w:val="decimal"/>
      <w:lvlText w:val="%1"/>
      <w:lvlJc w:val="center"/>
      <w:pPr>
        <w:tabs>
          <w:tab w:val="left" w:pos="0"/>
        </w:tabs>
        <w:ind w:left="0" w:firstLine="17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5045D"/>
    <w:rsid w:val="00063BD5"/>
    <w:rsid w:val="00092ABD"/>
    <w:rsid w:val="00116270"/>
    <w:rsid w:val="00120EFB"/>
    <w:rsid w:val="001221DB"/>
    <w:rsid w:val="00192BBD"/>
    <w:rsid w:val="001F5DD4"/>
    <w:rsid w:val="00201CDD"/>
    <w:rsid w:val="00223348"/>
    <w:rsid w:val="00250DFA"/>
    <w:rsid w:val="002923B9"/>
    <w:rsid w:val="00294579"/>
    <w:rsid w:val="00310C73"/>
    <w:rsid w:val="0039338B"/>
    <w:rsid w:val="004015F5"/>
    <w:rsid w:val="004757C1"/>
    <w:rsid w:val="004A5090"/>
    <w:rsid w:val="004B2573"/>
    <w:rsid w:val="00544BE4"/>
    <w:rsid w:val="00592C01"/>
    <w:rsid w:val="005A0994"/>
    <w:rsid w:val="006238A1"/>
    <w:rsid w:val="00624315"/>
    <w:rsid w:val="00695250"/>
    <w:rsid w:val="006D4F7A"/>
    <w:rsid w:val="006D505E"/>
    <w:rsid w:val="006F4E7D"/>
    <w:rsid w:val="00732793"/>
    <w:rsid w:val="00735F9B"/>
    <w:rsid w:val="0074286E"/>
    <w:rsid w:val="00752F93"/>
    <w:rsid w:val="0075545D"/>
    <w:rsid w:val="00772066"/>
    <w:rsid w:val="007914F7"/>
    <w:rsid w:val="007A0EE2"/>
    <w:rsid w:val="007A10C3"/>
    <w:rsid w:val="007B0EC6"/>
    <w:rsid w:val="007F204B"/>
    <w:rsid w:val="00841ED0"/>
    <w:rsid w:val="00895950"/>
    <w:rsid w:val="008C102E"/>
    <w:rsid w:val="008C280B"/>
    <w:rsid w:val="008F74C7"/>
    <w:rsid w:val="00926BC7"/>
    <w:rsid w:val="0097535A"/>
    <w:rsid w:val="009F07C3"/>
    <w:rsid w:val="00A02A33"/>
    <w:rsid w:val="00A40122"/>
    <w:rsid w:val="00A66D10"/>
    <w:rsid w:val="00A97411"/>
    <w:rsid w:val="00AC1C38"/>
    <w:rsid w:val="00B25DB1"/>
    <w:rsid w:val="00B27CAB"/>
    <w:rsid w:val="00B7736F"/>
    <w:rsid w:val="00BA2151"/>
    <w:rsid w:val="00BA664E"/>
    <w:rsid w:val="00BB0B4C"/>
    <w:rsid w:val="00BC667E"/>
    <w:rsid w:val="00BD50D2"/>
    <w:rsid w:val="00C070D8"/>
    <w:rsid w:val="00C17D35"/>
    <w:rsid w:val="00C4082C"/>
    <w:rsid w:val="00C450FD"/>
    <w:rsid w:val="00C512B6"/>
    <w:rsid w:val="00CC19A7"/>
    <w:rsid w:val="00D1464E"/>
    <w:rsid w:val="00D224DD"/>
    <w:rsid w:val="00D357A6"/>
    <w:rsid w:val="00D554F8"/>
    <w:rsid w:val="00D629E1"/>
    <w:rsid w:val="00E54840"/>
    <w:rsid w:val="00E56737"/>
    <w:rsid w:val="00E61CE3"/>
    <w:rsid w:val="00E72969"/>
    <w:rsid w:val="00E94DFB"/>
    <w:rsid w:val="00E9624B"/>
    <w:rsid w:val="00E977EC"/>
    <w:rsid w:val="00EC3EBE"/>
    <w:rsid w:val="00EE24A1"/>
    <w:rsid w:val="00F1323C"/>
    <w:rsid w:val="00F41A3B"/>
    <w:rsid w:val="00F5376E"/>
    <w:rsid w:val="00F60942"/>
    <w:rsid w:val="00F8007C"/>
    <w:rsid w:val="00FA7094"/>
    <w:rsid w:val="00FA791E"/>
    <w:rsid w:val="00FB22F7"/>
    <w:rsid w:val="00FD45AF"/>
    <w:rsid w:val="00FE6536"/>
    <w:rsid w:val="509962D4"/>
    <w:rsid w:val="5BEB6052"/>
    <w:rsid w:val="64DB2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0"/>
    <w:rPr>
      <w:rFonts w:ascii="方正小标宋简体" w:eastAsia="方正小标宋简体"/>
      <w:kern w:val="44"/>
      <w:sz w:val="38"/>
      <w:szCs w:val="24"/>
    </w:rPr>
  </w:style>
  <w:style w:type="character" w:customStyle="1" w:styleId="10">
    <w:name w:val="纯文本 Char"/>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uiPriority w:val="0"/>
    <w:rPr>
      <w:rFonts w:eastAsia="仿宋_GB2312"/>
      <w:kern w:val="2"/>
      <w:sz w:val="18"/>
      <w:szCs w:val="18"/>
    </w:rPr>
  </w:style>
  <w:style w:type="character" w:customStyle="1" w:styleId="15">
    <w:name w:val="页脚 Char"/>
    <w:basedOn w:val="8"/>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181</Words>
  <Characters>1036</Characters>
  <Lines>8</Lines>
  <Paragraphs>2</Paragraphs>
  <TotalTime>103</TotalTime>
  <ScaleCrop>false</ScaleCrop>
  <LinksUpToDate>false</LinksUpToDate>
  <CharactersWithSpaces>1215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2023-05-10T09:01:32Z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3CF724628FBA48F6952CC798CA193924</vt:lpwstr>
  </property>
</Properties>
</file>