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20" w:lineRule="exact"/>
        <w:jc w:val="center"/>
        <w:rPr>
          <w:rFonts w:hint="eastAsia" w:ascii="Times New Roman" w:hAnsi="Times New Roman" w:eastAsia="方正小标宋简体" w:cs="方正小标宋简体"/>
          <w:b w:val="0"/>
          <w:bCs/>
          <w:color w:val="000000"/>
          <w:sz w:val="44"/>
          <w:szCs w:val="44"/>
        </w:rPr>
      </w:pPr>
      <w:r>
        <w:rPr>
          <w:rFonts w:hint="eastAsia" w:eastAsia="方正小标宋简体" w:cs="方正小标宋简体"/>
          <w:b w:val="0"/>
          <w:bCs/>
          <w:color w:val="000000"/>
          <w:sz w:val="44"/>
          <w:szCs w:val="44"/>
          <w:lang w:eastAsia="zh-CN"/>
        </w:rPr>
        <w:t>珠海市无机化工</w:t>
      </w:r>
      <w:r>
        <w:rPr>
          <w:rFonts w:hint="eastAsia" w:ascii="Times New Roman" w:hAnsi="Times New Roman" w:eastAsia="方正小标宋简体" w:cs="方正小标宋简体"/>
          <w:b w:val="0"/>
          <w:bCs/>
          <w:color w:val="000000"/>
          <w:sz w:val="44"/>
          <w:szCs w:val="44"/>
        </w:rPr>
        <w:t>产品质量监督抽查实施细则</w:t>
      </w:r>
    </w:p>
    <w:p>
      <w:pPr>
        <w:pStyle w:val="2"/>
        <w:jc w:val="left"/>
        <w:rPr>
          <w:rFonts w:hint="eastAsia" w:ascii="Times New Roman" w:hAnsi="Times New Roman"/>
          <w:b w:val="0"/>
          <w:bCs/>
          <w:color w:val="000000"/>
        </w:rPr>
      </w:pPr>
    </w:p>
    <w:p>
      <w:pPr>
        <w:keepNext w:val="0"/>
        <w:keepLines w:val="0"/>
        <w:pageBreakBefore w:val="0"/>
        <w:kinsoku/>
        <w:wordWrap/>
        <w:overflowPunct/>
        <w:topLinePunct w:val="0"/>
        <w:autoSpaceDE/>
        <w:autoSpaceDN/>
        <w:bidi w:val="0"/>
        <w:adjustRightInd/>
        <w:snapToGrid/>
        <w:spacing w:line="590" w:lineRule="exact"/>
        <w:ind w:firstLine="640" w:firstLineChars="200"/>
        <w:jc w:val="left"/>
        <w:textAlignment w:val="auto"/>
        <w:rPr>
          <w:rFonts w:ascii="Times New Roman" w:hAnsi="Times New Roman" w:eastAsia="黑体" w:cs="黑体"/>
          <w:b w:val="0"/>
          <w:bCs/>
          <w:color w:val="000000"/>
          <w:szCs w:val="32"/>
        </w:rPr>
      </w:pPr>
      <w:r>
        <w:rPr>
          <w:rFonts w:hint="eastAsia" w:ascii="Times New Roman" w:hAnsi="Times New Roman" w:eastAsia="黑体" w:cs="黑体"/>
          <w:b w:val="0"/>
          <w:bCs/>
          <w:color w:val="000000"/>
          <w:szCs w:val="32"/>
        </w:rPr>
        <w:t>一、抽样方法</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szCs w:val="32"/>
        </w:rPr>
      </w:pPr>
      <w:r>
        <w:rPr>
          <w:rFonts w:hint="eastAsia" w:ascii="仿宋" w:hAnsi="仿宋" w:eastAsia="仿宋" w:cs="仿宋"/>
          <w:b w:val="0"/>
          <w:bCs/>
          <w:color w:val="000000"/>
          <w:kern w:val="0"/>
          <w:szCs w:val="32"/>
        </w:rPr>
        <w:t>以随机抽样的方式在被抽查市场主体的待销产品中抽取。</w:t>
      </w:r>
    </w:p>
    <w:p>
      <w:pPr>
        <w:keepNext w:val="0"/>
        <w:keepLines w:val="0"/>
        <w:pageBreakBefore w:val="0"/>
        <w:kinsoku/>
        <w:wordWrap/>
        <w:overflowPunct/>
        <w:topLinePunct w:val="0"/>
        <w:autoSpaceDE/>
        <w:autoSpaceDN/>
        <w:bidi w:val="0"/>
        <w:adjustRightInd/>
        <w:snapToGrid/>
        <w:spacing w:line="590" w:lineRule="exact"/>
        <w:ind w:firstLine="640" w:firstLineChars="200"/>
        <w:jc w:val="left"/>
        <w:textAlignment w:val="auto"/>
        <w:rPr>
          <w:rFonts w:hint="eastAsia" w:ascii="Times New Roman" w:hAnsi="Times New Roman" w:cs="仿宋_GB2312"/>
          <w:b w:val="0"/>
          <w:bCs/>
          <w:color w:val="000000"/>
          <w:szCs w:val="32"/>
        </w:rPr>
      </w:pPr>
      <w:r>
        <w:rPr>
          <w:rFonts w:hint="eastAsia" w:ascii="仿宋" w:hAnsi="仿宋" w:eastAsia="仿宋" w:cs="仿宋"/>
          <w:b w:val="0"/>
          <w:bCs/>
          <w:color w:val="000000"/>
          <w:szCs w:val="32"/>
        </w:rPr>
        <w:t>抽查数量：每款产品抽取2组样本，第1组用于检验，第2组用于备样。每组样本需抽取样品数量如下表所示：</w:t>
      </w:r>
    </w:p>
    <w:p>
      <w:pPr>
        <w:pStyle w:val="2"/>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Times New Roman" w:hAnsi="Times New Roman"/>
          <w:b w:val="0"/>
          <w:bCs/>
          <w:color w:val="000000"/>
        </w:rPr>
      </w:pP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1729"/>
        <w:gridCol w:w="2279"/>
        <w:gridCol w:w="2148"/>
        <w:gridCol w:w="2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18" w:type="pct"/>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序号</w:t>
            </w:r>
          </w:p>
        </w:tc>
        <w:tc>
          <w:tcPr>
            <w:tcW w:w="954" w:type="pct"/>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产品单元</w:t>
            </w:r>
          </w:p>
        </w:tc>
        <w:tc>
          <w:tcPr>
            <w:tcW w:w="1257" w:type="pct"/>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产品名称</w:t>
            </w:r>
          </w:p>
        </w:tc>
        <w:tc>
          <w:tcPr>
            <w:tcW w:w="1185" w:type="pct"/>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第1组数量</w:t>
            </w:r>
          </w:p>
        </w:tc>
        <w:tc>
          <w:tcPr>
            <w:tcW w:w="1182" w:type="pct"/>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18"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1</w:t>
            </w:r>
          </w:p>
        </w:tc>
        <w:tc>
          <w:tcPr>
            <w:tcW w:w="954"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硫酸</w:t>
            </w:r>
          </w:p>
        </w:tc>
        <w:tc>
          <w:tcPr>
            <w:tcW w:w="1257"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工业硫酸</w:t>
            </w:r>
          </w:p>
        </w:tc>
        <w:tc>
          <w:tcPr>
            <w:tcW w:w="1185" w:type="pct"/>
            <w:noWrap w:val="0"/>
            <w:vAlign w:val="center"/>
          </w:tcPr>
          <w:p>
            <w:pPr>
              <w:adjustRightInd w:val="0"/>
              <w:snapToGrid w:val="0"/>
              <w:spacing w:line="590" w:lineRule="exact"/>
              <w:jc w:val="center"/>
              <w:rPr>
                <w:rFonts w:hint="eastAsia" w:ascii="仿宋" w:hAnsi="仿宋" w:eastAsia="仿宋" w:cs="仿宋"/>
                <w:b w:val="0"/>
                <w:bCs/>
                <w:color w:val="000000"/>
                <w:kern w:val="0"/>
                <w:sz w:val="28"/>
                <w:szCs w:val="28"/>
              </w:rPr>
            </w:pPr>
            <w:r>
              <w:rPr>
                <w:rFonts w:hint="eastAsia" w:ascii="仿宋" w:hAnsi="仿宋" w:eastAsia="仿宋" w:cs="仿宋"/>
                <w:b w:val="0"/>
                <w:bCs/>
                <w:color w:val="000000"/>
                <w:kern w:val="0"/>
                <w:sz w:val="28"/>
                <w:szCs w:val="28"/>
              </w:rPr>
              <w:t>500mL</w:t>
            </w:r>
          </w:p>
        </w:tc>
        <w:tc>
          <w:tcPr>
            <w:tcW w:w="1182" w:type="pct"/>
            <w:noWrap w:val="0"/>
            <w:vAlign w:val="center"/>
          </w:tcPr>
          <w:p>
            <w:pPr>
              <w:adjustRightInd w:val="0"/>
              <w:snapToGrid w:val="0"/>
              <w:spacing w:line="590" w:lineRule="exact"/>
              <w:jc w:val="center"/>
              <w:rPr>
                <w:rFonts w:hint="eastAsia" w:ascii="仿宋" w:hAnsi="仿宋" w:eastAsia="仿宋" w:cs="仿宋"/>
                <w:b w:val="0"/>
                <w:bCs/>
                <w:color w:val="000000"/>
                <w:kern w:val="0"/>
                <w:sz w:val="28"/>
                <w:szCs w:val="28"/>
              </w:rPr>
            </w:pPr>
            <w:r>
              <w:rPr>
                <w:rFonts w:hint="eastAsia" w:ascii="仿宋" w:hAnsi="仿宋" w:eastAsia="仿宋" w:cs="仿宋"/>
                <w:b w:val="0"/>
                <w:bCs/>
                <w:color w:val="000000"/>
                <w:kern w:val="0"/>
                <w:sz w:val="28"/>
                <w:szCs w:val="28"/>
              </w:rPr>
              <w:t>500mL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18" w:type="pct"/>
            <w:noWrap w:val="0"/>
            <w:vAlign w:val="center"/>
          </w:tcPr>
          <w:p>
            <w:pPr>
              <w:spacing w:line="400" w:lineRule="exact"/>
              <w:jc w:val="center"/>
              <w:rPr>
                <w:rFonts w:hint="eastAsia" w:ascii="仿宋" w:hAnsi="仿宋" w:eastAsia="仿宋" w:cs="仿宋"/>
                <w:b w:val="0"/>
                <w:bCs/>
                <w:color w:val="000000"/>
                <w:kern w:val="0"/>
                <w:sz w:val="24"/>
                <w:lang w:eastAsia="zh-CN"/>
              </w:rPr>
            </w:pPr>
            <w:r>
              <w:rPr>
                <w:rFonts w:hint="eastAsia" w:ascii="仿宋" w:hAnsi="仿宋" w:eastAsia="仿宋" w:cs="仿宋"/>
                <w:b w:val="0"/>
                <w:bCs/>
                <w:color w:val="000000"/>
                <w:kern w:val="0"/>
                <w:sz w:val="24"/>
                <w:lang w:val="en-US" w:eastAsia="zh-CN"/>
              </w:rPr>
              <w:t>2</w:t>
            </w:r>
          </w:p>
        </w:tc>
        <w:tc>
          <w:tcPr>
            <w:tcW w:w="954"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醛、酮、醚</w:t>
            </w:r>
          </w:p>
        </w:tc>
        <w:tc>
          <w:tcPr>
            <w:tcW w:w="1257"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工业甲醛溶液</w:t>
            </w:r>
          </w:p>
        </w:tc>
        <w:tc>
          <w:tcPr>
            <w:tcW w:w="1185" w:type="pct"/>
            <w:noWrap w:val="0"/>
            <w:vAlign w:val="center"/>
          </w:tcPr>
          <w:p>
            <w:pPr>
              <w:adjustRightInd w:val="0"/>
              <w:snapToGrid w:val="0"/>
              <w:spacing w:line="590" w:lineRule="exact"/>
              <w:jc w:val="center"/>
              <w:rPr>
                <w:rFonts w:hint="eastAsia" w:ascii="仿宋" w:hAnsi="仿宋" w:eastAsia="仿宋" w:cs="仿宋"/>
                <w:b w:val="0"/>
                <w:bCs/>
                <w:color w:val="000000"/>
                <w:kern w:val="0"/>
                <w:sz w:val="28"/>
                <w:szCs w:val="28"/>
              </w:rPr>
            </w:pPr>
            <w:r>
              <w:rPr>
                <w:rFonts w:hint="eastAsia" w:ascii="仿宋" w:hAnsi="仿宋" w:eastAsia="仿宋" w:cs="仿宋"/>
                <w:b w:val="0"/>
                <w:bCs/>
                <w:color w:val="000000"/>
                <w:kern w:val="0"/>
                <w:sz w:val="28"/>
                <w:szCs w:val="28"/>
              </w:rPr>
              <w:t>500mL</w:t>
            </w:r>
          </w:p>
        </w:tc>
        <w:tc>
          <w:tcPr>
            <w:tcW w:w="1182" w:type="pct"/>
            <w:noWrap w:val="0"/>
            <w:vAlign w:val="center"/>
          </w:tcPr>
          <w:p>
            <w:pPr>
              <w:adjustRightInd w:val="0"/>
              <w:snapToGrid w:val="0"/>
              <w:spacing w:line="590" w:lineRule="exact"/>
              <w:jc w:val="center"/>
              <w:rPr>
                <w:rFonts w:hint="eastAsia" w:ascii="仿宋" w:hAnsi="仿宋" w:eastAsia="仿宋" w:cs="仿宋"/>
                <w:b w:val="0"/>
                <w:bCs/>
                <w:color w:val="000000"/>
                <w:kern w:val="0"/>
                <w:sz w:val="28"/>
                <w:szCs w:val="28"/>
              </w:rPr>
            </w:pPr>
            <w:r>
              <w:rPr>
                <w:rFonts w:hint="eastAsia" w:ascii="仿宋" w:hAnsi="仿宋" w:eastAsia="仿宋" w:cs="仿宋"/>
                <w:b w:val="0"/>
                <w:bCs/>
                <w:color w:val="000000"/>
                <w:kern w:val="0"/>
                <w:sz w:val="28"/>
                <w:szCs w:val="28"/>
              </w:rPr>
              <w:t>500mL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18" w:type="pct"/>
            <w:noWrap w:val="0"/>
            <w:vAlign w:val="center"/>
          </w:tcPr>
          <w:p>
            <w:pPr>
              <w:spacing w:line="400" w:lineRule="exact"/>
              <w:jc w:val="center"/>
              <w:rPr>
                <w:rFonts w:hint="eastAsia" w:ascii="仿宋" w:hAnsi="仿宋" w:eastAsia="仿宋" w:cs="仿宋"/>
                <w:b w:val="0"/>
                <w:bCs/>
                <w:color w:val="000000"/>
                <w:kern w:val="0"/>
                <w:sz w:val="24"/>
                <w:lang w:eastAsia="zh-CN"/>
              </w:rPr>
            </w:pPr>
            <w:r>
              <w:rPr>
                <w:rFonts w:hint="eastAsia" w:ascii="仿宋" w:hAnsi="仿宋" w:eastAsia="仿宋" w:cs="仿宋"/>
                <w:b w:val="0"/>
                <w:bCs/>
                <w:color w:val="000000"/>
                <w:kern w:val="0"/>
                <w:sz w:val="24"/>
                <w:lang w:val="en-US" w:eastAsia="zh-CN"/>
              </w:rPr>
              <w:t>3</w:t>
            </w:r>
          </w:p>
        </w:tc>
        <w:tc>
          <w:tcPr>
            <w:tcW w:w="954"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无机液体试剂</w:t>
            </w:r>
          </w:p>
        </w:tc>
        <w:tc>
          <w:tcPr>
            <w:tcW w:w="1257"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化学试剂 盐酸</w:t>
            </w:r>
          </w:p>
        </w:tc>
        <w:tc>
          <w:tcPr>
            <w:tcW w:w="1185" w:type="pct"/>
            <w:noWrap w:val="0"/>
            <w:vAlign w:val="center"/>
          </w:tcPr>
          <w:p>
            <w:pPr>
              <w:adjustRightInd w:val="0"/>
              <w:snapToGrid w:val="0"/>
              <w:spacing w:line="590" w:lineRule="exact"/>
              <w:jc w:val="center"/>
              <w:rPr>
                <w:rFonts w:hint="eastAsia" w:ascii="仿宋" w:hAnsi="仿宋" w:eastAsia="仿宋" w:cs="仿宋"/>
                <w:b w:val="0"/>
                <w:bCs/>
                <w:color w:val="000000"/>
                <w:kern w:val="0"/>
                <w:sz w:val="28"/>
                <w:szCs w:val="28"/>
              </w:rPr>
            </w:pPr>
            <w:r>
              <w:rPr>
                <w:rFonts w:hint="eastAsia" w:ascii="仿宋" w:hAnsi="仿宋" w:eastAsia="仿宋" w:cs="仿宋"/>
                <w:b w:val="0"/>
                <w:bCs/>
                <w:color w:val="000000"/>
                <w:kern w:val="0"/>
                <w:sz w:val="28"/>
                <w:szCs w:val="28"/>
              </w:rPr>
              <w:t>500mL</w:t>
            </w:r>
          </w:p>
        </w:tc>
        <w:tc>
          <w:tcPr>
            <w:tcW w:w="1182" w:type="pct"/>
            <w:noWrap w:val="0"/>
            <w:vAlign w:val="center"/>
          </w:tcPr>
          <w:p>
            <w:pPr>
              <w:adjustRightInd w:val="0"/>
              <w:snapToGrid w:val="0"/>
              <w:spacing w:line="590" w:lineRule="exact"/>
              <w:jc w:val="center"/>
              <w:rPr>
                <w:rFonts w:hint="eastAsia" w:ascii="仿宋" w:hAnsi="仿宋" w:eastAsia="仿宋" w:cs="仿宋"/>
                <w:b w:val="0"/>
                <w:bCs/>
                <w:color w:val="000000"/>
                <w:kern w:val="0"/>
                <w:sz w:val="28"/>
                <w:szCs w:val="28"/>
              </w:rPr>
            </w:pPr>
            <w:r>
              <w:rPr>
                <w:rFonts w:hint="eastAsia" w:ascii="仿宋" w:hAnsi="仿宋" w:eastAsia="仿宋" w:cs="仿宋"/>
                <w:b w:val="0"/>
                <w:bCs/>
                <w:color w:val="000000"/>
                <w:kern w:val="0"/>
                <w:sz w:val="28"/>
                <w:szCs w:val="28"/>
              </w:rPr>
              <w:t>500mL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18" w:type="pct"/>
            <w:noWrap w:val="0"/>
            <w:vAlign w:val="center"/>
          </w:tcPr>
          <w:p>
            <w:pPr>
              <w:spacing w:line="400" w:lineRule="exact"/>
              <w:jc w:val="center"/>
              <w:rPr>
                <w:rFonts w:hint="eastAsia" w:ascii="仿宋" w:hAnsi="仿宋" w:eastAsia="仿宋" w:cs="仿宋"/>
                <w:b w:val="0"/>
                <w:bCs/>
                <w:color w:val="000000"/>
                <w:kern w:val="0"/>
                <w:sz w:val="24"/>
                <w:lang w:eastAsia="zh-CN"/>
              </w:rPr>
            </w:pPr>
            <w:r>
              <w:rPr>
                <w:rFonts w:hint="eastAsia" w:ascii="仿宋" w:hAnsi="仿宋" w:eastAsia="仿宋" w:cs="仿宋"/>
                <w:b w:val="0"/>
                <w:bCs/>
                <w:color w:val="000000"/>
                <w:kern w:val="0"/>
                <w:sz w:val="24"/>
                <w:lang w:val="en-US" w:eastAsia="zh-CN"/>
              </w:rPr>
              <w:t>4</w:t>
            </w:r>
          </w:p>
        </w:tc>
        <w:tc>
          <w:tcPr>
            <w:tcW w:w="954"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无机液体试剂</w:t>
            </w:r>
          </w:p>
        </w:tc>
        <w:tc>
          <w:tcPr>
            <w:tcW w:w="1257"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化学试剂 硫酸</w:t>
            </w:r>
          </w:p>
        </w:tc>
        <w:tc>
          <w:tcPr>
            <w:tcW w:w="1185" w:type="pct"/>
            <w:noWrap w:val="0"/>
            <w:vAlign w:val="center"/>
          </w:tcPr>
          <w:p>
            <w:pPr>
              <w:adjustRightInd w:val="0"/>
              <w:snapToGrid w:val="0"/>
              <w:spacing w:line="590" w:lineRule="exact"/>
              <w:jc w:val="center"/>
              <w:rPr>
                <w:rFonts w:hint="eastAsia" w:ascii="仿宋" w:hAnsi="仿宋" w:eastAsia="仿宋" w:cs="仿宋"/>
                <w:b w:val="0"/>
                <w:bCs/>
                <w:color w:val="000000"/>
                <w:kern w:val="0"/>
                <w:sz w:val="28"/>
                <w:szCs w:val="28"/>
              </w:rPr>
            </w:pPr>
            <w:r>
              <w:rPr>
                <w:rFonts w:hint="eastAsia" w:ascii="仿宋" w:hAnsi="仿宋" w:eastAsia="仿宋" w:cs="仿宋"/>
                <w:b w:val="0"/>
                <w:bCs/>
                <w:color w:val="000000"/>
                <w:kern w:val="0"/>
                <w:sz w:val="28"/>
                <w:szCs w:val="28"/>
              </w:rPr>
              <w:t>500mL</w:t>
            </w:r>
          </w:p>
        </w:tc>
        <w:tc>
          <w:tcPr>
            <w:tcW w:w="1182" w:type="pct"/>
            <w:noWrap w:val="0"/>
            <w:vAlign w:val="center"/>
          </w:tcPr>
          <w:p>
            <w:pPr>
              <w:adjustRightInd w:val="0"/>
              <w:snapToGrid w:val="0"/>
              <w:spacing w:line="590" w:lineRule="exact"/>
              <w:jc w:val="center"/>
              <w:rPr>
                <w:rFonts w:hint="eastAsia" w:ascii="仿宋" w:hAnsi="仿宋" w:eastAsia="仿宋" w:cs="仿宋"/>
                <w:b w:val="0"/>
                <w:bCs/>
                <w:color w:val="000000"/>
                <w:kern w:val="0"/>
                <w:sz w:val="28"/>
                <w:szCs w:val="28"/>
              </w:rPr>
            </w:pPr>
            <w:r>
              <w:rPr>
                <w:rFonts w:hint="eastAsia" w:ascii="仿宋" w:hAnsi="仿宋" w:eastAsia="仿宋" w:cs="仿宋"/>
                <w:b w:val="0"/>
                <w:bCs/>
                <w:color w:val="000000"/>
                <w:kern w:val="0"/>
                <w:sz w:val="28"/>
                <w:szCs w:val="28"/>
              </w:rPr>
              <w:t>500mL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18" w:type="pct"/>
            <w:noWrap w:val="0"/>
            <w:vAlign w:val="center"/>
          </w:tcPr>
          <w:p>
            <w:pPr>
              <w:spacing w:line="400" w:lineRule="exact"/>
              <w:jc w:val="center"/>
              <w:rPr>
                <w:rFonts w:hint="eastAsia" w:ascii="仿宋" w:hAnsi="仿宋" w:eastAsia="仿宋" w:cs="仿宋"/>
                <w:b w:val="0"/>
                <w:bCs/>
                <w:color w:val="000000"/>
                <w:kern w:val="0"/>
                <w:sz w:val="24"/>
                <w:lang w:eastAsia="zh-CN"/>
              </w:rPr>
            </w:pPr>
            <w:r>
              <w:rPr>
                <w:rFonts w:hint="eastAsia" w:ascii="仿宋" w:hAnsi="仿宋" w:eastAsia="仿宋" w:cs="仿宋"/>
                <w:b w:val="0"/>
                <w:bCs/>
                <w:color w:val="000000"/>
                <w:kern w:val="0"/>
                <w:sz w:val="24"/>
                <w:lang w:val="en-US" w:eastAsia="zh-CN"/>
              </w:rPr>
              <w:t>5</w:t>
            </w:r>
          </w:p>
        </w:tc>
        <w:tc>
          <w:tcPr>
            <w:tcW w:w="954"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无机液体试剂</w:t>
            </w:r>
          </w:p>
        </w:tc>
        <w:tc>
          <w:tcPr>
            <w:tcW w:w="1257"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化学试剂 硝酸</w:t>
            </w:r>
          </w:p>
        </w:tc>
        <w:tc>
          <w:tcPr>
            <w:tcW w:w="1185" w:type="pct"/>
            <w:noWrap w:val="0"/>
            <w:vAlign w:val="center"/>
          </w:tcPr>
          <w:p>
            <w:pPr>
              <w:adjustRightInd w:val="0"/>
              <w:snapToGrid w:val="0"/>
              <w:spacing w:line="590" w:lineRule="exact"/>
              <w:jc w:val="center"/>
              <w:rPr>
                <w:rFonts w:hint="eastAsia" w:ascii="仿宋" w:hAnsi="仿宋" w:eastAsia="仿宋" w:cs="仿宋"/>
                <w:b w:val="0"/>
                <w:bCs/>
                <w:color w:val="000000"/>
                <w:kern w:val="0"/>
                <w:sz w:val="28"/>
                <w:szCs w:val="28"/>
              </w:rPr>
            </w:pPr>
            <w:r>
              <w:rPr>
                <w:rFonts w:hint="eastAsia" w:ascii="仿宋" w:hAnsi="仿宋" w:eastAsia="仿宋" w:cs="仿宋"/>
                <w:b w:val="0"/>
                <w:bCs/>
                <w:color w:val="000000"/>
                <w:kern w:val="0"/>
                <w:sz w:val="28"/>
                <w:szCs w:val="28"/>
              </w:rPr>
              <w:t>500mL</w:t>
            </w:r>
          </w:p>
        </w:tc>
        <w:tc>
          <w:tcPr>
            <w:tcW w:w="1182" w:type="pct"/>
            <w:noWrap w:val="0"/>
            <w:vAlign w:val="center"/>
          </w:tcPr>
          <w:p>
            <w:pPr>
              <w:adjustRightInd w:val="0"/>
              <w:snapToGrid w:val="0"/>
              <w:spacing w:line="590" w:lineRule="exact"/>
              <w:jc w:val="center"/>
              <w:rPr>
                <w:rFonts w:hint="eastAsia" w:ascii="仿宋" w:hAnsi="仿宋" w:eastAsia="仿宋" w:cs="仿宋"/>
                <w:b w:val="0"/>
                <w:bCs/>
                <w:color w:val="000000"/>
                <w:kern w:val="0"/>
                <w:sz w:val="28"/>
                <w:szCs w:val="28"/>
              </w:rPr>
            </w:pPr>
            <w:r>
              <w:rPr>
                <w:rFonts w:hint="eastAsia" w:ascii="仿宋" w:hAnsi="仿宋" w:eastAsia="仿宋" w:cs="仿宋"/>
                <w:b w:val="0"/>
                <w:bCs/>
                <w:color w:val="000000"/>
                <w:kern w:val="0"/>
                <w:sz w:val="28"/>
                <w:szCs w:val="28"/>
              </w:rPr>
              <w:t>500mL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18" w:type="pct"/>
            <w:noWrap w:val="0"/>
            <w:vAlign w:val="center"/>
          </w:tcPr>
          <w:p>
            <w:pPr>
              <w:spacing w:line="400" w:lineRule="exact"/>
              <w:jc w:val="center"/>
              <w:rPr>
                <w:rFonts w:hint="eastAsia" w:ascii="仿宋" w:hAnsi="仿宋" w:eastAsia="仿宋" w:cs="仿宋"/>
                <w:b w:val="0"/>
                <w:bCs/>
                <w:color w:val="000000"/>
                <w:kern w:val="0"/>
                <w:sz w:val="24"/>
                <w:lang w:eastAsia="zh-CN"/>
              </w:rPr>
            </w:pPr>
            <w:r>
              <w:rPr>
                <w:rFonts w:hint="eastAsia" w:ascii="仿宋" w:hAnsi="仿宋" w:eastAsia="仿宋" w:cs="仿宋"/>
                <w:b w:val="0"/>
                <w:bCs/>
                <w:color w:val="000000"/>
                <w:kern w:val="0"/>
                <w:sz w:val="24"/>
                <w:lang w:val="en-US" w:eastAsia="zh-CN"/>
              </w:rPr>
              <w:t>6</w:t>
            </w:r>
          </w:p>
        </w:tc>
        <w:tc>
          <w:tcPr>
            <w:tcW w:w="954"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无机液体试剂</w:t>
            </w:r>
          </w:p>
        </w:tc>
        <w:tc>
          <w:tcPr>
            <w:tcW w:w="1257" w:type="pct"/>
            <w:noWrap w:val="0"/>
            <w:vAlign w:val="center"/>
          </w:tcPr>
          <w:p>
            <w:pPr>
              <w:spacing w:line="400" w:lineRule="exact"/>
              <w:jc w:val="center"/>
              <w:rPr>
                <w:rFonts w:hint="eastAsia" w:ascii="仿宋" w:hAnsi="仿宋" w:eastAsia="仿宋" w:cs="仿宋"/>
                <w:b w:val="0"/>
                <w:bCs/>
                <w:color w:val="000000"/>
                <w:kern w:val="0"/>
                <w:sz w:val="24"/>
              </w:rPr>
            </w:pPr>
            <w:r>
              <w:rPr>
                <w:rFonts w:hint="eastAsia" w:ascii="仿宋" w:hAnsi="仿宋" w:eastAsia="仿宋" w:cs="仿宋"/>
                <w:b w:val="0"/>
                <w:bCs/>
                <w:color w:val="000000"/>
                <w:kern w:val="0"/>
                <w:sz w:val="24"/>
              </w:rPr>
              <w:t>化学试剂 氨水</w:t>
            </w:r>
          </w:p>
        </w:tc>
        <w:tc>
          <w:tcPr>
            <w:tcW w:w="1185" w:type="pct"/>
            <w:noWrap w:val="0"/>
            <w:vAlign w:val="center"/>
          </w:tcPr>
          <w:p>
            <w:pPr>
              <w:adjustRightInd w:val="0"/>
              <w:snapToGrid w:val="0"/>
              <w:spacing w:line="590" w:lineRule="exact"/>
              <w:jc w:val="center"/>
              <w:rPr>
                <w:rFonts w:hint="eastAsia" w:ascii="仿宋" w:hAnsi="仿宋" w:eastAsia="仿宋" w:cs="仿宋"/>
                <w:b w:val="0"/>
                <w:bCs/>
                <w:color w:val="000000"/>
                <w:kern w:val="0"/>
                <w:sz w:val="28"/>
                <w:szCs w:val="28"/>
              </w:rPr>
            </w:pPr>
            <w:r>
              <w:rPr>
                <w:rFonts w:hint="eastAsia" w:ascii="仿宋" w:hAnsi="仿宋" w:eastAsia="仿宋" w:cs="仿宋"/>
                <w:b w:val="0"/>
                <w:bCs/>
                <w:color w:val="000000"/>
                <w:kern w:val="0"/>
                <w:sz w:val="28"/>
                <w:szCs w:val="28"/>
              </w:rPr>
              <w:t>500mL</w:t>
            </w:r>
          </w:p>
        </w:tc>
        <w:tc>
          <w:tcPr>
            <w:tcW w:w="1182" w:type="pct"/>
            <w:noWrap w:val="0"/>
            <w:vAlign w:val="center"/>
          </w:tcPr>
          <w:p>
            <w:pPr>
              <w:adjustRightInd w:val="0"/>
              <w:snapToGrid w:val="0"/>
              <w:spacing w:line="590" w:lineRule="exact"/>
              <w:jc w:val="center"/>
              <w:rPr>
                <w:rFonts w:hint="eastAsia" w:ascii="仿宋" w:hAnsi="仿宋" w:eastAsia="仿宋" w:cs="仿宋"/>
                <w:b w:val="0"/>
                <w:bCs/>
                <w:color w:val="000000"/>
                <w:kern w:val="0"/>
                <w:sz w:val="28"/>
                <w:szCs w:val="28"/>
              </w:rPr>
            </w:pPr>
            <w:r>
              <w:rPr>
                <w:rFonts w:hint="eastAsia" w:ascii="仿宋" w:hAnsi="仿宋" w:eastAsia="仿宋" w:cs="仿宋"/>
                <w:b w:val="0"/>
                <w:bCs/>
                <w:color w:val="000000"/>
                <w:kern w:val="0"/>
                <w:sz w:val="28"/>
                <w:szCs w:val="28"/>
              </w:rPr>
              <w:t>500mL</w:t>
            </w:r>
          </w:p>
        </w:tc>
      </w:tr>
    </w:tbl>
    <w:p>
      <w:pPr>
        <w:spacing w:line="590" w:lineRule="exact"/>
        <w:ind w:firstLine="640" w:firstLineChars="200"/>
        <w:jc w:val="left"/>
        <w:rPr>
          <w:rFonts w:hint="eastAsia" w:ascii="Times New Roman" w:hAnsi="Times New Roman" w:eastAsia="黑体" w:cs="黑体"/>
          <w:b w:val="0"/>
          <w:bCs/>
          <w:color w:val="000000"/>
          <w:szCs w:val="32"/>
        </w:rPr>
      </w:pPr>
      <w:r>
        <w:rPr>
          <w:rFonts w:hint="eastAsia" w:ascii="Times New Roman" w:hAnsi="Times New Roman" w:eastAsia="黑体" w:cs="黑体"/>
          <w:b w:val="0"/>
          <w:bCs/>
          <w:color w:val="000000"/>
          <w:szCs w:val="32"/>
        </w:rPr>
        <w:t>二、主要检验项目及检验项目属性划分</w:t>
      </w:r>
    </w:p>
    <w:p>
      <w:pPr>
        <w:spacing w:line="360" w:lineRule="auto"/>
        <w:ind w:firstLine="640" w:firstLineChars="200"/>
        <w:jc w:val="left"/>
        <w:rPr>
          <w:rFonts w:hint="eastAsia" w:ascii="楷体_GB2312" w:hAnsi="楷体_GB2312" w:eastAsia="楷体_GB2312" w:cs="楷体_GB2312"/>
          <w:b w:val="0"/>
          <w:bCs/>
          <w:color w:val="000000"/>
          <w:szCs w:val="32"/>
        </w:rPr>
      </w:pPr>
      <w:r>
        <w:rPr>
          <w:rFonts w:hint="eastAsia" w:ascii="楷体_GB2312" w:hAnsi="楷体_GB2312" w:eastAsia="楷体_GB2312" w:cs="楷体_GB2312"/>
          <w:b w:val="0"/>
          <w:bCs/>
          <w:color w:val="000000"/>
          <w:szCs w:val="32"/>
          <w:lang w:eastAsia="zh-CN"/>
        </w:rPr>
        <w:t>（一）</w:t>
      </w:r>
      <w:r>
        <w:rPr>
          <w:rFonts w:hint="eastAsia" w:ascii="楷体_GB2312" w:hAnsi="楷体_GB2312" w:eastAsia="楷体_GB2312" w:cs="楷体_GB2312"/>
          <w:b w:val="0"/>
          <w:bCs/>
          <w:color w:val="000000"/>
          <w:szCs w:val="32"/>
          <w:lang w:val="en-US" w:eastAsia="zh-CN"/>
        </w:rPr>
        <w:t>1.</w:t>
      </w:r>
      <w:r>
        <w:rPr>
          <w:rFonts w:hint="eastAsia" w:ascii="楷体_GB2312" w:hAnsi="楷体_GB2312" w:eastAsia="楷体_GB2312" w:cs="楷体_GB2312"/>
          <w:b w:val="0"/>
          <w:bCs/>
          <w:color w:val="000000"/>
          <w:szCs w:val="32"/>
        </w:rPr>
        <w:t>工业硫酸（浓硫酸）</w:t>
      </w:r>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2877"/>
        <w:gridCol w:w="2054"/>
        <w:gridCol w:w="631"/>
        <w:gridCol w:w="669"/>
        <w:gridCol w:w="662"/>
        <w:gridCol w:w="800"/>
        <w:gridCol w:w="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43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序号</w:t>
            </w:r>
          </w:p>
        </w:tc>
        <w:tc>
          <w:tcPr>
            <w:tcW w:w="158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检验项目</w:t>
            </w:r>
          </w:p>
        </w:tc>
        <w:tc>
          <w:tcPr>
            <w:tcW w:w="113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检验方法</w:t>
            </w:r>
          </w:p>
        </w:tc>
        <w:tc>
          <w:tcPr>
            <w:tcW w:w="348"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强制性</w:t>
            </w:r>
          </w:p>
        </w:tc>
        <w:tc>
          <w:tcPr>
            <w:tcW w:w="369"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非强制性</w:t>
            </w:r>
          </w:p>
        </w:tc>
        <w:tc>
          <w:tcPr>
            <w:tcW w:w="365"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重要项</w:t>
            </w:r>
          </w:p>
        </w:tc>
        <w:tc>
          <w:tcPr>
            <w:tcW w:w="441"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较重要项</w:t>
            </w:r>
          </w:p>
        </w:tc>
        <w:tc>
          <w:tcPr>
            <w:tcW w:w="31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w:t>
            </w:r>
          </w:p>
        </w:tc>
        <w:tc>
          <w:tcPr>
            <w:tcW w:w="158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硫酸</w:t>
            </w:r>
          </w:p>
        </w:tc>
        <w:tc>
          <w:tcPr>
            <w:tcW w:w="113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GB/T 534-2014</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41"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p>
        </w:tc>
        <w:tc>
          <w:tcPr>
            <w:tcW w:w="31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2</w:t>
            </w:r>
          </w:p>
        </w:tc>
        <w:tc>
          <w:tcPr>
            <w:tcW w:w="158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灰分</w:t>
            </w:r>
          </w:p>
        </w:tc>
        <w:tc>
          <w:tcPr>
            <w:tcW w:w="113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GB/T 534-2014</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41"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1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3</w:t>
            </w:r>
          </w:p>
        </w:tc>
        <w:tc>
          <w:tcPr>
            <w:tcW w:w="158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铁(合格品不测)</w:t>
            </w:r>
          </w:p>
        </w:tc>
        <w:tc>
          <w:tcPr>
            <w:tcW w:w="1133"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534-2014</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41"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1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4</w:t>
            </w:r>
          </w:p>
        </w:tc>
        <w:tc>
          <w:tcPr>
            <w:tcW w:w="158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砷</w:t>
            </w:r>
          </w:p>
        </w:tc>
        <w:tc>
          <w:tcPr>
            <w:tcW w:w="1133"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534-2014</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41"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1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5</w:t>
            </w:r>
          </w:p>
        </w:tc>
        <w:tc>
          <w:tcPr>
            <w:tcW w:w="158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铅(合格品不测)</w:t>
            </w:r>
          </w:p>
        </w:tc>
        <w:tc>
          <w:tcPr>
            <w:tcW w:w="1133"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534-2014</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41"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1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6</w:t>
            </w:r>
          </w:p>
        </w:tc>
        <w:tc>
          <w:tcPr>
            <w:tcW w:w="158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汞(合格品不测)</w:t>
            </w:r>
          </w:p>
        </w:tc>
        <w:tc>
          <w:tcPr>
            <w:tcW w:w="1133"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534-2014</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41"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1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7</w:t>
            </w:r>
          </w:p>
        </w:tc>
        <w:tc>
          <w:tcPr>
            <w:tcW w:w="158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透明度(合格品不测)</w:t>
            </w:r>
          </w:p>
        </w:tc>
        <w:tc>
          <w:tcPr>
            <w:tcW w:w="1133"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534-2014</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41"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1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8</w:t>
            </w:r>
          </w:p>
        </w:tc>
        <w:tc>
          <w:tcPr>
            <w:tcW w:w="158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色度(合格品不测)</w:t>
            </w:r>
          </w:p>
        </w:tc>
        <w:tc>
          <w:tcPr>
            <w:tcW w:w="1133"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534-2014</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41"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1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bl>
    <w:p>
      <w:pPr>
        <w:spacing w:line="360" w:lineRule="auto"/>
        <w:ind w:firstLine="640" w:firstLineChars="200"/>
        <w:jc w:val="left"/>
        <w:rPr>
          <w:rFonts w:ascii="Times New Roman" w:hAnsi="Times New Roman" w:cs="仿宋_GB2312"/>
          <w:b w:val="0"/>
          <w:bCs/>
          <w:color w:val="000000"/>
          <w:szCs w:val="32"/>
        </w:rPr>
      </w:pPr>
      <w:r>
        <w:rPr>
          <w:rFonts w:hint="eastAsia" w:ascii="楷体_GB2312" w:hAnsi="楷体_GB2312" w:eastAsia="楷体_GB2312" w:cs="楷体_GB2312"/>
          <w:b w:val="0"/>
          <w:bCs/>
          <w:color w:val="000000"/>
          <w:szCs w:val="32"/>
          <w:lang w:val="en-US" w:eastAsia="zh-CN"/>
        </w:rPr>
        <w:t>2.</w:t>
      </w:r>
      <w:r>
        <w:rPr>
          <w:rFonts w:hint="eastAsia" w:ascii="楷体_GB2312" w:hAnsi="楷体_GB2312" w:eastAsia="楷体_GB2312" w:cs="楷体_GB2312"/>
          <w:b w:val="0"/>
          <w:bCs/>
          <w:color w:val="000000"/>
          <w:szCs w:val="32"/>
        </w:rPr>
        <w:t>工业硫酸（发烟硫酸）</w:t>
      </w: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2982"/>
        <w:gridCol w:w="1983"/>
        <w:gridCol w:w="638"/>
        <w:gridCol w:w="676"/>
        <w:gridCol w:w="669"/>
        <w:gridCol w:w="738"/>
        <w:gridCol w:w="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450"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序号</w:t>
            </w:r>
          </w:p>
        </w:tc>
        <w:tc>
          <w:tcPr>
            <w:tcW w:w="164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检验项目</w:t>
            </w:r>
          </w:p>
        </w:tc>
        <w:tc>
          <w:tcPr>
            <w:tcW w:w="1094"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检验方法</w:t>
            </w:r>
          </w:p>
        </w:tc>
        <w:tc>
          <w:tcPr>
            <w:tcW w:w="352"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强制性</w:t>
            </w:r>
          </w:p>
        </w:tc>
        <w:tc>
          <w:tcPr>
            <w:tcW w:w="373"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非强制性</w:t>
            </w:r>
          </w:p>
        </w:tc>
        <w:tc>
          <w:tcPr>
            <w:tcW w:w="369"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重要项</w:t>
            </w:r>
          </w:p>
        </w:tc>
        <w:tc>
          <w:tcPr>
            <w:tcW w:w="407"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较重要项</w:t>
            </w:r>
          </w:p>
        </w:tc>
        <w:tc>
          <w:tcPr>
            <w:tcW w:w="30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0"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w:t>
            </w:r>
          </w:p>
        </w:tc>
        <w:tc>
          <w:tcPr>
            <w:tcW w:w="164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游离三氧化硫</w:t>
            </w:r>
          </w:p>
        </w:tc>
        <w:tc>
          <w:tcPr>
            <w:tcW w:w="1094"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GB/T 534-2014</w:t>
            </w:r>
          </w:p>
        </w:tc>
        <w:tc>
          <w:tcPr>
            <w:tcW w:w="35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9"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0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p>
        </w:tc>
        <w:tc>
          <w:tcPr>
            <w:tcW w:w="30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0"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2</w:t>
            </w:r>
          </w:p>
        </w:tc>
        <w:tc>
          <w:tcPr>
            <w:tcW w:w="164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灰分</w:t>
            </w:r>
          </w:p>
        </w:tc>
        <w:tc>
          <w:tcPr>
            <w:tcW w:w="1094"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GB/T 534-2014</w:t>
            </w:r>
          </w:p>
        </w:tc>
        <w:tc>
          <w:tcPr>
            <w:tcW w:w="35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9"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0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0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0"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3</w:t>
            </w:r>
          </w:p>
        </w:tc>
        <w:tc>
          <w:tcPr>
            <w:tcW w:w="164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铁</w:t>
            </w:r>
          </w:p>
        </w:tc>
        <w:tc>
          <w:tcPr>
            <w:tcW w:w="1094"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534-2014</w:t>
            </w:r>
          </w:p>
        </w:tc>
        <w:tc>
          <w:tcPr>
            <w:tcW w:w="35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9"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0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0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0"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4</w:t>
            </w:r>
          </w:p>
        </w:tc>
        <w:tc>
          <w:tcPr>
            <w:tcW w:w="164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砷(合格品不测)</w:t>
            </w:r>
          </w:p>
        </w:tc>
        <w:tc>
          <w:tcPr>
            <w:tcW w:w="1094"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534-2014</w:t>
            </w:r>
          </w:p>
        </w:tc>
        <w:tc>
          <w:tcPr>
            <w:tcW w:w="35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9"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0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0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0"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5</w:t>
            </w:r>
          </w:p>
        </w:tc>
        <w:tc>
          <w:tcPr>
            <w:tcW w:w="164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铅(一等品和合格品不测)</w:t>
            </w:r>
          </w:p>
        </w:tc>
        <w:tc>
          <w:tcPr>
            <w:tcW w:w="1094"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534-2014</w:t>
            </w:r>
          </w:p>
        </w:tc>
        <w:tc>
          <w:tcPr>
            <w:tcW w:w="35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9"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0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0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bl>
    <w:p>
      <w:pPr>
        <w:spacing w:line="360" w:lineRule="auto"/>
        <w:ind w:firstLine="640" w:firstLineChars="200"/>
        <w:jc w:val="left"/>
        <w:rPr>
          <w:rFonts w:hint="eastAsia" w:ascii="楷体_GB2312" w:hAnsi="楷体_GB2312" w:eastAsia="楷体_GB2312" w:cs="楷体_GB2312"/>
          <w:b w:val="0"/>
          <w:bCs/>
          <w:color w:val="000000"/>
          <w:szCs w:val="32"/>
        </w:rPr>
      </w:pPr>
      <w:r>
        <w:rPr>
          <w:rFonts w:hint="eastAsia" w:ascii="楷体_GB2312" w:hAnsi="楷体_GB2312" w:eastAsia="楷体_GB2312" w:cs="楷体_GB2312"/>
          <w:b w:val="0"/>
          <w:bCs/>
          <w:color w:val="000000"/>
          <w:szCs w:val="32"/>
          <w:lang w:eastAsia="zh-CN"/>
        </w:rPr>
        <w:t>（二）</w:t>
      </w:r>
      <w:r>
        <w:rPr>
          <w:rFonts w:hint="eastAsia" w:ascii="楷体_GB2312" w:hAnsi="楷体_GB2312" w:eastAsia="楷体_GB2312" w:cs="楷体_GB2312"/>
          <w:b w:val="0"/>
          <w:bCs/>
          <w:color w:val="000000"/>
          <w:szCs w:val="32"/>
        </w:rPr>
        <w:t>工业甲醛溶液</w:t>
      </w:r>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888"/>
        <w:gridCol w:w="2851"/>
        <w:gridCol w:w="643"/>
        <w:gridCol w:w="683"/>
        <w:gridCol w:w="674"/>
        <w:gridCol w:w="904"/>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49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序号</w:t>
            </w:r>
          </w:p>
        </w:tc>
        <w:tc>
          <w:tcPr>
            <w:tcW w:w="104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检验项目</w:t>
            </w:r>
          </w:p>
        </w:tc>
        <w:tc>
          <w:tcPr>
            <w:tcW w:w="157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检验方法</w:t>
            </w:r>
          </w:p>
        </w:tc>
        <w:tc>
          <w:tcPr>
            <w:tcW w:w="355"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强制性</w:t>
            </w:r>
          </w:p>
        </w:tc>
        <w:tc>
          <w:tcPr>
            <w:tcW w:w="377"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非强制性</w:t>
            </w:r>
          </w:p>
        </w:tc>
        <w:tc>
          <w:tcPr>
            <w:tcW w:w="372"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重要项</w:t>
            </w:r>
          </w:p>
        </w:tc>
        <w:tc>
          <w:tcPr>
            <w:tcW w:w="499"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较重要项</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w:t>
            </w:r>
          </w:p>
        </w:tc>
        <w:tc>
          <w:tcPr>
            <w:tcW w:w="1042"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外观</w:t>
            </w:r>
          </w:p>
        </w:tc>
        <w:tc>
          <w:tcPr>
            <w:tcW w:w="1573" w:type="pct"/>
            <w:tcBorders>
              <w:top w:val="single" w:color="auto" w:sz="4" w:space="0"/>
              <w:left w:val="nil"/>
              <w:bottom w:val="single" w:color="auto" w:sz="4" w:space="0"/>
              <w:right w:val="single" w:color="auto" w:sz="4" w:space="0"/>
            </w:tcBorders>
            <w:noWrap w:val="0"/>
            <w:vAlign w:val="center"/>
          </w:tcPr>
          <w:p>
            <w:pPr>
              <w:adjustRightInd w:val="0"/>
              <w:snapToGrid w:val="0"/>
              <w:spacing w:before="60" w:after="6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GB/T9009-2011</w:t>
            </w:r>
          </w:p>
        </w:tc>
        <w:tc>
          <w:tcPr>
            <w:tcW w:w="35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7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9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2</w:t>
            </w:r>
          </w:p>
        </w:tc>
        <w:tc>
          <w:tcPr>
            <w:tcW w:w="1042"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密度</w:t>
            </w:r>
          </w:p>
        </w:tc>
        <w:tc>
          <w:tcPr>
            <w:tcW w:w="1573" w:type="pct"/>
            <w:tcBorders>
              <w:top w:val="single" w:color="auto" w:sz="4" w:space="0"/>
              <w:left w:val="nil"/>
              <w:bottom w:val="single" w:color="auto" w:sz="4" w:space="0"/>
              <w:right w:val="single" w:color="auto" w:sz="4" w:space="0"/>
            </w:tcBorders>
            <w:noWrap w:val="0"/>
            <w:vAlign w:val="center"/>
          </w:tcPr>
          <w:p>
            <w:pPr>
              <w:adjustRightInd w:val="0"/>
              <w:snapToGrid w:val="0"/>
              <w:spacing w:before="60" w:after="6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GB/T9009-2011</w:t>
            </w:r>
          </w:p>
        </w:tc>
        <w:tc>
          <w:tcPr>
            <w:tcW w:w="35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7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9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3</w:t>
            </w:r>
          </w:p>
        </w:tc>
        <w:tc>
          <w:tcPr>
            <w:tcW w:w="1042"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甲醛含量</w:t>
            </w:r>
          </w:p>
        </w:tc>
        <w:tc>
          <w:tcPr>
            <w:tcW w:w="1573" w:type="pct"/>
            <w:tcBorders>
              <w:top w:val="single" w:color="auto" w:sz="4" w:space="0"/>
              <w:left w:val="nil"/>
              <w:bottom w:val="single" w:color="auto" w:sz="4" w:space="0"/>
              <w:right w:val="single" w:color="auto" w:sz="4" w:space="0"/>
            </w:tcBorders>
            <w:noWrap w:val="0"/>
            <w:vAlign w:val="center"/>
          </w:tcPr>
          <w:p>
            <w:pPr>
              <w:adjustRightInd w:val="0"/>
              <w:snapToGrid w:val="0"/>
              <w:spacing w:before="60" w:after="6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GB/T9009-2011</w:t>
            </w:r>
          </w:p>
        </w:tc>
        <w:tc>
          <w:tcPr>
            <w:tcW w:w="35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7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9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4</w:t>
            </w:r>
          </w:p>
        </w:tc>
        <w:tc>
          <w:tcPr>
            <w:tcW w:w="1042"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酸度（以甲酸计）</w:t>
            </w:r>
          </w:p>
        </w:tc>
        <w:tc>
          <w:tcPr>
            <w:tcW w:w="1573" w:type="pct"/>
            <w:tcBorders>
              <w:top w:val="single" w:color="auto" w:sz="4" w:space="0"/>
              <w:left w:val="nil"/>
              <w:bottom w:val="single" w:color="auto" w:sz="4" w:space="0"/>
              <w:right w:val="single" w:color="auto" w:sz="4" w:space="0"/>
            </w:tcBorders>
            <w:noWrap w:val="0"/>
            <w:vAlign w:val="center"/>
          </w:tcPr>
          <w:p>
            <w:pPr>
              <w:adjustRightInd w:val="0"/>
              <w:snapToGrid w:val="0"/>
              <w:spacing w:before="60" w:after="6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GB/T9009-2011</w:t>
            </w:r>
          </w:p>
        </w:tc>
        <w:tc>
          <w:tcPr>
            <w:tcW w:w="35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7"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7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9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5</w:t>
            </w:r>
          </w:p>
        </w:tc>
        <w:tc>
          <w:tcPr>
            <w:tcW w:w="1042"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色度</w:t>
            </w:r>
          </w:p>
        </w:tc>
        <w:tc>
          <w:tcPr>
            <w:tcW w:w="1573" w:type="pct"/>
            <w:tcBorders>
              <w:top w:val="single" w:color="auto" w:sz="4" w:space="0"/>
              <w:left w:val="nil"/>
              <w:bottom w:val="single" w:color="auto" w:sz="4" w:space="0"/>
              <w:right w:val="single" w:color="auto" w:sz="4" w:space="0"/>
            </w:tcBorders>
            <w:noWrap w:val="0"/>
            <w:vAlign w:val="center"/>
          </w:tcPr>
          <w:p>
            <w:pPr>
              <w:adjustRightInd w:val="0"/>
              <w:snapToGrid w:val="0"/>
              <w:spacing w:before="60" w:after="6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GB/T9009-2011</w:t>
            </w:r>
          </w:p>
        </w:tc>
        <w:tc>
          <w:tcPr>
            <w:tcW w:w="35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7"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7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9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6</w:t>
            </w:r>
          </w:p>
        </w:tc>
        <w:tc>
          <w:tcPr>
            <w:tcW w:w="1042"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铁含量</w:t>
            </w:r>
          </w:p>
        </w:tc>
        <w:tc>
          <w:tcPr>
            <w:tcW w:w="1573" w:type="pct"/>
            <w:tcBorders>
              <w:top w:val="single" w:color="auto" w:sz="4" w:space="0"/>
              <w:left w:val="nil"/>
              <w:bottom w:val="single" w:color="auto" w:sz="4" w:space="0"/>
              <w:right w:val="single" w:color="auto" w:sz="4" w:space="0"/>
            </w:tcBorders>
            <w:noWrap w:val="0"/>
            <w:vAlign w:val="center"/>
          </w:tcPr>
          <w:p>
            <w:pPr>
              <w:adjustRightInd w:val="0"/>
              <w:snapToGrid w:val="0"/>
              <w:spacing w:before="60" w:after="6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GB/T9009-2011</w:t>
            </w:r>
          </w:p>
        </w:tc>
        <w:tc>
          <w:tcPr>
            <w:tcW w:w="35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7"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7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9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7</w:t>
            </w:r>
          </w:p>
        </w:tc>
        <w:tc>
          <w:tcPr>
            <w:tcW w:w="1042"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甲醇含量</w:t>
            </w:r>
          </w:p>
        </w:tc>
        <w:tc>
          <w:tcPr>
            <w:tcW w:w="1573" w:type="pct"/>
            <w:tcBorders>
              <w:top w:val="single" w:color="auto" w:sz="4" w:space="0"/>
              <w:left w:val="nil"/>
              <w:bottom w:val="single" w:color="auto" w:sz="4" w:space="0"/>
              <w:right w:val="single" w:color="auto" w:sz="4" w:space="0"/>
            </w:tcBorders>
            <w:noWrap w:val="0"/>
            <w:vAlign w:val="center"/>
          </w:tcPr>
          <w:p>
            <w:pPr>
              <w:adjustRightInd w:val="0"/>
              <w:snapToGrid w:val="0"/>
              <w:spacing w:before="60" w:after="6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GB/T9009-2011</w:t>
            </w:r>
          </w:p>
        </w:tc>
        <w:tc>
          <w:tcPr>
            <w:tcW w:w="35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7"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72"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9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bl>
    <w:p>
      <w:pPr>
        <w:spacing w:line="360" w:lineRule="auto"/>
        <w:ind w:firstLine="640" w:firstLineChars="200"/>
        <w:jc w:val="left"/>
        <w:rPr>
          <w:rFonts w:hint="eastAsia" w:ascii="楷体_GB2312" w:hAnsi="楷体_GB2312" w:eastAsia="楷体_GB2312" w:cs="楷体_GB2312"/>
          <w:b w:val="0"/>
          <w:bCs/>
          <w:color w:val="000000"/>
          <w:szCs w:val="32"/>
        </w:rPr>
      </w:pPr>
      <w:r>
        <w:rPr>
          <w:rFonts w:hint="eastAsia" w:ascii="楷体_GB2312" w:hAnsi="楷体_GB2312" w:eastAsia="楷体_GB2312" w:cs="楷体_GB2312"/>
          <w:b w:val="0"/>
          <w:bCs/>
          <w:color w:val="000000"/>
          <w:szCs w:val="32"/>
          <w:lang w:eastAsia="zh-CN"/>
        </w:rPr>
        <w:t>（三）</w:t>
      </w:r>
      <w:r>
        <w:rPr>
          <w:rFonts w:hint="eastAsia" w:ascii="楷体_GB2312" w:hAnsi="楷体_GB2312" w:eastAsia="楷体_GB2312" w:cs="楷体_GB2312"/>
          <w:b w:val="0"/>
          <w:bCs/>
          <w:color w:val="000000"/>
          <w:szCs w:val="32"/>
        </w:rPr>
        <w:t>化学试剂</w:t>
      </w:r>
      <w:r>
        <w:rPr>
          <w:rFonts w:hint="eastAsia" w:ascii="楷体_GB2312" w:hAnsi="楷体_GB2312" w:eastAsia="楷体_GB2312" w:cs="楷体_GB2312"/>
          <w:b w:val="0"/>
          <w:bCs/>
          <w:color w:val="000000"/>
          <w:szCs w:val="32"/>
          <w:lang w:val="en-US" w:eastAsia="zh-CN"/>
        </w:rPr>
        <w:t xml:space="preserve"> </w:t>
      </w:r>
      <w:r>
        <w:rPr>
          <w:rFonts w:hint="eastAsia" w:ascii="楷体_GB2312" w:hAnsi="楷体_GB2312" w:eastAsia="楷体_GB2312" w:cs="楷体_GB2312"/>
          <w:b w:val="0"/>
          <w:bCs/>
          <w:color w:val="000000"/>
          <w:szCs w:val="32"/>
        </w:rPr>
        <w:t>盐酸</w:t>
      </w:r>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
        <w:gridCol w:w="2026"/>
        <w:gridCol w:w="2752"/>
        <w:gridCol w:w="645"/>
        <w:gridCol w:w="685"/>
        <w:gridCol w:w="676"/>
        <w:gridCol w:w="866"/>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492"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序号</w:t>
            </w:r>
          </w:p>
        </w:tc>
        <w:tc>
          <w:tcPr>
            <w:tcW w:w="111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检验项目</w:t>
            </w:r>
          </w:p>
        </w:tc>
        <w:tc>
          <w:tcPr>
            <w:tcW w:w="151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检验方法</w:t>
            </w:r>
          </w:p>
        </w:tc>
        <w:tc>
          <w:tcPr>
            <w:tcW w:w="356"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强制性</w:t>
            </w:r>
          </w:p>
        </w:tc>
        <w:tc>
          <w:tcPr>
            <w:tcW w:w="378"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非强制性</w:t>
            </w:r>
          </w:p>
        </w:tc>
        <w:tc>
          <w:tcPr>
            <w:tcW w:w="373"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重要项</w:t>
            </w:r>
          </w:p>
        </w:tc>
        <w:tc>
          <w:tcPr>
            <w:tcW w:w="478"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较重要项</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w:t>
            </w:r>
          </w:p>
        </w:tc>
        <w:tc>
          <w:tcPr>
            <w:tcW w:w="1118"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盐酸</w:t>
            </w:r>
          </w:p>
        </w:tc>
        <w:tc>
          <w:tcPr>
            <w:tcW w:w="1518"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GB/T622—2006</w:t>
            </w:r>
          </w:p>
        </w:tc>
        <w:tc>
          <w:tcPr>
            <w:tcW w:w="35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8" w:type="pct"/>
            <w:tcBorders>
              <w:top w:val="single" w:color="auto" w:sz="4" w:space="0"/>
              <w:left w:val="nil"/>
              <w:bottom w:val="single" w:color="auto" w:sz="4" w:space="0"/>
              <w:right w:val="single" w:color="auto" w:sz="4" w:space="0"/>
            </w:tcBorders>
            <w:noWrap w:val="0"/>
            <w:vAlign w:val="center"/>
          </w:tcPr>
          <w:p>
            <w:pPr>
              <w:adjustRightInd w:val="0"/>
              <w:snapToGrid w:val="0"/>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7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78" w:type="pct"/>
            <w:tcBorders>
              <w:top w:val="single" w:color="auto" w:sz="4" w:space="0"/>
              <w:left w:val="nil"/>
              <w:bottom w:val="single" w:color="auto" w:sz="4" w:space="0"/>
              <w:right w:val="single" w:color="auto" w:sz="4" w:space="0"/>
            </w:tcBorders>
            <w:noWrap w:val="0"/>
            <w:vAlign w:val="center"/>
          </w:tcPr>
          <w:p>
            <w:pPr>
              <w:adjustRightInd w:val="0"/>
              <w:snapToGrid w:val="0"/>
              <w:ind w:left="-109" w:leftChars="-34" w:right="-106" w:rightChars="-33"/>
              <w:jc w:val="center"/>
              <w:rPr>
                <w:rFonts w:hint="eastAsia" w:ascii="仿宋" w:hAnsi="仿宋" w:eastAsia="仿宋" w:cs="仿宋"/>
                <w:b w:val="0"/>
                <w:bCs/>
                <w:color w:val="000000"/>
                <w:sz w:val="24"/>
              </w:rPr>
            </w:pP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2</w:t>
            </w:r>
          </w:p>
        </w:tc>
        <w:tc>
          <w:tcPr>
            <w:tcW w:w="1118"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色度</w:t>
            </w:r>
          </w:p>
        </w:tc>
        <w:tc>
          <w:tcPr>
            <w:tcW w:w="151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GB/T622—2006</w:t>
            </w:r>
          </w:p>
        </w:tc>
        <w:tc>
          <w:tcPr>
            <w:tcW w:w="35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8" w:type="pct"/>
            <w:tcBorders>
              <w:top w:val="single" w:color="auto" w:sz="4" w:space="0"/>
              <w:left w:val="nil"/>
              <w:bottom w:val="single" w:color="auto" w:sz="4" w:space="0"/>
              <w:right w:val="single" w:color="auto" w:sz="4" w:space="0"/>
            </w:tcBorders>
            <w:noWrap w:val="0"/>
            <w:vAlign w:val="center"/>
          </w:tcPr>
          <w:p>
            <w:pPr>
              <w:adjustRightInd w:val="0"/>
              <w:snapToGrid w:val="0"/>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7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78" w:type="pct"/>
            <w:tcBorders>
              <w:top w:val="single" w:color="auto" w:sz="4" w:space="0"/>
              <w:left w:val="nil"/>
              <w:bottom w:val="single" w:color="auto" w:sz="4" w:space="0"/>
              <w:right w:val="single" w:color="auto" w:sz="4" w:space="0"/>
            </w:tcBorders>
            <w:noWrap w:val="0"/>
            <w:vAlign w:val="center"/>
          </w:tcPr>
          <w:p>
            <w:pPr>
              <w:adjustRightInd w:val="0"/>
              <w:snapToGrid w:val="0"/>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3</w:t>
            </w:r>
          </w:p>
        </w:tc>
        <w:tc>
          <w:tcPr>
            <w:tcW w:w="1118"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灼烧残渣</w:t>
            </w:r>
          </w:p>
        </w:tc>
        <w:tc>
          <w:tcPr>
            <w:tcW w:w="151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GB/T622—2006</w:t>
            </w:r>
          </w:p>
        </w:tc>
        <w:tc>
          <w:tcPr>
            <w:tcW w:w="35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8" w:type="pct"/>
            <w:tcBorders>
              <w:top w:val="single" w:color="auto" w:sz="4" w:space="0"/>
              <w:left w:val="nil"/>
              <w:bottom w:val="single" w:color="auto" w:sz="4" w:space="0"/>
              <w:right w:val="single" w:color="auto" w:sz="4" w:space="0"/>
            </w:tcBorders>
            <w:noWrap w:val="0"/>
            <w:vAlign w:val="center"/>
          </w:tcPr>
          <w:p>
            <w:pPr>
              <w:adjustRightInd w:val="0"/>
              <w:snapToGrid w:val="0"/>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7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78" w:type="pct"/>
            <w:tcBorders>
              <w:top w:val="single" w:color="auto" w:sz="4" w:space="0"/>
              <w:left w:val="nil"/>
              <w:bottom w:val="single" w:color="auto" w:sz="4" w:space="0"/>
              <w:right w:val="single" w:color="auto" w:sz="4" w:space="0"/>
            </w:tcBorders>
            <w:noWrap w:val="0"/>
            <w:vAlign w:val="center"/>
          </w:tcPr>
          <w:p>
            <w:pPr>
              <w:adjustRightInd w:val="0"/>
              <w:snapToGrid w:val="0"/>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4</w:t>
            </w:r>
          </w:p>
        </w:tc>
        <w:tc>
          <w:tcPr>
            <w:tcW w:w="1118"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游离氯</w:t>
            </w:r>
          </w:p>
        </w:tc>
        <w:tc>
          <w:tcPr>
            <w:tcW w:w="151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GB/T622—2006</w:t>
            </w:r>
          </w:p>
        </w:tc>
        <w:tc>
          <w:tcPr>
            <w:tcW w:w="35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8" w:type="pct"/>
            <w:tcBorders>
              <w:top w:val="single" w:color="auto" w:sz="4" w:space="0"/>
              <w:left w:val="nil"/>
              <w:bottom w:val="single" w:color="auto" w:sz="4" w:space="0"/>
              <w:right w:val="single" w:color="auto" w:sz="4" w:space="0"/>
            </w:tcBorders>
            <w:noWrap w:val="0"/>
            <w:vAlign w:val="center"/>
          </w:tcPr>
          <w:p>
            <w:pPr>
              <w:adjustRightInd w:val="0"/>
              <w:snapToGrid w:val="0"/>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7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78" w:type="pct"/>
            <w:tcBorders>
              <w:top w:val="single" w:color="auto" w:sz="4" w:space="0"/>
              <w:left w:val="nil"/>
              <w:bottom w:val="single" w:color="auto" w:sz="4" w:space="0"/>
              <w:right w:val="single" w:color="auto" w:sz="4" w:space="0"/>
            </w:tcBorders>
            <w:noWrap w:val="0"/>
            <w:vAlign w:val="center"/>
          </w:tcPr>
          <w:p>
            <w:pPr>
              <w:adjustRightInd w:val="0"/>
              <w:snapToGrid w:val="0"/>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5</w:t>
            </w:r>
          </w:p>
        </w:tc>
        <w:tc>
          <w:tcPr>
            <w:tcW w:w="1118"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硫酸盐</w:t>
            </w:r>
          </w:p>
        </w:tc>
        <w:tc>
          <w:tcPr>
            <w:tcW w:w="151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GB/T622—2006</w:t>
            </w:r>
          </w:p>
        </w:tc>
        <w:tc>
          <w:tcPr>
            <w:tcW w:w="35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8" w:type="pct"/>
            <w:tcBorders>
              <w:top w:val="single" w:color="auto" w:sz="4" w:space="0"/>
              <w:left w:val="nil"/>
              <w:bottom w:val="single" w:color="auto" w:sz="4" w:space="0"/>
              <w:right w:val="single" w:color="auto" w:sz="4" w:space="0"/>
            </w:tcBorders>
            <w:noWrap w:val="0"/>
            <w:vAlign w:val="center"/>
          </w:tcPr>
          <w:p>
            <w:pPr>
              <w:adjustRightInd w:val="0"/>
              <w:snapToGrid w:val="0"/>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7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78" w:type="pct"/>
            <w:tcBorders>
              <w:top w:val="single" w:color="auto" w:sz="4" w:space="0"/>
              <w:left w:val="nil"/>
              <w:bottom w:val="single" w:color="auto" w:sz="4" w:space="0"/>
              <w:right w:val="single" w:color="auto" w:sz="4" w:space="0"/>
            </w:tcBorders>
            <w:noWrap w:val="0"/>
            <w:vAlign w:val="center"/>
          </w:tcPr>
          <w:p>
            <w:pPr>
              <w:adjustRightInd w:val="0"/>
              <w:snapToGrid w:val="0"/>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6</w:t>
            </w:r>
          </w:p>
        </w:tc>
        <w:tc>
          <w:tcPr>
            <w:tcW w:w="1118"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亚硫酸盐</w:t>
            </w:r>
          </w:p>
        </w:tc>
        <w:tc>
          <w:tcPr>
            <w:tcW w:w="151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GB/T622—2006</w:t>
            </w:r>
          </w:p>
        </w:tc>
        <w:tc>
          <w:tcPr>
            <w:tcW w:w="35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7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7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7</w:t>
            </w:r>
          </w:p>
        </w:tc>
        <w:tc>
          <w:tcPr>
            <w:tcW w:w="1118"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铁</w:t>
            </w:r>
          </w:p>
        </w:tc>
        <w:tc>
          <w:tcPr>
            <w:tcW w:w="151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GB/T622—2006</w:t>
            </w:r>
          </w:p>
        </w:tc>
        <w:tc>
          <w:tcPr>
            <w:tcW w:w="35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7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7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8</w:t>
            </w:r>
          </w:p>
        </w:tc>
        <w:tc>
          <w:tcPr>
            <w:tcW w:w="1118"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铜</w:t>
            </w:r>
          </w:p>
        </w:tc>
        <w:tc>
          <w:tcPr>
            <w:tcW w:w="151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GB/T622—2006</w:t>
            </w:r>
          </w:p>
        </w:tc>
        <w:tc>
          <w:tcPr>
            <w:tcW w:w="35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7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7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9</w:t>
            </w:r>
          </w:p>
        </w:tc>
        <w:tc>
          <w:tcPr>
            <w:tcW w:w="1118"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砷</w:t>
            </w:r>
          </w:p>
        </w:tc>
        <w:tc>
          <w:tcPr>
            <w:tcW w:w="151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GB/T622—2006</w:t>
            </w:r>
          </w:p>
        </w:tc>
        <w:tc>
          <w:tcPr>
            <w:tcW w:w="35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7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7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10</w:t>
            </w:r>
          </w:p>
        </w:tc>
        <w:tc>
          <w:tcPr>
            <w:tcW w:w="1118"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锡</w:t>
            </w:r>
          </w:p>
        </w:tc>
        <w:tc>
          <w:tcPr>
            <w:tcW w:w="151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GB/T622—2006</w:t>
            </w:r>
          </w:p>
        </w:tc>
        <w:tc>
          <w:tcPr>
            <w:tcW w:w="35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7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7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11</w:t>
            </w:r>
          </w:p>
        </w:tc>
        <w:tc>
          <w:tcPr>
            <w:tcW w:w="1118"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铅</w:t>
            </w:r>
          </w:p>
        </w:tc>
        <w:tc>
          <w:tcPr>
            <w:tcW w:w="151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GB/T622—2006</w:t>
            </w:r>
          </w:p>
        </w:tc>
        <w:tc>
          <w:tcPr>
            <w:tcW w:w="356"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7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7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8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bl>
    <w:p>
      <w:pPr>
        <w:spacing w:line="360" w:lineRule="auto"/>
        <w:ind w:firstLine="640" w:firstLineChars="200"/>
        <w:jc w:val="left"/>
        <w:rPr>
          <w:rFonts w:hint="eastAsia" w:ascii="楷体_GB2312" w:hAnsi="楷体_GB2312" w:eastAsia="楷体_GB2312" w:cs="楷体_GB2312"/>
          <w:b w:val="0"/>
          <w:bCs/>
          <w:color w:val="000000"/>
          <w:szCs w:val="32"/>
        </w:rPr>
      </w:pPr>
      <w:r>
        <w:rPr>
          <w:rFonts w:hint="eastAsia" w:ascii="楷体_GB2312" w:hAnsi="楷体_GB2312" w:eastAsia="楷体_GB2312" w:cs="楷体_GB2312"/>
          <w:b w:val="0"/>
          <w:bCs/>
          <w:color w:val="000000"/>
          <w:szCs w:val="32"/>
          <w:lang w:eastAsia="zh-CN"/>
        </w:rPr>
        <w:t>（四）</w:t>
      </w:r>
      <w:r>
        <w:rPr>
          <w:rFonts w:hint="eastAsia" w:ascii="楷体_GB2312" w:hAnsi="楷体_GB2312" w:eastAsia="楷体_GB2312" w:cs="楷体_GB2312"/>
          <w:b w:val="0"/>
          <w:bCs/>
          <w:color w:val="000000"/>
          <w:szCs w:val="32"/>
        </w:rPr>
        <w:t>化学试剂 硫酸</w:t>
      </w:r>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2057"/>
        <w:gridCol w:w="2878"/>
        <w:gridCol w:w="631"/>
        <w:gridCol w:w="669"/>
        <w:gridCol w:w="662"/>
        <w:gridCol w:w="885"/>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序号</w:t>
            </w:r>
          </w:p>
        </w:tc>
        <w:tc>
          <w:tcPr>
            <w:tcW w:w="113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检验项目</w:t>
            </w:r>
          </w:p>
        </w:tc>
        <w:tc>
          <w:tcPr>
            <w:tcW w:w="158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检验方法</w:t>
            </w:r>
          </w:p>
        </w:tc>
        <w:tc>
          <w:tcPr>
            <w:tcW w:w="348"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强制性</w:t>
            </w:r>
          </w:p>
        </w:tc>
        <w:tc>
          <w:tcPr>
            <w:tcW w:w="369"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非强制性</w:t>
            </w:r>
          </w:p>
        </w:tc>
        <w:tc>
          <w:tcPr>
            <w:tcW w:w="365"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重要项</w:t>
            </w:r>
          </w:p>
        </w:tc>
        <w:tc>
          <w:tcPr>
            <w:tcW w:w="488"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较重要项</w:t>
            </w:r>
          </w:p>
        </w:tc>
        <w:tc>
          <w:tcPr>
            <w:tcW w:w="29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w:t>
            </w:r>
          </w:p>
        </w:tc>
        <w:tc>
          <w:tcPr>
            <w:tcW w:w="1135"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含量(H2SO4)</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625—2007</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88"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p>
        </w:tc>
        <w:tc>
          <w:tcPr>
            <w:tcW w:w="29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2</w:t>
            </w:r>
          </w:p>
        </w:tc>
        <w:tc>
          <w:tcPr>
            <w:tcW w:w="1135"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色度</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625—2007</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88"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29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3</w:t>
            </w:r>
          </w:p>
        </w:tc>
        <w:tc>
          <w:tcPr>
            <w:tcW w:w="1135"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灼烧残渣</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625—2007</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88"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29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4</w:t>
            </w:r>
          </w:p>
        </w:tc>
        <w:tc>
          <w:tcPr>
            <w:tcW w:w="1135"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氯化物</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625—2007</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88"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29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5</w:t>
            </w:r>
          </w:p>
        </w:tc>
        <w:tc>
          <w:tcPr>
            <w:tcW w:w="1135"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硝酸盐</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625—2007</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88"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29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6</w:t>
            </w:r>
          </w:p>
        </w:tc>
        <w:tc>
          <w:tcPr>
            <w:tcW w:w="1135"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铵盐</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625—2007</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9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7</w:t>
            </w:r>
          </w:p>
        </w:tc>
        <w:tc>
          <w:tcPr>
            <w:tcW w:w="1135"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铁(Fe)</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625—2007</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9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8</w:t>
            </w:r>
          </w:p>
        </w:tc>
        <w:tc>
          <w:tcPr>
            <w:tcW w:w="1135"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铜(Cu)</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625—2007</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9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9</w:t>
            </w:r>
          </w:p>
        </w:tc>
        <w:tc>
          <w:tcPr>
            <w:tcW w:w="1135"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砷(As)</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625—2007</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9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10</w:t>
            </w:r>
          </w:p>
        </w:tc>
        <w:tc>
          <w:tcPr>
            <w:tcW w:w="1135"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铅(Pb)</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625—2007</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9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11</w:t>
            </w:r>
          </w:p>
        </w:tc>
        <w:tc>
          <w:tcPr>
            <w:tcW w:w="1135"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还原高锰酸钾物质</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625—2007</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29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bl>
    <w:p>
      <w:pPr>
        <w:spacing w:line="360" w:lineRule="auto"/>
        <w:ind w:firstLine="640" w:firstLineChars="200"/>
        <w:jc w:val="left"/>
        <w:rPr>
          <w:rFonts w:hint="eastAsia" w:ascii="楷体_GB2312" w:hAnsi="楷体_GB2312" w:eastAsia="楷体_GB2312" w:cs="楷体_GB2312"/>
          <w:b w:val="0"/>
          <w:bCs/>
          <w:color w:val="000000"/>
          <w:szCs w:val="32"/>
        </w:rPr>
      </w:pPr>
      <w:r>
        <w:rPr>
          <w:rFonts w:hint="eastAsia" w:ascii="楷体_GB2312" w:hAnsi="楷体_GB2312" w:eastAsia="楷体_GB2312" w:cs="楷体_GB2312"/>
          <w:b w:val="0"/>
          <w:bCs/>
          <w:color w:val="000000"/>
          <w:szCs w:val="32"/>
          <w:lang w:eastAsia="zh-CN"/>
        </w:rPr>
        <w:t>（五）</w:t>
      </w:r>
      <w:r>
        <w:rPr>
          <w:rFonts w:hint="eastAsia" w:ascii="楷体_GB2312" w:hAnsi="楷体_GB2312" w:eastAsia="楷体_GB2312" w:cs="楷体_GB2312"/>
          <w:b w:val="0"/>
          <w:bCs/>
          <w:color w:val="000000"/>
          <w:szCs w:val="32"/>
        </w:rPr>
        <w:t>化学试剂 硝酸</w:t>
      </w:r>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2002"/>
        <w:gridCol w:w="2879"/>
        <w:gridCol w:w="631"/>
        <w:gridCol w:w="669"/>
        <w:gridCol w:w="662"/>
        <w:gridCol w:w="794"/>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44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序号</w:t>
            </w:r>
          </w:p>
        </w:tc>
        <w:tc>
          <w:tcPr>
            <w:tcW w:w="1104"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检验项目</w:t>
            </w:r>
          </w:p>
        </w:tc>
        <w:tc>
          <w:tcPr>
            <w:tcW w:w="158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检验方法</w:t>
            </w:r>
          </w:p>
        </w:tc>
        <w:tc>
          <w:tcPr>
            <w:tcW w:w="348"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强制性</w:t>
            </w:r>
          </w:p>
        </w:tc>
        <w:tc>
          <w:tcPr>
            <w:tcW w:w="369"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非强制性</w:t>
            </w:r>
          </w:p>
        </w:tc>
        <w:tc>
          <w:tcPr>
            <w:tcW w:w="365"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重要项</w:t>
            </w:r>
          </w:p>
        </w:tc>
        <w:tc>
          <w:tcPr>
            <w:tcW w:w="438"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较重要项</w:t>
            </w:r>
          </w:p>
        </w:tc>
        <w:tc>
          <w:tcPr>
            <w:tcW w:w="33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w:t>
            </w:r>
          </w:p>
        </w:tc>
        <w:tc>
          <w:tcPr>
            <w:tcW w:w="1104"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硝酸含量</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626—2006</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38"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p>
        </w:tc>
        <w:tc>
          <w:tcPr>
            <w:tcW w:w="33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2</w:t>
            </w:r>
          </w:p>
        </w:tc>
        <w:tc>
          <w:tcPr>
            <w:tcW w:w="1104"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色度</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626—2006</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38"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3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3</w:t>
            </w:r>
          </w:p>
        </w:tc>
        <w:tc>
          <w:tcPr>
            <w:tcW w:w="1104"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灼烧残渣</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626—2006</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38"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3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4</w:t>
            </w:r>
          </w:p>
        </w:tc>
        <w:tc>
          <w:tcPr>
            <w:tcW w:w="1104"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氯化物</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626—2006</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38"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3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5</w:t>
            </w:r>
          </w:p>
        </w:tc>
        <w:tc>
          <w:tcPr>
            <w:tcW w:w="1104"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硫酸盐</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626—2006</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38"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3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6</w:t>
            </w:r>
          </w:p>
        </w:tc>
        <w:tc>
          <w:tcPr>
            <w:tcW w:w="1104"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铁</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626—2006</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3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3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7</w:t>
            </w:r>
          </w:p>
        </w:tc>
        <w:tc>
          <w:tcPr>
            <w:tcW w:w="1104"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砷</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626—2006</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3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3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8</w:t>
            </w:r>
          </w:p>
        </w:tc>
        <w:tc>
          <w:tcPr>
            <w:tcW w:w="1104"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铜</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626—2006</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3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3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6"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9</w:t>
            </w:r>
          </w:p>
        </w:tc>
        <w:tc>
          <w:tcPr>
            <w:tcW w:w="1104"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铅</w:t>
            </w:r>
          </w:p>
        </w:tc>
        <w:tc>
          <w:tcPr>
            <w:tcW w:w="158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626—2006</w:t>
            </w:r>
          </w:p>
        </w:tc>
        <w:tc>
          <w:tcPr>
            <w:tcW w:w="34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69"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38" w:type="pct"/>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37"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bl>
    <w:p>
      <w:pPr>
        <w:spacing w:line="360" w:lineRule="auto"/>
        <w:ind w:firstLine="640" w:firstLineChars="200"/>
        <w:jc w:val="left"/>
        <w:rPr>
          <w:rFonts w:hint="eastAsia" w:ascii="楷体_GB2312" w:hAnsi="楷体_GB2312" w:eastAsia="楷体_GB2312" w:cs="楷体_GB2312"/>
          <w:b w:val="0"/>
          <w:bCs/>
          <w:color w:val="000000"/>
          <w:szCs w:val="32"/>
        </w:rPr>
      </w:pPr>
      <w:r>
        <w:rPr>
          <w:rFonts w:hint="eastAsia" w:ascii="楷体_GB2312" w:hAnsi="楷体_GB2312" w:eastAsia="楷体_GB2312" w:cs="楷体_GB2312"/>
          <w:b w:val="0"/>
          <w:bCs/>
          <w:color w:val="000000"/>
          <w:szCs w:val="32"/>
          <w:lang w:eastAsia="zh-CN"/>
        </w:rPr>
        <w:t>（六）</w:t>
      </w:r>
      <w:r>
        <w:rPr>
          <w:rFonts w:hint="eastAsia" w:ascii="楷体_GB2312" w:hAnsi="楷体_GB2312" w:eastAsia="楷体_GB2312" w:cs="楷体_GB2312"/>
          <w:b w:val="0"/>
          <w:bCs/>
          <w:color w:val="000000"/>
          <w:szCs w:val="32"/>
        </w:rPr>
        <w:t>化学试剂 氨水</w:t>
      </w:r>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2090"/>
        <w:gridCol w:w="2764"/>
        <w:gridCol w:w="636"/>
        <w:gridCol w:w="676"/>
        <w:gridCol w:w="667"/>
        <w:gridCol w:w="756"/>
        <w:gridCol w:w="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序号</w:t>
            </w:r>
          </w:p>
        </w:tc>
        <w:tc>
          <w:tcPr>
            <w:tcW w:w="1153"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检验项目</w:t>
            </w:r>
          </w:p>
        </w:tc>
        <w:tc>
          <w:tcPr>
            <w:tcW w:w="1525"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检验方法</w:t>
            </w:r>
          </w:p>
        </w:tc>
        <w:tc>
          <w:tcPr>
            <w:tcW w:w="351"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强制性</w:t>
            </w:r>
          </w:p>
        </w:tc>
        <w:tc>
          <w:tcPr>
            <w:tcW w:w="373"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非强制性</w:t>
            </w:r>
          </w:p>
        </w:tc>
        <w:tc>
          <w:tcPr>
            <w:tcW w:w="368"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重要项</w:t>
            </w:r>
          </w:p>
        </w:tc>
        <w:tc>
          <w:tcPr>
            <w:tcW w:w="417" w:type="pct"/>
            <w:tcBorders>
              <w:top w:val="single" w:color="auto" w:sz="4" w:space="0"/>
              <w:left w:val="nil"/>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较重要项</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黑体" w:hAnsi="黑体" w:eastAsia="黑体" w:cs="黑体"/>
                <w:b w:val="0"/>
                <w:bCs/>
                <w:color w:val="000000"/>
                <w:kern w:val="0"/>
                <w:sz w:val="24"/>
              </w:rPr>
            </w:pPr>
            <w:r>
              <w:rPr>
                <w:rFonts w:hint="eastAsia" w:ascii="黑体" w:hAnsi="黑体" w:eastAsia="黑体" w:cs="黑体"/>
                <w:b w:val="0"/>
                <w:bCs/>
                <w:color w:val="000000"/>
                <w:kern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铵含量</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41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2</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蒸发残渣</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3</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氯化物</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4</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硫化物</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5</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硫酸盐</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center"/>
          </w:tcPr>
          <w:p>
            <w:pPr>
              <w:adjustRightInd w:val="0"/>
              <w:snapToGrid w:val="0"/>
              <w:spacing w:line="400" w:lineRule="exact"/>
              <w:ind w:left="-109" w:leftChars="-34" w:right="-106" w:rightChars="-33"/>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6</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碳酸盐</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7</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磷酸盐</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8</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钠</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9</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镁</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10</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钾</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11</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钙</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12</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铁</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13</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铜</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14</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铅</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59" w:type="pc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15</w:t>
            </w:r>
          </w:p>
        </w:tc>
        <w:tc>
          <w:tcPr>
            <w:tcW w:w="115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 w:hAnsi="仿宋" w:eastAsia="仿宋" w:cs="仿宋"/>
                <w:b w:val="0"/>
                <w:bCs/>
                <w:color w:val="000000"/>
                <w:sz w:val="24"/>
              </w:rPr>
            </w:pPr>
            <w:r>
              <w:rPr>
                <w:rFonts w:hint="eastAsia" w:ascii="仿宋" w:hAnsi="仿宋" w:eastAsia="仿宋" w:cs="仿宋"/>
                <w:b w:val="0"/>
                <w:bCs/>
                <w:color w:val="000000"/>
                <w:sz w:val="24"/>
              </w:rPr>
              <w:t>还原高锰酸钾物质</w:t>
            </w:r>
          </w:p>
        </w:tc>
        <w:tc>
          <w:tcPr>
            <w:tcW w:w="1525"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GB/T 631—2007</w:t>
            </w:r>
          </w:p>
        </w:tc>
        <w:tc>
          <w:tcPr>
            <w:tcW w:w="351"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373"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68"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c>
          <w:tcPr>
            <w:tcW w:w="417" w:type="pct"/>
            <w:tcBorders>
              <w:top w:val="single" w:color="auto" w:sz="4" w:space="0"/>
              <w:left w:val="nil"/>
              <w:bottom w:val="single" w:color="auto" w:sz="4" w:space="0"/>
              <w:right w:val="single" w:color="auto" w:sz="4" w:space="0"/>
            </w:tcBorders>
            <w:noWrap w:val="0"/>
            <w:vAlign w:val="top"/>
          </w:tcPr>
          <w:p>
            <w:pPr>
              <w:jc w:val="center"/>
              <w:rPr>
                <w:rFonts w:hint="eastAsia" w:ascii="仿宋" w:hAnsi="仿宋" w:eastAsia="仿宋" w:cs="仿宋"/>
                <w:b w:val="0"/>
                <w:bCs/>
                <w:color w:val="000000"/>
              </w:rPr>
            </w:pPr>
            <w:r>
              <w:rPr>
                <w:rFonts w:hint="eastAsia" w:ascii="仿宋" w:hAnsi="仿宋" w:eastAsia="仿宋" w:cs="仿宋"/>
                <w:b w:val="0"/>
                <w:bCs/>
                <w:color w:val="000000"/>
                <w:sz w:val="24"/>
              </w:rPr>
              <w:t>●</w:t>
            </w:r>
          </w:p>
        </w:tc>
        <w:tc>
          <w:tcPr>
            <w:tcW w:w="350" w:type="pct"/>
            <w:tcBorders>
              <w:top w:val="single" w:color="auto" w:sz="4" w:space="0"/>
              <w:left w:val="nil"/>
              <w:bottom w:val="single" w:color="auto" w:sz="4" w:space="0"/>
              <w:right w:val="single" w:color="auto" w:sz="4" w:space="0"/>
            </w:tcBorders>
            <w:noWrap w:val="0"/>
            <w:vAlign w:val="center"/>
          </w:tcPr>
          <w:p>
            <w:pPr>
              <w:spacing w:line="400" w:lineRule="exact"/>
              <w:jc w:val="center"/>
              <w:rPr>
                <w:rFonts w:hint="eastAsia" w:ascii="仿宋" w:hAnsi="仿宋" w:eastAsia="仿宋" w:cs="仿宋"/>
                <w:b w:val="0"/>
                <w:bCs/>
                <w:color w:val="000000"/>
                <w:sz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b w:val="0"/>
          <w:bCs/>
          <w:color w:val="000000"/>
          <w:sz w:val="30"/>
          <w:szCs w:val="30"/>
        </w:rPr>
      </w:pPr>
      <w:r>
        <w:rPr>
          <w:rFonts w:hint="eastAsia" w:ascii="仿宋" w:hAnsi="仿宋" w:eastAsia="仿宋" w:cs="仿宋"/>
          <w:b w:val="0"/>
          <w:bCs/>
          <w:color w:val="000000"/>
          <w:sz w:val="30"/>
          <w:szCs w:val="30"/>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b w:val="0"/>
          <w:bCs/>
          <w:color w:val="000000"/>
          <w:sz w:val="30"/>
          <w:szCs w:val="30"/>
        </w:rPr>
      </w:pPr>
      <w:r>
        <w:rPr>
          <w:rFonts w:hint="eastAsia" w:ascii="仿宋" w:hAnsi="仿宋" w:eastAsia="仿宋" w:cs="仿宋"/>
          <w:b w:val="0"/>
          <w:bCs/>
          <w:color w:val="000000"/>
          <w:sz w:val="30"/>
          <w:szCs w:val="30"/>
        </w:rPr>
        <w:t>凡是注日期的文件，其随后所有的修改单（不包括勘误的内容）或修订版不适用于本细则。凡是不注日期的文件，其最新版本适用于本细则。</w:t>
      </w:r>
    </w:p>
    <w:p>
      <w:pPr>
        <w:spacing w:line="600" w:lineRule="exact"/>
        <w:ind w:firstLine="640" w:firstLineChars="200"/>
        <w:jc w:val="left"/>
        <w:rPr>
          <w:rFonts w:ascii="Times New Roman" w:hAnsi="Times New Roman" w:eastAsia="黑体" w:cs="黑体"/>
          <w:b w:val="0"/>
          <w:bCs/>
          <w:color w:val="000000"/>
          <w:szCs w:val="32"/>
        </w:rPr>
      </w:pPr>
      <w:r>
        <w:rPr>
          <w:rFonts w:hint="eastAsia" w:ascii="Times New Roman" w:hAnsi="Times New Roman" w:eastAsia="黑体" w:cs="黑体"/>
          <w:b w:val="0"/>
          <w:bCs/>
          <w:color w:val="000000"/>
          <w:szCs w:val="32"/>
        </w:rPr>
        <w:t>三、判定规则</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楷体_GB2312" w:hAnsi="楷体_GB2312" w:eastAsia="楷体_GB2312" w:cs="楷体_GB2312"/>
          <w:b w:val="0"/>
          <w:bCs/>
          <w:color w:val="000000"/>
          <w:kern w:val="0"/>
          <w:szCs w:val="32"/>
        </w:rPr>
        <w:t>（一）依据标准</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GB/T 534-2014《工业硫酸》</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GB/T 9009-2011 《工业用甲醛溶液》</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GB/T 622-2006 《化学试剂盐酸》</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GB/T 625-2007 《化学试剂硫酸》</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GB/T 626-2006 《化学试剂硝酸》</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GB/T 631-2007 《化学试剂氨水》</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现行有效的企业标准、团体标准、地方标准及产品明示质量要求。</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楷体_GB2312" w:hAnsi="楷体_GB2312" w:eastAsia="楷体_GB2312" w:cs="楷体_GB2312"/>
          <w:b w:val="0"/>
          <w:bCs/>
          <w:color w:val="000000"/>
          <w:kern w:val="0"/>
          <w:szCs w:val="32"/>
        </w:rPr>
      </w:pPr>
      <w:r>
        <w:rPr>
          <w:rFonts w:hint="eastAsia" w:ascii="楷体_GB2312" w:hAnsi="楷体_GB2312" w:eastAsia="楷体_GB2312" w:cs="楷体_GB2312"/>
          <w:b w:val="0"/>
          <w:bCs/>
          <w:color w:val="000000"/>
          <w:kern w:val="0"/>
          <w:szCs w:val="32"/>
        </w:rPr>
        <w:t>（二）判定原则</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经检验，检验项目全部合格，判定为抽取的样本所检项目未检出不合格；检验项目中任一项或一项以上不合格，判定为被抽查产品不合格。</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当被检样品明示的质量要求优于监督抽查实施细则中依据的标准要求时，应按被检样品明示的质量要求判定；</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bookmarkStart w:id="0" w:name="_GoBack"/>
      <w:bookmarkEnd w:id="0"/>
      <w:r>
        <w:rPr>
          <w:rFonts w:hint="eastAsia" w:ascii="仿宋" w:hAnsi="仿宋" w:eastAsia="仿宋" w:cs="仿宋"/>
          <w:b w:val="0"/>
          <w:bCs/>
          <w:color w:val="000000"/>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当被检样品明示的质量要求不包含监督抽查实施细则中依据的推荐性标准要求时，该指标不参与判定，但应在检验报告中作出说明；</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当被检样品未能提供有效的企业标准时，按相关国家或行业标准进行判定；</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按照产品质量相关法律法规的规定判定。</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left"/>
        <w:textAlignment w:val="auto"/>
        <w:rPr>
          <w:rFonts w:hint="eastAsia" w:ascii="仿宋" w:hAnsi="仿宋" w:eastAsia="仿宋" w:cs="仿宋"/>
          <w:b w:val="0"/>
          <w:bCs/>
          <w:color w:val="000000"/>
          <w:kern w:val="0"/>
          <w:szCs w:val="32"/>
        </w:rPr>
      </w:pPr>
      <w:r>
        <w:rPr>
          <w:rFonts w:hint="eastAsia" w:ascii="仿宋" w:hAnsi="仿宋" w:eastAsia="仿宋" w:cs="仿宋"/>
          <w:b w:val="0"/>
          <w:bCs/>
          <w:color w:val="000000"/>
          <w:kern w:val="0"/>
          <w:szCs w:val="32"/>
        </w:rPr>
        <w:t>检验中发现因样品失效或者其他原因致使检验无法进行的，检验人员应如实记录，并提供相关证明材料，报送组织监督抽查的市场监管部门。</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975858"/>
    <w:rsid w:val="163F7BA1"/>
    <w:rsid w:val="40174CD5"/>
    <w:rsid w:val="47C1391B"/>
    <w:rsid w:val="4D1B7B68"/>
    <w:rsid w:val="CFBFC6D1"/>
    <w:rsid w:val="F9C448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unhideWhenUsed/>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0"/>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gdqts</dc:creator>
  <cp:lastModifiedBy>刘赞</cp:lastModifiedBy>
  <dcterms:modified xsi:type="dcterms:W3CDTF">2023-05-10T08:52:06Z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073A263163F34FA49FFB241DD36C963B</vt:lpwstr>
  </property>
</Properties>
</file>