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78" w:lineRule="exact"/>
        <w:jc w:val="center"/>
        <w:rPr>
          <w:rFonts w:eastAsia="方正小标宋简体"/>
          <w:color w:val="000000"/>
          <w:kern w:val="0"/>
          <w:sz w:val="44"/>
          <w:szCs w:val="44"/>
        </w:rPr>
      </w:pPr>
      <w:r>
        <w:rPr>
          <w:rFonts w:hint="eastAsia" w:eastAsia="方正小标宋简体"/>
          <w:color w:val="000000"/>
          <w:kern w:val="0"/>
          <w:sz w:val="44"/>
          <w:szCs w:val="44"/>
        </w:rPr>
        <w:t>珠海市氯碱产品质量监督抽查实施细则</w:t>
      </w:r>
    </w:p>
    <w:p>
      <w:pPr>
        <w:adjustRightInd w:val="0"/>
        <w:snapToGrid w:val="0"/>
        <w:spacing w:line="578" w:lineRule="exact"/>
        <w:jc w:val="left"/>
        <w:rPr>
          <w:rFonts w:ascii="CESI楷体-GB2312" w:hAnsi="CESI楷体-GB2312" w:eastAsia="CESI楷体-GB2312" w:cs="CESI楷体-GB2312"/>
          <w:color w:val="000000"/>
          <w:sz w:val="32"/>
          <w:szCs w:val="32"/>
        </w:rPr>
      </w:pPr>
    </w:p>
    <w:p>
      <w:pPr>
        <w:widowControl/>
        <w:spacing w:line="578" w:lineRule="exact"/>
        <w:jc w:val="left"/>
        <w:rPr>
          <w:rFonts w:ascii="宋体" w:hAnsi="宋体" w:cs="宋体"/>
          <w:color w:val="333333"/>
          <w:kern w:val="0"/>
          <w:sz w:val="24"/>
        </w:rPr>
      </w:pPr>
      <w:r>
        <w:rPr>
          <w:rFonts w:hint="eastAsia" w:ascii="CESI楷体-GB2312" w:hAnsi="CESI楷体-GB2312" w:eastAsia="CESI楷体-GB2312" w:cs="CESI楷体-GB2312"/>
          <w:color w:val="000000"/>
          <w:sz w:val="32"/>
          <w:szCs w:val="32"/>
        </w:rPr>
        <w:t>　　</w:t>
      </w:r>
      <w:r>
        <w:rPr>
          <w:rFonts w:hint="eastAsia" w:ascii="黑体" w:hAnsi="黑体" w:eastAsia="黑体" w:cs="黑体"/>
          <w:color w:val="000000"/>
          <w:sz w:val="32"/>
          <w:szCs w:val="32"/>
        </w:rPr>
        <w:t>一、抽样方法</w:t>
      </w:r>
    </w:p>
    <w:p>
      <w:pPr>
        <w:adjustRightInd w:val="0"/>
        <w:snapToGrid w:val="0"/>
        <w:spacing w:line="578"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以随机抽样的方式在被抽样生产者的待销产品中抽取。</w:t>
      </w:r>
    </w:p>
    <w:p>
      <w:pPr>
        <w:adjustRightInd w:val="0"/>
        <w:snapToGrid w:val="0"/>
        <w:spacing w:line="578"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随机数一般可使用随机数表等方法产生。</w:t>
      </w:r>
    </w:p>
    <w:p>
      <w:pPr>
        <w:adjustRightInd w:val="0"/>
        <w:snapToGrid w:val="0"/>
        <w:spacing w:line="578" w:lineRule="exact"/>
        <w:ind w:firstLine="640" w:firstLineChars="200"/>
        <w:jc w:val="left"/>
        <w:rPr>
          <w:rFonts w:eastAsia="仿宋_GB2312" w:cs="仿宋_GB2312"/>
          <w:color w:val="000000"/>
          <w:sz w:val="32"/>
          <w:szCs w:val="32"/>
        </w:rPr>
      </w:pPr>
      <w:r>
        <w:rPr>
          <w:rFonts w:hint="eastAsia" w:ascii="仿宋" w:hAnsi="仿宋" w:eastAsia="仿宋" w:cs="仿宋"/>
          <w:color w:val="000000"/>
          <w:sz w:val="32"/>
          <w:szCs w:val="32"/>
        </w:rPr>
        <w:t>每款产品抽取2组样本，第1组用于检验，第2组用于备样。每款产品抽取样品数量见下表。</w:t>
      </w:r>
    </w:p>
    <w:p>
      <w:pPr>
        <w:adjustRightInd w:val="0"/>
        <w:snapToGrid w:val="0"/>
        <w:spacing w:line="578" w:lineRule="exact"/>
        <w:ind w:firstLine="640" w:firstLineChars="200"/>
        <w:jc w:val="left"/>
        <w:rPr>
          <w:rFonts w:hint="eastAsia" w:ascii="楷体_GB2312" w:hAnsi="楷体_GB2312" w:eastAsia="楷体_GB2312" w:cs="楷体_GB2312"/>
          <w:b w:val="0"/>
          <w:bCs/>
          <w:color w:val="000000"/>
          <w:sz w:val="32"/>
          <w:szCs w:val="32"/>
        </w:rPr>
      </w:pPr>
      <w:r>
        <w:rPr>
          <w:rFonts w:hint="eastAsia" w:ascii="楷体_GB2312" w:hAnsi="楷体_GB2312" w:eastAsia="楷体_GB2312" w:cs="楷体_GB2312"/>
          <w:b w:val="0"/>
          <w:bCs/>
          <w:color w:val="000000"/>
          <w:sz w:val="32"/>
          <w:szCs w:val="32"/>
        </w:rPr>
        <w:t>（一） 次氯酸钠</w:t>
      </w:r>
    </w:p>
    <w:tbl>
      <w:tblPr>
        <w:tblStyle w:val="6"/>
        <w:tblW w:w="4998" w:type="pct"/>
        <w:jc w:val="center"/>
        <w:tblLayout w:type="autofit"/>
        <w:tblCellMar>
          <w:top w:w="15" w:type="dxa"/>
          <w:left w:w="15" w:type="dxa"/>
          <w:bottom w:w="15" w:type="dxa"/>
          <w:right w:w="15" w:type="dxa"/>
        </w:tblCellMar>
      </w:tblPr>
      <w:tblGrid>
        <w:gridCol w:w="1200"/>
        <w:gridCol w:w="3453"/>
        <w:gridCol w:w="2162"/>
        <w:gridCol w:w="2326"/>
      </w:tblGrid>
      <w:tr>
        <w:tblPrEx>
          <w:tblCellMar>
            <w:top w:w="15" w:type="dxa"/>
            <w:left w:w="15" w:type="dxa"/>
            <w:bottom w:w="15" w:type="dxa"/>
            <w:right w:w="15" w:type="dxa"/>
          </w:tblCellMar>
        </w:tblPrEx>
        <w:trPr>
          <w:trHeight w:val="501" w:hRule="exact"/>
          <w:jc w:val="center"/>
        </w:trPr>
        <w:tc>
          <w:tcPr>
            <w:tcW w:w="656" w:type="pct"/>
            <w:tcBorders>
              <w:top w:val="single" w:color="000000" w:sz="8" w:space="0"/>
              <w:left w:val="single" w:color="000000" w:sz="8" w:space="0"/>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序号</w:t>
            </w:r>
          </w:p>
        </w:tc>
        <w:tc>
          <w:tcPr>
            <w:tcW w:w="1888" w:type="pct"/>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产品名称</w:t>
            </w:r>
          </w:p>
        </w:tc>
        <w:tc>
          <w:tcPr>
            <w:tcW w:w="1182" w:type="pct"/>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第1组数量</w:t>
            </w:r>
          </w:p>
        </w:tc>
        <w:tc>
          <w:tcPr>
            <w:tcW w:w="1272" w:type="pct"/>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第2组数量</w:t>
            </w:r>
          </w:p>
        </w:tc>
      </w:tr>
      <w:tr>
        <w:tblPrEx>
          <w:tblCellMar>
            <w:top w:w="15" w:type="dxa"/>
            <w:left w:w="15" w:type="dxa"/>
            <w:bottom w:w="15" w:type="dxa"/>
            <w:right w:w="15" w:type="dxa"/>
          </w:tblCellMar>
        </w:tblPrEx>
        <w:trPr>
          <w:trHeight w:val="540" w:hRule="exact"/>
          <w:jc w:val="center"/>
        </w:trPr>
        <w:tc>
          <w:tcPr>
            <w:tcW w:w="656" w:type="pct"/>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1</w:t>
            </w:r>
          </w:p>
        </w:tc>
        <w:tc>
          <w:tcPr>
            <w:tcW w:w="1888"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次氯酸钠</w:t>
            </w:r>
          </w:p>
        </w:tc>
        <w:tc>
          <w:tcPr>
            <w:tcW w:w="1182"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500mL</w:t>
            </w:r>
          </w:p>
        </w:tc>
        <w:tc>
          <w:tcPr>
            <w:tcW w:w="1272"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500mL</w:t>
            </w:r>
          </w:p>
        </w:tc>
      </w:tr>
    </w:tbl>
    <w:p>
      <w:pPr>
        <w:adjustRightInd w:val="0"/>
        <w:snapToGrid w:val="0"/>
        <w:spacing w:line="578" w:lineRule="exact"/>
        <w:ind w:firstLine="640" w:firstLineChars="200"/>
        <w:jc w:val="left"/>
        <w:rPr>
          <w:rFonts w:eastAsia="仿宋_GB2312" w:cs="仿宋_GB2312"/>
          <w:b/>
          <w:color w:val="000000"/>
          <w:sz w:val="32"/>
          <w:szCs w:val="32"/>
        </w:rPr>
      </w:pPr>
      <w:r>
        <w:rPr>
          <w:rFonts w:hint="eastAsia" w:ascii="楷体_GB2312" w:hAnsi="楷体_GB2312" w:eastAsia="楷体_GB2312" w:cs="楷体_GB2312"/>
          <w:b w:val="0"/>
          <w:bCs/>
          <w:color w:val="000000"/>
          <w:sz w:val="32"/>
          <w:szCs w:val="32"/>
        </w:rPr>
        <w:t>（二）氢氧化钠</w:t>
      </w:r>
    </w:p>
    <w:tbl>
      <w:tblPr>
        <w:tblStyle w:val="6"/>
        <w:tblW w:w="4998" w:type="pct"/>
        <w:tblInd w:w="0" w:type="dxa"/>
        <w:tblLayout w:type="autofit"/>
        <w:tblCellMar>
          <w:top w:w="15" w:type="dxa"/>
          <w:left w:w="15" w:type="dxa"/>
          <w:bottom w:w="15" w:type="dxa"/>
          <w:right w:w="15" w:type="dxa"/>
        </w:tblCellMar>
      </w:tblPr>
      <w:tblGrid>
        <w:gridCol w:w="1221"/>
        <w:gridCol w:w="3413"/>
        <w:gridCol w:w="2177"/>
        <w:gridCol w:w="2330"/>
      </w:tblGrid>
      <w:tr>
        <w:tblPrEx>
          <w:tblCellMar>
            <w:top w:w="15" w:type="dxa"/>
            <w:left w:w="15" w:type="dxa"/>
            <w:bottom w:w="15" w:type="dxa"/>
            <w:right w:w="15" w:type="dxa"/>
          </w:tblCellMar>
        </w:tblPrEx>
        <w:tc>
          <w:tcPr>
            <w:tcW w:w="668" w:type="pct"/>
            <w:tcBorders>
              <w:top w:val="single" w:color="000000" w:sz="8" w:space="0"/>
              <w:left w:val="single" w:color="000000" w:sz="8" w:space="0"/>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序号</w:t>
            </w:r>
          </w:p>
        </w:tc>
        <w:tc>
          <w:tcPr>
            <w:tcW w:w="1866" w:type="pct"/>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产品名称</w:t>
            </w:r>
          </w:p>
        </w:tc>
        <w:tc>
          <w:tcPr>
            <w:tcW w:w="1190" w:type="pct"/>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第1组数量</w:t>
            </w:r>
          </w:p>
        </w:tc>
        <w:tc>
          <w:tcPr>
            <w:tcW w:w="1274" w:type="pct"/>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第2组数量</w:t>
            </w:r>
          </w:p>
        </w:tc>
      </w:tr>
      <w:tr>
        <w:tblPrEx>
          <w:tblCellMar>
            <w:top w:w="15" w:type="dxa"/>
            <w:left w:w="15" w:type="dxa"/>
            <w:bottom w:w="15" w:type="dxa"/>
            <w:right w:w="15" w:type="dxa"/>
          </w:tblCellMar>
        </w:tblPrEx>
        <w:tc>
          <w:tcPr>
            <w:tcW w:w="668" w:type="pct"/>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1</w:t>
            </w:r>
          </w:p>
        </w:tc>
        <w:tc>
          <w:tcPr>
            <w:tcW w:w="1866"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工业用氢氧化钠</w:t>
            </w:r>
          </w:p>
        </w:tc>
        <w:tc>
          <w:tcPr>
            <w:tcW w:w="1190"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500g（mL）</w:t>
            </w:r>
          </w:p>
        </w:tc>
        <w:tc>
          <w:tcPr>
            <w:tcW w:w="1274"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500g（mL）</w:t>
            </w:r>
          </w:p>
        </w:tc>
      </w:tr>
      <w:tr>
        <w:tblPrEx>
          <w:tblCellMar>
            <w:top w:w="15" w:type="dxa"/>
            <w:left w:w="15" w:type="dxa"/>
            <w:bottom w:w="15" w:type="dxa"/>
            <w:right w:w="15" w:type="dxa"/>
          </w:tblCellMar>
        </w:tblPrEx>
        <w:tc>
          <w:tcPr>
            <w:tcW w:w="668" w:type="pct"/>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2</w:t>
            </w:r>
          </w:p>
        </w:tc>
        <w:tc>
          <w:tcPr>
            <w:tcW w:w="1866"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高纯氢氧化钠</w:t>
            </w:r>
          </w:p>
        </w:tc>
        <w:tc>
          <w:tcPr>
            <w:tcW w:w="1190"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500g（mL）</w:t>
            </w:r>
          </w:p>
        </w:tc>
        <w:tc>
          <w:tcPr>
            <w:tcW w:w="1274"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500g（mL）</w:t>
            </w:r>
          </w:p>
        </w:tc>
      </w:tr>
    </w:tbl>
    <w:p>
      <w:pPr>
        <w:adjustRightInd w:val="0"/>
        <w:snapToGrid w:val="0"/>
        <w:spacing w:after="156" w:afterLines="50" w:line="578" w:lineRule="exact"/>
        <w:ind w:firstLine="640" w:firstLineChars="200"/>
        <w:jc w:val="left"/>
        <w:rPr>
          <w:rFonts w:eastAsia="仿宋_GB2312" w:cs="仿宋_GB2312"/>
          <w:color w:val="000000"/>
          <w:sz w:val="32"/>
          <w:szCs w:val="32"/>
        </w:rPr>
      </w:pPr>
      <w:r>
        <w:rPr>
          <w:rFonts w:hint="eastAsia" w:ascii="仿宋" w:hAnsi="仿宋" w:eastAsia="仿宋" w:cs="仿宋"/>
          <w:color w:val="000000"/>
          <w:sz w:val="32"/>
          <w:szCs w:val="32"/>
        </w:rPr>
        <w:t>抽样时需确认以下信息：</w:t>
      </w:r>
    </w:p>
    <w:tbl>
      <w:tblPr>
        <w:tblStyle w:val="6"/>
        <w:tblW w:w="4998" w:type="pct"/>
        <w:jc w:val="center"/>
        <w:tblLayout w:type="autofit"/>
        <w:tblCellMar>
          <w:top w:w="15" w:type="dxa"/>
          <w:left w:w="15" w:type="dxa"/>
          <w:bottom w:w="15" w:type="dxa"/>
          <w:right w:w="15" w:type="dxa"/>
        </w:tblCellMar>
      </w:tblPr>
      <w:tblGrid>
        <w:gridCol w:w="1084"/>
        <w:gridCol w:w="2160"/>
        <w:gridCol w:w="5897"/>
      </w:tblGrid>
      <w:tr>
        <w:tblPrEx>
          <w:tblCellMar>
            <w:top w:w="15" w:type="dxa"/>
            <w:left w:w="15" w:type="dxa"/>
            <w:bottom w:w="15" w:type="dxa"/>
            <w:right w:w="15" w:type="dxa"/>
          </w:tblCellMar>
        </w:tblPrEx>
        <w:trPr>
          <w:jc w:val="center"/>
        </w:trPr>
        <w:tc>
          <w:tcPr>
            <w:tcW w:w="593" w:type="pct"/>
            <w:tcBorders>
              <w:top w:val="single" w:color="000000" w:sz="8" w:space="0"/>
              <w:left w:val="single" w:color="000000" w:sz="8" w:space="0"/>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序号</w:t>
            </w:r>
          </w:p>
        </w:tc>
        <w:tc>
          <w:tcPr>
            <w:tcW w:w="1181" w:type="pct"/>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产品名称</w:t>
            </w:r>
          </w:p>
        </w:tc>
        <w:tc>
          <w:tcPr>
            <w:tcW w:w="3224" w:type="pct"/>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应提供的其他产品信息</w:t>
            </w:r>
          </w:p>
        </w:tc>
      </w:tr>
      <w:tr>
        <w:tblPrEx>
          <w:tblCellMar>
            <w:top w:w="15" w:type="dxa"/>
            <w:left w:w="15" w:type="dxa"/>
            <w:bottom w:w="15" w:type="dxa"/>
            <w:right w:w="15" w:type="dxa"/>
          </w:tblCellMar>
        </w:tblPrEx>
        <w:trPr>
          <w:jc w:val="center"/>
        </w:trPr>
        <w:tc>
          <w:tcPr>
            <w:tcW w:w="593" w:type="pct"/>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1</w:t>
            </w:r>
          </w:p>
        </w:tc>
        <w:tc>
          <w:tcPr>
            <w:tcW w:w="1181"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次氯酸钠</w:t>
            </w:r>
          </w:p>
        </w:tc>
        <w:tc>
          <w:tcPr>
            <w:tcW w:w="3224"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需明确产品类型（A或B型）以及产品等级（I、II、III）</w:t>
            </w:r>
          </w:p>
        </w:tc>
      </w:tr>
      <w:tr>
        <w:tblPrEx>
          <w:tblCellMar>
            <w:top w:w="15" w:type="dxa"/>
            <w:left w:w="15" w:type="dxa"/>
            <w:bottom w:w="15" w:type="dxa"/>
            <w:right w:w="15" w:type="dxa"/>
          </w:tblCellMar>
        </w:tblPrEx>
        <w:trPr>
          <w:jc w:val="center"/>
        </w:trPr>
        <w:tc>
          <w:tcPr>
            <w:tcW w:w="593" w:type="pct"/>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2</w:t>
            </w:r>
          </w:p>
        </w:tc>
        <w:tc>
          <w:tcPr>
            <w:tcW w:w="1181"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工业用氢氧化钠</w:t>
            </w:r>
          </w:p>
        </w:tc>
        <w:tc>
          <w:tcPr>
            <w:tcW w:w="3224"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需明确型号等级（IS I型、IS II型、IL I型、IL II型、IL III型）</w:t>
            </w:r>
          </w:p>
        </w:tc>
      </w:tr>
      <w:tr>
        <w:tblPrEx>
          <w:tblCellMar>
            <w:top w:w="15" w:type="dxa"/>
            <w:left w:w="15" w:type="dxa"/>
            <w:bottom w:w="15" w:type="dxa"/>
            <w:right w:w="15" w:type="dxa"/>
          </w:tblCellMar>
        </w:tblPrEx>
        <w:trPr>
          <w:jc w:val="center"/>
        </w:trPr>
        <w:tc>
          <w:tcPr>
            <w:tcW w:w="593" w:type="pct"/>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3</w:t>
            </w:r>
          </w:p>
        </w:tc>
        <w:tc>
          <w:tcPr>
            <w:tcW w:w="1181"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高纯氢氧化钠</w:t>
            </w:r>
          </w:p>
        </w:tc>
        <w:tc>
          <w:tcPr>
            <w:tcW w:w="3224"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需明确型号等级（HS I型、HL I型、HL II型、HL III型）</w:t>
            </w:r>
          </w:p>
        </w:tc>
      </w:tr>
    </w:tbl>
    <w:p>
      <w:pPr>
        <w:adjustRightInd w:val="0"/>
        <w:snapToGrid w:val="0"/>
        <w:spacing w:line="578" w:lineRule="exact"/>
        <w:ind w:firstLine="640" w:firstLineChars="200"/>
        <w:jc w:val="left"/>
        <w:rPr>
          <w:rFonts w:eastAsia="黑体" w:cs="黑体"/>
          <w:sz w:val="32"/>
          <w:szCs w:val="32"/>
        </w:rPr>
      </w:pPr>
      <w:r>
        <w:rPr>
          <w:rFonts w:hint="eastAsia" w:eastAsia="黑体" w:cs="黑体"/>
          <w:sz w:val="32"/>
          <w:szCs w:val="32"/>
          <w:lang w:eastAsia="zh-CN"/>
        </w:rPr>
        <w:t>二</w:t>
      </w:r>
      <w:r>
        <w:rPr>
          <w:rFonts w:hint="eastAsia" w:eastAsia="黑体" w:cs="黑体"/>
          <w:sz w:val="32"/>
          <w:szCs w:val="32"/>
        </w:rPr>
        <w:t>、抽样注意事项</w:t>
      </w:r>
    </w:p>
    <w:tbl>
      <w:tblPr>
        <w:tblStyle w:val="6"/>
        <w:tblW w:w="5000" w:type="pct"/>
        <w:tblInd w:w="0" w:type="dxa"/>
        <w:tblLayout w:type="autofit"/>
        <w:tblCellMar>
          <w:top w:w="15" w:type="dxa"/>
          <w:left w:w="15" w:type="dxa"/>
          <w:bottom w:w="15" w:type="dxa"/>
          <w:right w:w="15" w:type="dxa"/>
        </w:tblCellMar>
      </w:tblPr>
      <w:tblGrid>
        <w:gridCol w:w="816"/>
        <w:gridCol w:w="1363"/>
        <w:gridCol w:w="3460"/>
        <w:gridCol w:w="3506"/>
      </w:tblGrid>
      <w:tr>
        <w:tblPrEx>
          <w:tblCellMar>
            <w:top w:w="15" w:type="dxa"/>
            <w:left w:w="15" w:type="dxa"/>
            <w:bottom w:w="15" w:type="dxa"/>
            <w:right w:w="15" w:type="dxa"/>
          </w:tblCellMar>
        </w:tblPrEx>
        <w:tc>
          <w:tcPr>
            <w:tcW w:w="446" w:type="pct"/>
            <w:tcBorders>
              <w:top w:val="single" w:color="000000" w:sz="8" w:space="0"/>
              <w:left w:val="single" w:color="000000" w:sz="8" w:space="0"/>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序号</w:t>
            </w:r>
          </w:p>
        </w:tc>
        <w:tc>
          <w:tcPr>
            <w:tcW w:w="745" w:type="pct"/>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产品名称</w:t>
            </w:r>
          </w:p>
        </w:tc>
        <w:tc>
          <w:tcPr>
            <w:tcW w:w="1892" w:type="pct"/>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抽样方法</w:t>
            </w:r>
          </w:p>
        </w:tc>
        <w:tc>
          <w:tcPr>
            <w:tcW w:w="1915" w:type="pct"/>
            <w:tcBorders>
              <w:top w:val="single" w:color="000000" w:sz="8" w:space="0"/>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备注</w:t>
            </w:r>
          </w:p>
        </w:tc>
      </w:tr>
      <w:tr>
        <w:tblPrEx>
          <w:tblCellMar>
            <w:top w:w="15" w:type="dxa"/>
            <w:left w:w="15" w:type="dxa"/>
            <w:bottom w:w="15" w:type="dxa"/>
            <w:right w:w="15" w:type="dxa"/>
          </w:tblCellMar>
        </w:tblPrEx>
        <w:tc>
          <w:tcPr>
            <w:tcW w:w="446" w:type="pct"/>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1</w:t>
            </w:r>
          </w:p>
        </w:tc>
        <w:tc>
          <w:tcPr>
            <w:tcW w:w="745"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次氯酸钠</w:t>
            </w:r>
          </w:p>
        </w:tc>
        <w:tc>
          <w:tcPr>
            <w:tcW w:w="1892"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储罐内：按上中下取等量样品混合；</w:t>
            </w:r>
          </w:p>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生产线：可直接从生产管线处放出。</w:t>
            </w:r>
          </w:p>
        </w:tc>
        <w:tc>
          <w:tcPr>
            <w:tcW w:w="1915"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需使用清洁干燥的塑料瓶封装、避免阳光照射，不得与还原剂混运。</w:t>
            </w:r>
          </w:p>
        </w:tc>
      </w:tr>
      <w:tr>
        <w:tblPrEx>
          <w:tblCellMar>
            <w:top w:w="15" w:type="dxa"/>
            <w:left w:w="15" w:type="dxa"/>
            <w:bottom w:w="15" w:type="dxa"/>
            <w:right w:w="15" w:type="dxa"/>
          </w:tblCellMar>
        </w:tblPrEx>
        <w:tc>
          <w:tcPr>
            <w:tcW w:w="446" w:type="pct"/>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2</w:t>
            </w:r>
          </w:p>
        </w:tc>
        <w:tc>
          <w:tcPr>
            <w:tcW w:w="745"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工业用氢氧化钠</w:t>
            </w:r>
          </w:p>
        </w:tc>
        <w:tc>
          <w:tcPr>
            <w:tcW w:w="1892"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固体类：使用采样钎取出适量具有代表性的样品；</w:t>
            </w:r>
          </w:p>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液体类：按上中下取等量样品混合。</w:t>
            </w:r>
          </w:p>
        </w:tc>
        <w:tc>
          <w:tcPr>
            <w:tcW w:w="1915"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需使用清洁干燥的塑料瓶（带内盖）封装，运输时防止日光照射或受热，不能与酸性物品混装运输，防止撞击。</w:t>
            </w:r>
          </w:p>
        </w:tc>
      </w:tr>
      <w:tr>
        <w:tblPrEx>
          <w:tblCellMar>
            <w:top w:w="15" w:type="dxa"/>
            <w:left w:w="15" w:type="dxa"/>
            <w:bottom w:w="15" w:type="dxa"/>
            <w:right w:w="15" w:type="dxa"/>
          </w:tblCellMar>
        </w:tblPrEx>
        <w:tc>
          <w:tcPr>
            <w:tcW w:w="446" w:type="pct"/>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3</w:t>
            </w:r>
          </w:p>
        </w:tc>
        <w:tc>
          <w:tcPr>
            <w:tcW w:w="745"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高纯氢氧化钠</w:t>
            </w:r>
          </w:p>
        </w:tc>
        <w:tc>
          <w:tcPr>
            <w:tcW w:w="1892"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固体类：使用采样钎取出适量具有代表性的样品；</w:t>
            </w:r>
          </w:p>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液体类：按上中下取等量样品混合。</w:t>
            </w:r>
          </w:p>
        </w:tc>
        <w:tc>
          <w:tcPr>
            <w:tcW w:w="1915" w:type="pct"/>
            <w:tcBorders>
              <w:top w:val="nil"/>
              <w:left w:val="nil"/>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需使用清洁干燥的塑料瓶（带内盖）封装，运输时防止日光照射或受热，不能与酸性物品混装运输，防止撞击。</w:t>
            </w:r>
          </w:p>
        </w:tc>
      </w:tr>
      <w:tr>
        <w:tblPrEx>
          <w:tblCellMar>
            <w:top w:w="15" w:type="dxa"/>
            <w:left w:w="15" w:type="dxa"/>
            <w:bottom w:w="15" w:type="dxa"/>
            <w:right w:w="15" w:type="dxa"/>
          </w:tblCellMar>
        </w:tblPrEx>
        <w:tc>
          <w:tcPr>
            <w:tcW w:w="5000" w:type="pct"/>
            <w:gridSpan w:val="4"/>
            <w:tcBorders>
              <w:top w:val="nil"/>
              <w:left w:val="single" w:color="000000" w:sz="8" w:space="0"/>
              <w:bottom w:val="single" w:color="000000" w:sz="8" w:space="0"/>
              <w:right w:val="single" w:color="000000" w:sz="8" w:space="0"/>
            </w:tcBorders>
            <w:tcMar>
              <w:top w:w="75" w:type="dxa"/>
              <w:left w:w="150" w:type="dxa"/>
              <w:bottom w:w="75" w:type="dxa"/>
              <w:right w:w="150" w:type="dxa"/>
            </w:tcMar>
            <w:vAlign w:val="center"/>
          </w:tcPr>
          <w:p>
            <w:pPr>
              <w:adjustRightInd w:val="0"/>
              <w:snapToGrid w:val="0"/>
              <w:spacing w:line="240" w:lineRule="atLeast"/>
              <w:jc w:val="left"/>
              <w:rPr>
                <w:rFonts w:ascii="仿宋" w:hAnsi="仿宋" w:eastAsia="仿宋" w:cs="CESI仿宋-GB2312"/>
                <w:color w:val="000000"/>
                <w:sz w:val="24"/>
              </w:rPr>
            </w:pPr>
            <w:r>
              <w:rPr>
                <w:rFonts w:hint="eastAsia" w:ascii="仿宋" w:hAnsi="仿宋" w:eastAsia="仿宋" w:cs="CESI仿宋-GB2312"/>
                <w:color w:val="000000"/>
                <w:sz w:val="24"/>
              </w:rPr>
              <w:t>特别说明：抽取氢氧化钠、次氯酸钠等产品时，应带好防酸碱手套，避免皮肤直接接触样品，如有溅到皮肤，应立即用大量清水冲洗，抽取盐酸时同时佩戴好护目镜。</w:t>
            </w:r>
          </w:p>
        </w:tc>
      </w:tr>
    </w:tbl>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ascii="CESI楷体-GB2312" w:hAnsi="CESI楷体-GB2312" w:eastAsia="CESI楷体-GB2312" w:cs="CESI楷体-GB2312"/>
          <w:color w:val="000000"/>
          <w:sz w:val="32"/>
          <w:szCs w:val="32"/>
        </w:rPr>
      </w:pPr>
      <w:r>
        <w:rPr>
          <w:rFonts w:hint="eastAsia" w:eastAsia="黑体" w:cs="黑体"/>
          <w:sz w:val="32"/>
          <w:szCs w:val="32"/>
          <w:lang w:eastAsia="zh-CN"/>
        </w:rPr>
        <w:t>三</w:t>
      </w:r>
      <w:r>
        <w:rPr>
          <w:rFonts w:hint="eastAsia" w:eastAsia="黑体" w:cs="黑体"/>
          <w:sz w:val="32"/>
          <w:szCs w:val="32"/>
        </w:rPr>
        <w:t>、检验依据</w:t>
      </w:r>
    </w:p>
    <w:p>
      <w:pPr>
        <w:adjustRightInd w:val="0"/>
        <w:snapToGrid w:val="0"/>
        <w:spacing w:line="578" w:lineRule="exact"/>
        <w:ind w:firstLine="640" w:firstLineChars="200"/>
        <w:jc w:val="left"/>
        <w:rPr>
          <w:rFonts w:hint="eastAsia" w:ascii="楷体_GB2312" w:hAnsi="楷体_GB2312" w:eastAsia="楷体_GB2312" w:cs="楷体_GB2312"/>
          <w:b w:val="0"/>
          <w:bCs/>
          <w:color w:val="000000"/>
          <w:sz w:val="32"/>
          <w:szCs w:val="32"/>
        </w:rPr>
      </w:pPr>
      <w:r>
        <w:rPr>
          <w:rFonts w:hint="eastAsia" w:ascii="楷体_GB2312" w:hAnsi="楷体_GB2312" w:eastAsia="楷体_GB2312" w:cs="楷体_GB2312"/>
          <w:b w:val="0"/>
          <w:bCs/>
          <w:color w:val="000000"/>
          <w:sz w:val="32"/>
          <w:szCs w:val="32"/>
        </w:rPr>
        <w:t>（一） 次氯酸钠</w:t>
      </w:r>
    </w:p>
    <w:tbl>
      <w:tblPr>
        <w:tblStyle w:val="6"/>
        <w:tblW w:w="4999" w:type="pct"/>
        <w:tblInd w:w="0" w:type="dxa"/>
        <w:shd w:val="clear" w:color="auto" w:fill="auto"/>
        <w:tblLayout w:type="autofit"/>
        <w:tblCellMar>
          <w:top w:w="15" w:type="dxa"/>
          <w:left w:w="15" w:type="dxa"/>
          <w:bottom w:w="15" w:type="dxa"/>
          <w:right w:w="15" w:type="dxa"/>
        </w:tblCellMar>
      </w:tblPr>
      <w:tblGrid>
        <w:gridCol w:w="858"/>
        <w:gridCol w:w="697"/>
        <w:gridCol w:w="1713"/>
        <w:gridCol w:w="1530"/>
        <w:gridCol w:w="880"/>
        <w:gridCol w:w="910"/>
        <w:gridCol w:w="813"/>
        <w:gridCol w:w="882"/>
        <w:gridCol w:w="860"/>
      </w:tblGrid>
      <w:tr>
        <w:tblPrEx>
          <w:shd w:val="clear" w:color="auto" w:fill="auto"/>
          <w:tblCellMar>
            <w:top w:w="15" w:type="dxa"/>
            <w:left w:w="15" w:type="dxa"/>
            <w:bottom w:w="15" w:type="dxa"/>
            <w:right w:w="15" w:type="dxa"/>
          </w:tblCellMar>
        </w:tblPrEx>
        <w:tc>
          <w:tcPr>
            <w:tcW w:w="469"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产品类别</w:t>
            </w:r>
          </w:p>
        </w:tc>
        <w:tc>
          <w:tcPr>
            <w:tcW w:w="38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序号</w:t>
            </w:r>
          </w:p>
        </w:tc>
        <w:tc>
          <w:tcPr>
            <w:tcW w:w="9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检验项目</w:t>
            </w:r>
          </w:p>
        </w:tc>
        <w:tc>
          <w:tcPr>
            <w:tcW w:w="8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检验方法</w:t>
            </w:r>
          </w:p>
        </w:tc>
        <w:tc>
          <w:tcPr>
            <w:tcW w:w="48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强制性</w:t>
            </w:r>
          </w:p>
        </w:tc>
        <w:tc>
          <w:tcPr>
            <w:tcW w:w="497"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非强制性</w:t>
            </w:r>
          </w:p>
        </w:tc>
        <w:tc>
          <w:tcPr>
            <w:tcW w:w="444"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重要项</w:t>
            </w:r>
          </w:p>
        </w:tc>
        <w:tc>
          <w:tcPr>
            <w:tcW w:w="482"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较重要项</w:t>
            </w:r>
          </w:p>
        </w:tc>
        <w:tc>
          <w:tcPr>
            <w:tcW w:w="470"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次要项</w:t>
            </w:r>
          </w:p>
        </w:tc>
      </w:tr>
      <w:tr>
        <w:tblPrEx>
          <w:tblCellMar>
            <w:top w:w="15" w:type="dxa"/>
            <w:left w:w="15" w:type="dxa"/>
            <w:bottom w:w="15" w:type="dxa"/>
            <w:right w:w="15" w:type="dxa"/>
          </w:tblCellMar>
        </w:tblPrEx>
        <w:tc>
          <w:tcPr>
            <w:tcW w:w="469" w:type="pct"/>
            <w:vMerge w:val="restar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次氯酸钠</w:t>
            </w:r>
          </w:p>
        </w:tc>
        <w:tc>
          <w:tcPr>
            <w:tcW w:w="38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1</w:t>
            </w:r>
          </w:p>
        </w:tc>
        <w:tc>
          <w:tcPr>
            <w:tcW w:w="9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外观</w:t>
            </w:r>
          </w:p>
        </w:tc>
        <w:tc>
          <w:tcPr>
            <w:tcW w:w="836" w:type="pct"/>
            <w:vMerge w:val="restart"/>
            <w:tcBorders>
              <w:top w:val="single" w:color="000000" w:sz="8" w:space="0"/>
              <w:left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GB/T 19106-2013</w:t>
            </w:r>
          </w:p>
        </w:tc>
        <w:tc>
          <w:tcPr>
            <w:tcW w:w="48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97"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44"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82"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70"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r>
      <w:tr>
        <w:tblPrEx>
          <w:tblCellMar>
            <w:top w:w="15" w:type="dxa"/>
            <w:left w:w="15" w:type="dxa"/>
            <w:bottom w:w="15" w:type="dxa"/>
            <w:right w:w="15" w:type="dxa"/>
          </w:tblCellMar>
        </w:tblPrEx>
        <w:tc>
          <w:tcPr>
            <w:tcW w:w="46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240" w:lineRule="atLeast"/>
              <w:jc w:val="center"/>
              <w:rPr>
                <w:rFonts w:ascii="仿宋" w:hAnsi="仿宋" w:eastAsia="仿宋" w:cs="CESI仿宋-GB2312"/>
                <w:color w:val="000000"/>
                <w:sz w:val="24"/>
              </w:rPr>
            </w:pPr>
          </w:p>
        </w:tc>
        <w:tc>
          <w:tcPr>
            <w:tcW w:w="38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2</w:t>
            </w:r>
          </w:p>
        </w:tc>
        <w:tc>
          <w:tcPr>
            <w:tcW w:w="9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有效氯（以Cl计）</w:t>
            </w:r>
          </w:p>
        </w:tc>
        <w:tc>
          <w:tcPr>
            <w:tcW w:w="836" w:type="pct"/>
            <w:vMerge w:val="continue"/>
            <w:tcBorders>
              <w:left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8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97"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44"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82"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70"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r>
      <w:tr>
        <w:tblPrEx>
          <w:tblCellMar>
            <w:top w:w="15" w:type="dxa"/>
            <w:left w:w="15" w:type="dxa"/>
            <w:bottom w:w="15" w:type="dxa"/>
            <w:right w:w="15" w:type="dxa"/>
          </w:tblCellMar>
        </w:tblPrEx>
        <w:tc>
          <w:tcPr>
            <w:tcW w:w="46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240" w:lineRule="atLeast"/>
              <w:jc w:val="center"/>
              <w:rPr>
                <w:rFonts w:ascii="仿宋" w:hAnsi="仿宋" w:eastAsia="仿宋" w:cs="CESI仿宋-GB2312"/>
                <w:color w:val="000000"/>
                <w:sz w:val="24"/>
              </w:rPr>
            </w:pPr>
          </w:p>
        </w:tc>
        <w:tc>
          <w:tcPr>
            <w:tcW w:w="38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3</w:t>
            </w:r>
          </w:p>
        </w:tc>
        <w:tc>
          <w:tcPr>
            <w:tcW w:w="9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游离碱（以NaOH计）</w:t>
            </w:r>
          </w:p>
        </w:tc>
        <w:tc>
          <w:tcPr>
            <w:tcW w:w="836" w:type="pct"/>
            <w:vMerge w:val="continue"/>
            <w:tcBorders>
              <w:left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8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97"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44"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82"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70"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r>
      <w:tr>
        <w:tblPrEx>
          <w:tblCellMar>
            <w:top w:w="15" w:type="dxa"/>
            <w:left w:w="15" w:type="dxa"/>
            <w:bottom w:w="15" w:type="dxa"/>
            <w:right w:w="15" w:type="dxa"/>
          </w:tblCellMar>
        </w:tblPrEx>
        <w:tc>
          <w:tcPr>
            <w:tcW w:w="46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240" w:lineRule="atLeast"/>
              <w:jc w:val="center"/>
              <w:rPr>
                <w:rFonts w:ascii="仿宋" w:hAnsi="仿宋" w:eastAsia="仿宋" w:cs="CESI仿宋-GB2312"/>
                <w:color w:val="000000"/>
                <w:sz w:val="24"/>
              </w:rPr>
            </w:pPr>
          </w:p>
        </w:tc>
        <w:tc>
          <w:tcPr>
            <w:tcW w:w="38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4</w:t>
            </w:r>
          </w:p>
        </w:tc>
        <w:tc>
          <w:tcPr>
            <w:tcW w:w="9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铁(Fe)</w:t>
            </w:r>
          </w:p>
        </w:tc>
        <w:tc>
          <w:tcPr>
            <w:tcW w:w="836" w:type="pct"/>
            <w:vMerge w:val="continue"/>
            <w:tcBorders>
              <w:left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8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97"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44"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82"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70"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r>
      <w:tr>
        <w:tblPrEx>
          <w:tblCellMar>
            <w:top w:w="15" w:type="dxa"/>
            <w:left w:w="15" w:type="dxa"/>
            <w:bottom w:w="15" w:type="dxa"/>
            <w:right w:w="15" w:type="dxa"/>
          </w:tblCellMar>
        </w:tblPrEx>
        <w:tc>
          <w:tcPr>
            <w:tcW w:w="46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240" w:lineRule="atLeast"/>
              <w:jc w:val="center"/>
              <w:rPr>
                <w:rFonts w:ascii="仿宋" w:hAnsi="仿宋" w:eastAsia="仿宋" w:cs="CESI仿宋-GB2312"/>
                <w:color w:val="000000"/>
                <w:sz w:val="24"/>
              </w:rPr>
            </w:pPr>
          </w:p>
        </w:tc>
        <w:tc>
          <w:tcPr>
            <w:tcW w:w="38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5</w:t>
            </w:r>
          </w:p>
        </w:tc>
        <w:tc>
          <w:tcPr>
            <w:tcW w:w="9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重金属（以Pb计）</w:t>
            </w:r>
          </w:p>
        </w:tc>
        <w:tc>
          <w:tcPr>
            <w:tcW w:w="836" w:type="pct"/>
            <w:vMerge w:val="continue"/>
            <w:tcBorders>
              <w:left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8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97"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44"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82"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70"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r>
      <w:tr>
        <w:tblPrEx>
          <w:tblCellMar>
            <w:top w:w="15" w:type="dxa"/>
            <w:left w:w="15" w:type="dxa"/>
            <w:bottom w:w="15" w:type="dxa"/>
            <w:right w:w="15" w:type="dxa"/>
          </w:tblCellMar>
        </w:tblPrEx>
        <w:tc>
          <w:tcPr>
            <w:tcW w:w="46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240" w:lineRule="atLeast"/>
              <w:jc w:val="center"/>
              <w:rPr>
                <w:rFonts w:ascii="仿宋" w:hAnsi="仿宋" w:eastAsia="仿宋" w:cs="CESI仿宋-GB2312"/>
                <w:color w:val="000000"/>
                <w:sz w:val="24"/>
              </w:rPr>
            </w:pPr>
          </w:p>
        </w:tc>
        <w:tc>
          <w:tcPr>
            <w:tcW w:w="38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6</w:t>
            </w:r>
          </w:p>
        </w:tc>
        <w:tc>
          <w:tcPr>
            <w:tcW w:w="9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砷(As)</w:t>
            </w:r>
          </w:p>
        </w:tc>
        <w:tc>
          <w:tcPr>
            <w:tcW w:w="836" w:type="pct"/>
            <w:vMerge w:val="continue"/>
            <w:tcBorders>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8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97"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44"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82"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70"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r>
    </w:tbl>
    <w:p>
      <w:pPr>
        <w:adjustRightInd w:val="0"/>
        <w:snapToGrid w:val="0"/>
        <w:spacing w:line="578" w:lineRule="exact"/>
        <w:ind w:firstLine="640" w:firstLineChars="200"/>
        <w:jc w:val="left"/>
        <w:rPr>
          <w:rFonts w:hint="eastAsia" w:ascii="楷体_GB2312" w:hAnsi="楷体_GB2312" w:eastAsia="楷体_GB2312" w:cs="楷体_GB2312"/>
          <w:b w:val="0"/>
          <w:bCs/>
          <w:color w:val="000000"/>
          <w:sz w:val="32"/>
          <w:szCs w:val="32"/>
        </w:rPr>
      </w:pPr>
      <w:r>
        <w:rPr>
          <w:rFonts w:hint="eastAsia" w:ascii="楷体_GB2312" w:hAnsi="楷体_GB2312" w:eastAsia="楷体_GB2312" w:cs="楷体_GB2312"/>
          <w:b w:val="0"/>
          <w:bCs/>
          <w:color w:val="000000"/>
          <w:sz w:val="32"/>
          <w:szCs w:val="32"/>
        </w:rPr>
        <w:t>（二）氢氧化钠</w:t>
      </w:r>
    </w:p>
    <w:tbl>
      <w:tblPr>
        <w:tblStyle w:val="6"/>
        <w:tblW w:w="4999" w:type="pct"/>
        <w:tblInd w:w="0" w:type="dxa"/>
        <w:shd w:val="clear" w:color="auto" w:fill="auto"/>
        <w:tblLayout w:type="autofit"/>
        <w:tblCellMar>
          <w:top w:w="15" w:type="dxa"/>
          <w:left w:w="15" w:type="dxa"/>
          <w:bottom w:w="15" w:type="dxa"/>
          <w:right w:w="15" w:type="dxa"/>
        </w:tblCellMar>
      </w:tblPr>
      <w:tblGrid>
        <w:gridCol w:w="822"/>
        <w:gridCol w:w="798"/>
        <w:gridCol w:w="1526"/>
        <w:gridCol w:w="1868"/>
        <w:gridCol w:w="825"/>
        <w:gridCol w:w="825"/>
        <w:gridCol w:w="825"/>
        <w:gridCol w:w="826"/>
        <w:gridCol w:w="828"/>
      </w:tblGrid>
      <w:tr>
        <w:tblPrEx>
          <w:shd w:val="clear" w:color="auto" w:fill="auto"/>
          <w:tblCellMar>
            <w:top w:w="15" w:type="dxa"/>
            <w:left w:w="15" w:type="dxa"/>
            <w:bottom w:w="15" w:type="dxa"/>
            <w:right w:w="15" w:type="dxa"/>
          </w:tblCellMar>
        </w:tblPrEx>
        <w:tc>
          <w:tcPr>
            <w:tcW w:w="449"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产品类别</w:t>
            </w:r>
          </w:p>
        </w:tc>
        <w:tc>
          <w:tcPr>
            <w:tcW w:w="4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序号</w:t>
            </w:r>
          </w:p>
        </w:tc>
        <w:tc>
          <w:tcPr>
            <w:tcW w:w="834"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检验项目</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检验方法</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强制性</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非强制性</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重要项</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较重要项</w:t>
            </w:r>
          </w:p>
        </w:tc>
        <w:tc>
          <w:tcPr>
            <w:tcW w:w="452"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hint="eastAsia" w:ascii="黑体" w:hAnsi="黑体" w:eastAsia="黑体" w:cs="黑体"/>
                <w:color w:val="000000"/>
                <w:sz w:val="24"/>
              </w:rPr>
            </w:pPr>
            <w:r>
              <w:rPr>
                <w:rFonts w:hint="eastAsia" w:ascii="黑体" w:hAnsi="黑体" w:eastAsia="黑体" w:cs="黑体"/>
                <w:color w:val="000000"/>
                <w:sz w:val="24"/>
              </w:rPr>
              <w:t>次要项</w:t>
            </w:r>
          </w:p>
        </w:tc>
      </w:tr>
      <w:tr>
        <w:tblPrEx>
          <w:shd w:val="clear" w:color="auto" w:fill="auto"/>
          <w:tblCellMar>
            <w:top w:w="15" w:type="dxa"/>
            <w:left w:w="15" w:type="dxa"/>
            <w:bottom w:w="15" w:type="dxa"/>
            <w:right w:w="15" w:type="dxa"/>
          </w:tblCellMar>
        </w:tblPrEx>
        <w:tc>
          <w:tcPr>
            <w:tcW w:w="449" w:type="pct"/>
            <w:vMerge w:val="restar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工业用氢氧化钠</w:t>
            </w:r>
          </w:p>
        </w:tc>
        <w:tc>
          <w:tcPr>
            <w:tcW w:w="4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1</w:t>
            </w:r>
          </w:p>
        </w:tc>
        <w:tc>
          <w:tcPr>
            <w:tcW w:w="834"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外观</w:t>
            </w:r>
          </w:p>
        </w:tc>
        <w:tc>
          <w:tcPr>
            <w:tcW w:w="1021" w:type="pct"/>
            <w:vMerge w:val="restart"/>
            <w:tcBorders>
              <w:top w:val="single" w:color="000000" w:sz="8" w:space="0"/>
              <w:left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GB/T 209-2018</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2"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r>
      <w:tr>
        <w:tblPrEx>
          <w:shd w:val="clear" w:color="auto" w:fill="auto"/>
          <w:tblCellMar>
            <w:top w:w="15" w:type="dxa"/>
            <w:left w:w="15" w:type="dxa"/>
            <w:bottom w:w="15" w:type="dxa"/>
            <w:right w:w="15" w:type="dxa"/>
          </w:tblCellMar>
        </w:tblPrEx>
        <w:tc>
          <w:tcPr>
            <w:tcW w:w="4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240" w:lineRule="atLeast"/>
              <w:jc w:val="center"/>
              <w:rPr>
                <w:rFonts w:ascii="仿宋" w:hAnsi="仿宋" w:eastAsia="仿宋" w:cs="CESI仿宋-GB2312"/>
                <w:color w:val="000000"/>
                <w:sz w:val="24"/>
              </w:rPr>
            </w:pPr>
          </w:p>
        </w:tc>
        <w:tc>
          <w:tcPr>
            <w:tcW w:w="4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2</w:t>
            </w:r>
          </w:p>
        </w:tc>
        <w:tc>
          <w:tcPr>
            <w:tcW w:w="834"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氢氧化钠</w:t>
            </w:r>
          </w:p>
        </w:tc>
        <w:tc>
          <w:tcPr>
            <w:tcW w:w="1021" w:type="pct"/>
            <w:vMerge w:val="continue"/>
            <w:tcBorders>
              <w:left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2"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r>
      <w:tr>
        <w:tblPrEx>
          <w:shd w:val="clear" w:color="auto" w:fill="auto"/>
          <w:tblCellMar>
            <w:top w:w="15" w:type="dxa"/>
            <w:left w:w="15" w:type="dxa"/>
            <w:bottom w:w="15" w:type="dxa"/>
            <w:right w:w="15" w:type="dxa"/>
          </w:tblCellMar>
        </w:tblPrEx>
        <w:tc>
          <w:tcPr>
            <w:tcW w:w="4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240" w:lineRule="atLeast"/>
              <w:jc w:val="center"/>
              <w:rPr>
                <w:rFonts w:ascii="仿宋" w:hAnsi="仿宋" w:eastAsia="仿宋" w:cs="CESI仿宋-GB2312"/>
                <w:color w:val="000000"/>
                <w:sz w:val="24"/>
              </w:rPr>
            </w:pPr>
          </w:p>
        </w:tc>
        <w:tc>
          <w:tcPr>
            <w:tcW w:w="4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3</w:t>
            </w:r>
          </w:p>
        </w:tc>
        <w:tc>
          <w:tcPr>
            <w:tcW w:w="834"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碳酸钠</w:t>
            </w:r>
          </w:p>
        </w:tc>
        <w:tc>
          <w:tcPr>
            <w:tcW w:w="1021" w:type="pct"/>
            <w:vMerge w:val="continue"/>
            <w:tcBorders>
              <w:left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2"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r>
      <w:tr>
        <w:tblPrEx>
          <w:shd w:val="clear" w:color="auto" w:fill="auto"/>
          <w:tblCellMar>
            <w:top w:w="15" w:type="dxa"/>
            <w:left w:w="15" w:type="dxa"/>
            <w:bottom w:w="15" w:type="dxa"/>
            <w:right w:w="15" w:type="dxa"/>
          </w:tblCellMar>
        </w:tblPrEx>
        <w:tc>
          <w:tcPr>
            <w:tcW w:w="4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240" w:lineRule="atLeast"/>
              <w:jc w:val="center"/>
              <w:rPr>
                <w:rFonts w:ascii="仿宋" w:hAnsi="仿宋" w:eastAsia="仿宋" w:cs="CESI仿宋-GB2312"/>
                <w:color w:val="000000"/>
                <w:sz w:val="24"/>
              </w:rPr>
            </w:pPr>
          </w:p>
        </w:tc>
        <w:tc>
          <w:tcPr>
            <w:tcW w:w="4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4</w:t>
            </w:r>
          </w:p>
        </w:tc>
        <w:tc>
          <w:tcPr>
            <w:tcW w:w="834"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氯化钠</w:t>
            </w:r>
          </w:p>
        </w:tc>
        <w:tc>
          <w:tcPr>
            <w:tcW w:w="1021" w:type="pct"/>
            <w:vMerge w:val="continue"/>
            <w:tcBorders>
              <w:left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2"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r>
      <w:tr>
        <w:tblPrEx>
          <w:shd w:val="clear" w:color="auto" w:fill="auto"/>
          <w:tblCellMar>
            <w:top w:w="15" w:type="dxa"/>
            <w:left w:w="15" w:type="dxa"/>
            <w:bottom w:w="15" w:type="dxa"/>
            <w:right w:w="15" w:type="dxa"/>
          </w:tblCellMar>
        </w:tblPrEx>
        <w:tc>
          <w:tcPr>
            <w:tcW w:w="4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240" w:lineRule="atLeast"/>
              <w:jc w:val="center"/>
              <w:rPr>
                <w:rFonts w:ascii="仿宋" w:hAnsi="仿宋" w:eastAsia="仿宋" w:cs="CESI仿宋-GB2312"/>
                <w:color w:val="000000"/>
                <w:sz w:val="24"/>
              </w:rPr>
            </w:pPr>
          </w:p>
        </w:tc>
        <w:tc>
          <w:tcPr>
            <w:tcW w:w="4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5</w:t>
            </w:r>
          </w:p>
        </w:tc>
        <w:tc>
          <w:tcPr>
            <w:tcW w:w="834"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三氧化二铁</w:t>
            </w:r>
          </w:p>
        </w:tc>
        <w:tc>
          <w:tcPr>
            <w:tcW w:w="1021" w:type="pct"/>
            <w:vMerge w:val="continue"/>
            <w:tcBorders>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2"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r>
      <w:tr>
        <w:tblPrEx>
          <w:shd w:val="clear" w:color="auto" w:fill="auto"/>
          <w:tblCellMar>
            <w:top w:w="15" w:type="dxa"/>
            <w:left w:w="15" w:type="dxa"/>
            <w:bottom w:w="15" w:type="dxa"/>
            <w:right w:w="15" w:type="dxa"/>
          </w:tblCellMar>
        </w:tblPrEx>
        <w:tc>
          <w:tcPr>
            <w:tcW w:w="449" w:type="pct"/>
            <w:vMerge w:val="restar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高纯氢氧化钠</w:t>
            </w:r>
          </w:p>
        </w:tc>
        <w:tc>
          <w:tcPr>
            <w:tcW w:w="4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1</w:t>
            </w:r>
          </w:p>
        </w:tc>
        <w:tc>
          <w:tcPr>
            <w:tcW w:w="834"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外观</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GB/T 11199-2006</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2"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r>
      <w:tr>
        <w:tblPrEx>
          <w:shd w:val="clear" w:color="auto" w:fill="auto"/>
          <w:tblCellMar>
            <w:top w:w="15" w:type="dxa"/>
            <w:left w:w="15" w:type="dxa"/>
            <w:bottom w:w="15" w:type="dxa"/>
            <w:right w:w="15" w:type="dxa"/>
          </w:tblCellMar>
        </w:tblPrEx>
        <w:tc>
          <w:tcPr>
            <w:tcW w:w="4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240" w:lineRule="atLeast"/>
              <w:jc w:val="center"/>
              <w:rPr>
                <w:rFonts w:ascii="仿宋" w:hAnsi="仿宋" w:eastAsia="仿宋" w:cs="CESI仿宋-GB2312"/>
                <w:color w:val="000000"/>
                <w:sz w:val="24"/>
              </w:rPr>
            </w:pPr>
          </w:p>
        </w:tc>
        <w:tc>
          <w:tcPr>
            <w:tcW w:w="4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2</w:t>
            </w:r>
          </w:p>
        </w:tc>
        <w:tc>
          <w:tcPr>
            <w:tcW w:w="834"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氢氧化钠</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GB/T 11199-2006</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2"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r>
      <w:tr>
        <w:tblPrEx>
          <w:shd w:val="clear" w:color="auto" w:fill="auto"/>
          <w:tblCellMar>
            <w:top w:w="15" w:type="dxa"/>
            <w:left w:w="15" w:type="dxa"/>
            <w:bottom w:w="15" w:type="dxa"/>
            <w:right w:w="15" w:type="dxa"/>
          </w:tblCellMar>
        </w:tblPrEx>
        <w:tc>
          <w:tcPr>
            <w:tcW w:w="4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240" w:lineRule="atLeast"/>
              <w:jc w:val="center"/>
              <w:rPr>
                <w:rFonts w:ascii="仿宋" w:hAnsi="仿宋" w:eastAsia="仿宋" w:cs="CESI仿宋-GB2312"/>
                <w:color w:val="000000"/>
                <w:sz w:val="24"/>
              </w:rPr>
            </w:pPr>
          </w:p>
        </w:tc>
        <w:tc>
          <w:tcPr>
            <w:tcW w:w="4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3</w:t>
            </w:r>
          </w:p>
        </w:tc>
        <w:tc>
          <w:tcPr>
            <w:tcW w:w="834"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碳酸钠</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GB/T 11199-2006</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2"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r>
      <w:tr>
        <w:tblPrEx>
          <w:shd w:val="clear" w:color="auto" w:fill="auto"/>
          <w:tblCellMar>
            <w:top w:w="15" w:type="dxa"/>
            <w:left w:w="15" w:type="dxa"/>
            <w:bottom w:w="15" w:type="dxa"/>
            <w:right w:w="15" w:type="dxa"/>
          </w:tblCellMar>
        </w:tblPrEx>
        <w:tc>
          <w:tcPr>
            <w:tcW w:w="4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240" w:lineRule="atLeast"/>
              <w:jc w:val="center"/>
              <w:rPr>
                <w:rFonts w:ascii="CESI仿宋-GB2312" w:hAnsi="CESI仿宋-GB2312" w:eastAsia="CESI仿宋-GB2312" w:cs="CESI仿宋-GB2312"/>
                <w:color w:val="000000"/>
                <w:sz w:val="24"/>
              </w:rPr>
            </w:pPr>
          </w:p>
        </w:tc>
        <w:tc>
          <w:tcPr>
            <w:tcW w:w="4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4</w:t>
            </w:r>
          </w:p>
        </w:tc>
        <w:tc>
          <w:tcPr>
            <w:tcW w:w="834"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氯化钠</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GB/T 11199-2006</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2"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r>
      <w:tr>
        <w:tblPrEx>
          <w:shd w:val="clear" w:color="auto" w:fill="auto"/>
          <w:tblCellMar>
            <w:top w:w="15" w:type="dxa"/>
            <w:left w:w="15" w:type="dxa"/>
            <w:bottom w:w="15" w:type="dxa"/>
            <w:right w:w="15" w:type="dxa"/>
          </w:tblCellMar>
        </w:tblPrEx>
        <w:tc>
          <w:tcPr>
            <w:tcW w:w="4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240" w:lineRule="atLeast"/>
              <w:jc w:val="center"/>
              <w:rPr>
                <w:rFonts w:ascii="CESI仿宋-GB2312" w:hAnsi="CESI仿宋-GB2312" w:eastAsia="CESI仿宋-GB2312" w:cs="CESI仿宋-GB2312"/>
                <w:color w:val="000000"/>
                <w:sz w:val="24"/>
              </w:rPr>
            </w:pPr>
          </w:p>
        </w:tc>
        <w:tc>
          <w:tcPr>
            <w:tcW w:w="4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5</w:t>
            </w:r>
          </w:p>
        </w:tc>
        <w:tc>
          <w:tcPr>
            <w:tcW w:w="834"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三氧化二铁</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GB/T 11199-2006</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2"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r>
      <w:tr>
        <w:tblPrEx>
          <w:tblCellMar>
            <w:top w:w="15" w:type="dxa"/>
            <w:left w:w="15" w:type="dxa"/>
            <w:bottom w:w="15" w:type="dxa"/>
            <w:right w:w="15" w:type="dxa"/>
          </w:tblCellMar>
        </w:tblPrEx>
        <w:tc>
          <w:tcPr>
            <w:tcW w:w="4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240" w:lineRule="atLeast"/>
              <w:jc w:val="center"/>
              <w:rPr>
                <w:rFonts w:ascii="CESI仿宋-GB2312" w:hAnsi="CESI仿宋-GB2312" w:eastAsia="CESI仿宋-GB2312" w:cs="CESI仿宋-GB2312"/>
                <w:color w:val="000000"/>
                <w:sz w:val="24"/>
              </w:rPr>
            </w:pPr>
          </w:p>
        </w:tc>
        <w:tc>
          <w:tcPr>
            <w:tcW w:w="4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6</w:t>
            </w:r>
          </w:p>
        </w:tc>
        <w:tc>
          <w:tcPr>
            <w:tcW w:w="834"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二氧化硅</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GB/T 11199-2006</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2"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r>
      <w:tr>
        <w:tblPrEx>
          <w:tblCellMar>
            <w:top w:w="15" w:type="dxa"/>
            <w:left w:w="15" w:type="dxa"/>
            <w:bottom w:w="15" w:type="dxa"/>
            <w:right w:w="15" w:type="dxa"/>
          </w:tblCellMar>
        </w:tblPrEx>
        <w:tc>
          <w:tcPr>
            <w:tcW w:w="4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240" w:lineRule="atLeast"/>
              <w:jc w:val="center"/>
              <w:rPr>
                <w:rFonts w:ascii="CESI仿宋-GB2312" w:hAnsi="CESI仿宋-GB2312" w:eastAsia="CESI仿宋-GB2312" w:cs="CESI仿宋-GB2312"/>
                <w:color w:val="000000"/>
                <w:sz w:val="24"/>
              </w:rPr>
            </w:pPr>
          </w:p>
        </w:tc>
        <w:tc>
          <w:tcPr>
            <w:tcW w:w="4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7</w:t>
            </w:r>
          </w:p>
        </w:tc>
        <w:tc>
          <w:tcPr>
            <w:tcW w:w="834"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氯酸钠</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GB/T 11199-2006</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2"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r>
      <w:tr>
        <w:tblPrEx>
          <w:tblCellMar>
            <w:top w:w="15" w:type="dxa"/>
            <w:left w:w="15" w:type="dxa"/>
            <w:bottom w:w="15" w:type="dxa"/>
            <w:right w:w="15" w:type="dxa"/>
          </w:tblCellMar>
        </w:tblPrEx>
        <w:tc>
          <w:tcPr>
            <w:tcW w:w="4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240" w:lineRule="atLeast"/>
              <w:jc w:val="center"/>
              <w:rPr>
                <w:rFonts w:ascii="CESI仿宋-GB2312" w:hAnsi="CESI仿宋-GB2312" w:eastAsia="CESI仿宋-GB2312" w:cs="CESI仿宋-GB2312"/>
                <w:color w:val="000000"/>
                <w:sz w:val="24"/>
              </w:rPr>
            </w:pPr>
          </w:p>
        </w:tc>
        <w:tc>
          <w:tcPr>
            <w:tcW w:w="4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8</w:t>
            </w:r>
          </w:p>
        </w:tc>
        <w:tc>
          <w:tcPr>
            <w:tcW w:w="834"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硫酸钠</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GB/T 11199-2006</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2"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r>
      <w:tr>
        <w:tblPrEx>
          <w:tblCellMar>
            <w:top w:w="15" w:type="dxa"/>
            <w:left w:w="15" w:type="dxa"/>
            <w:bottom w:w="15" w:type="dxa"/>
            <w:right w:w="15" w:type="dxa"/>
          </w:tblCellMar>
        </w:tblPrEx>
        <w:tc>
          <w:tcPr>
            <w:tcW w:w="4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240" w:lineRule="atLeast"/>
              <w:jc w:val="center"/>
              <w:rPr>
                <w:rFonts w:ascii="CESI仿宋-GB2312" w:hAnsi="CESI仿宋-GB2312" w:eastAsia="CESI仿宋-GB2312" w:cs="CESI仿宋-GB2312"/>
                <w:color w:val="000000"/>
                <w:sz w:val="24"/>
              </w:rPr>
            </w:pPr>
          </w:p>
        </w:tc>
        <w:tc>
          <w:tcPr>
            <w:tcW w:w="4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9</w:t>
            </w:r>
          </w:p>
        </w:tc>
        <w:tc>
          <w:tcPr>
            <w:tcW w:w="834"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三氧化二铝</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GB/T 11199-2006</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2"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r>
      <w:tr>
        <w:tblPrEx>
          <w:tblCellMar>
            <w:top w:w="15" w:type="dxa"/>
            <w:left w:w="15" w:type="dxa"/>
            <w:bottom w:w="15" w:type="dxa"/>
            <w:right w:w="15" w:type="dxa"/>
          </w:tblCellMar>
        </w:tblPrEx>
        <w:tc>
          <w:tcPr>
            <w:tcW w:w="4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240" w:lineRule="atLeast"/>
              <w:jc w:val="center"/>
              <w:rPr>
                <w:rFonts w:ascii="CESI仿宋-GB2312" w:hAnsi="CESI仿宋-GB2312" w:eastAsia="CESI仿宋-GB2312" w:cs="CESI仿宋-GB2312"/>
                <w:color w:val="000000"/>
                <w:sz w:val="24"/>
              </w:rPr>
            </w:pPr>
          </w:p>
        </w:tc>
        <w:tc>
          <w:tcPr>
            <w:tcW w:w="436"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10</w:t>
            </w:r>
          </w:p>
        </w:tc>
        <w:tc>
          <w:tcPr>
            <w:tcW w:w="834"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氧化钙</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GB/T 11199-2006</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c>
          <w:tcPr>
            <w:tcW w:w="451"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r>
              <w:rPr>
                <w:rFonts w:hint="eastAsia" w:ascii="仿宋" w:hAnsi="仿宋" w:eastAsia="仿宋" w:cs="CESI仿宋-GB2312"/>
                <w:color w:val="000000"/>
                <w:sz w:val="24"/>
              </w:rPr>
              <w:t>●</w:t>
            </w:r>
          </w:p>
        </w:tc>
        <w:tc>
          <w:tcPr>
            <w:tcW w:w="452" w:type="pct"/>
            <w:tcBorders>
              <w:top w:val="single" w:color="000000" w:sz="8" w:space="0"/>
              <w:left w:val="single" w:color="000000" w:sz="8" w:space="0"/>
              <w:bottom w:val="single" w:color="000000" w:sz="8" w:space="0"/>
              <w:right w:val="single" w:color="000000" w:sz="8" w:space="0"/>
            </w:tcBorders>
            <w:shd w:val="clear" w:color="auto" w:fill="auto"/>
            <w:tcMar>
              <w:top w:w="75" w:type="dxa"/>
              <w:left w:w="150" w:type="dxa"/>
              <w:bottom w:w="75" w:type="dxa"/>
              <w:right w:w="150" w:type="dxa"/>
            </w:tcMar>
            <w:vAlign w:val="center"/>
          </w:tcPr>
          <w:p>
            <w:pPr>
              <w:adjustRightInd w:val="0"/>
              <w:snapToGrid w:val="0"/>
              <w:spacing w:line="240" w:lineRule="atLeast"/>
              <w:jc w:val="center"/>
              <w:rPr>
                <w:rFonts w:ascii="仿宋" w:hAnsi="仿宋" w:eastAsia="仿宋" w:cs="CESI仿宋-GB2312"/>
                <w:color w:val="000000"/>
                <w:sz w:val="24"/>
              </w:rPr>
            </w:pP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注：执行企业标准、团体标准、地方标准的产品，检验项目参照上述内容执行。凡是注日期的文件，其随后所有的修改单（不包括勘误的内容）或修订版不适用于本细则。凡是不注日期的文件，其最新版本适用于本细则。</w:t>
      </w:r>
    </w:p>
    <w:p>
      <w:pPr>
        <w:adjustRightInd w:val="0"/>
        <w:snapToGrid w:val="0"/>
        <w:spacing w:before="312" w:beforeLines="100" w:line="360" w:lineRule="auto"/>
        <w:ind w:firstLine="640" w:firstLineChars="200"/>
        <w:jc w:val="left"/>
        <w:rPr>
          <w:rFonts w:eastAsia="仿宋_GB2312" w:cs="仿宋_GB2312"/>
          <w:color w:val="000000"/>
          <w:sz w:val="32"/>
          <w:szCs w:val="32"/>
        </w:rPr>
      </w:pPr>
      <w:r>
        <w:rPr>
          <w:rFonts w:hint="eastAsia" w:eastAsia="黑体" w:cs="黑体"/>
          <w:sz w:val="32"/>
          <w:szCs w:val="32"/>
          <w:lang w:eastAsia="zh-CN"/>
        </w:rPr>
        <w:t>四</w:t>
      </w:r>
      <w:r>
        <w:rPr>
          <w:rFonts w:hint="eastAsia" w:eastAsia="黑体" w:cs="黑体"/>
          <w:sz w:val="32"/>
          <w:szCs w:val="32"/>
        </w:rPr>
        <w:t>、判定规则</w:t>
      </w:r>
    </w:p>
    <w:p>
      <w:pPr>
        <w:adjustRightInd w:val="0"/>
        <w:snapToGrid w:val="0"/>
        <w:ind w:firstLine="640" w:firstLineChars="200"/>
        <w:jc w:val="left"/>
        <w:rPr>
          <w:rFonts w:hint="eastAsia" w:ascii="仿宋" w:hAnsi="仿宋" w:eastAsia="仿宋" w:cs="仿宋"/>
          <w:color w:val="000000"/>
          <w:sz w:val="32"/>
          <w:szCs w:val="32"/>
        </w:rPr>
      </w:pPr>
      <w:r>
        <w:rPr>
          <w:rFonts w:hint="eastAsia" w:ascii="楷体_GB2312" w:hAnsi="楷体_GB2312" w:eastAsia="楷体_GB2312" w:cs="楷体_GB2312"/>
          <w:b w:val="0"/>
          <w:bCs/>
          <w:color w:val="000000"/>
          <w:sz w:val="32"/>
          <w:szCs w:val="32"/>
        </w:rPr>
        <w:t>（一）依据标准</w:t>
      </w:r>
    </w:p>
    <w:p>
      <w:pPr>
        <w:adjustRightInd w:val="0"/>
        <w:snapToGrid w:val="0"/>
        <w:spacing w:line="578"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GB/T 19106-2013《次氯酸钠》</w:t>
      </w:r>
    </w:p>
    <w:p>
      <w:pPr>
        <w:adjustRightInd w:val="0"/>
        <w:snapToGrid w:val="0"/>
        <w:spacing w:line="578"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GB/T 209-2018《工业用氢氧化钠》</w:t>
      </w:r>
    </w:p>
    <w:p>
      <w:pPr>
        <w:adjustRightInd w:val="0"/>
        <w:snapToGrid w:val="0"/>
        <w:spacing w:line="578"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GB/T 11199-2006《高纯氢氧化钠》</w:t>
      </w:r>
    </w:p>
    <w:p>
      <w:pPr>
        <w:adjustRightInd w:val="0"/>
        <w:snapToGrid w:val="0"/>
        <w:spacing w:line="578"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现行有效的企业标准、团体标准、地方标准及产品明示质量要求。</w:t>
      </w:r>
    </w:p>
    <w:p>
      <w:pPr>
        <w:adjustRightInd w:val="0"/>
        <w:snapToGrid w:val="0"/>
        <w:ind w:firstLine="640" w:firstLineChars="200"/>
        <w:jc w:val="left"/>
        <w:rPr>
          <w:rFonts w:hint="eastAsia" w:ascii="仿宋" w:hAnsi="仿宋" w:eastAsia="仿宋" w:cs="仿宋"/>
          <w:color w:val="000000"/>
          <w:sz w:val="32"/>
          <w:szCs w:val="32"/>
        </w:rPr>
      </w:pPr>
      <w:r>
        <w:rPr>
          <w:rFonts w:hint="eastAsia" w:ascii="楷体_GB2312" w:hAnsi="楷体_GB2312" w:eastAsia="楷体_GB2312" w:cs="楷体_GB2312"/>
          <w:b w:val="0"/>
          <w:bCs/>
          <w:color w:val="000000"/>
          <w:sz w:val="32"/>
          <w:szCs w:val="32"/>
        </w:rPr>
        <w:t>（二）判定原则</w:t>
      </w:r>
    </w:p>
    <w:p>
      <w:pPr>
        <w:adjustRightInd w:val="0"/>
        <w:snapToGrid w:val="0"/>
        <w:spacing w:line="578"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经检验，检验项目全部合格，判定为抽取的样本所检项目未检出不合格；检验项目中任一项或一项以上不合格，判定为被抽查产品不合格。</w:t>
      </w:r>
    </w:p>
    <w:p>
      <w:pPr>
        <w:adjustRightInd w:val="0"/>
        <w:snapToGrid w:val="0"/>
        <w:spacing w:line="578"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当被检样品明示的质量要求优于监督抽查实施细则中依据的标准要求时，应按被检样品明示的质量要求判定；</w:t>
      </w:r>
    </w:p>
    <w:p>
      <w:pPr>
        <w:adjustRightInd w:val="0"/>
        <w:snapToGrid w:val="0"/>
        <w:spacing w:line="578" w:lineRule="exact"/>
        <w:ind w:firstLine="640" w:firstLineChars="200"/>
        <w:jc w:val="left"/>
        <w:rPr>
          <w:rFonts w:hint="eastAsia" w:ascii="仿宋" w:hAnsi="仿宋" w:eastAsia="仿宋" w:cs="仿宋"/>
          <w:color w:val="000000"/>
          <w:sz w:val="32"/>
          <w:szCs w:val="32"/>
        </w:rPr>
      </w:pPr>
      <w:bookmarkStart w:id="0" w:name="_GoBack"/>
      <w:bookmarkEnd w:id="0"/>
      <w:r>
        <w:rPr>
          <w:rFonts w:hint="eastAsia" w:ascii="仿宋" w:hAnsi="仿宋" w:eastAsia="仿宋" w:cs="仿宋"/>
          <w:color w:val="000000"/>
          <w:sz w:val="32"/>
          <w:szCs w:val="32"/>
        </w:rPr>
        <w:t>当被检样品明示的质量要求劣于或包含监督抽查实施细则中依据的推荐性标准要求时，应以被检样品明示的质量要求判定，如相应检验结果不符合相关推荐性标准要求时，应在检验报告中予以说明；</w:t>
      </w:r>
    </w:p>
    <w:p>
      <w:pPr>
        <w:adjustRightInd w:val="0"/>
        <w:snapToGrid w:val="0"/>
        <w:spacing w:line="578"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当被检样品明示的质量要求不包含监督抽查实施细则中依据的推荐性标准要求时，该指标不参与判定，但应在检验报告中作出说明；</w:t>
      </w:r>
    </w:p>
    <w:p>
      <w:pPr>
        <w:adjustRightInd w:val="0"/>
        <w:snapToGrid w:val="0"/>
        <w:spacing w:line="578"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当被检样品未能提供有效的企业标准时，按相关国家或行业标准进行判定；</w:t>
      </w:r>
    </w:p>
    <w:p>
      <w:pPr>
        <w:adjustRightInd w:val="0"/>
        <w:snapToGrid w:val="0"/>
        <w:spacing w:line="578"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adjustRightInd w:val="0"/>
        <w:snapToGrid w:val="0"/>
        <w:spacing w:line="578"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按照产品质量相关法律法规的规定判定。</w:t>
      </w:r>
    </w:p>
    <w:p>
      <w:pPr>
        <w:adjustRightInd w:val="0"/>
        <w:snapToGrid w:val="0"/>
        <w:spacing w:line="578"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检验中发现因样品失效或者其他原因致使检验无法进行的，检验人员应如实记录，并提供相关证明材料，报送组织监督抽查的市场监管部门。</w:t>
      </w:r>
    </w:p>
    <w:p>
      <w:pPr>
        <w:adjustRightInd w:val="0"/>
        <w:snapToGrid w:val="0"/>
        <w:spacing w:line="578" w:lineRule="exact"/>
        <w:ind w:firstLine="640" w:firstLineChars="200"/>
        <w:jc w:val="left"/>
        <w:rPr>
          <w:rFonts w:hint="eastAsia" w:ascii="仿宋" w:hAnsi="仿宋" w:eastAsia="仿宋" w:cs="仿宋"/>
          <w:color w:val="000000"/>
          <w:sz w:val="32"/>
          <w:szCs w:val="32"/>
        </w:rPr>
      </w:pPr>
    </w:p>
    <w:sectPr>
      <w:headerReference r:id="rId3" w:type="default"/>
      <w:footerReference r:id="rId4" w:type="default"/>
      <w:footerReference r:id="rId5"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CESI楷体-GB2312">
    <w:altName w:val="微软雅黑"/>
    <w:panose1 w:val="00000000000000000000"/>
    <w:charset w:val="86"/>
    <w:family w:val="auto"/>
    <w:pitch w:val="default"/>
    <w:sig w:usb0="00000000" w:usb1="00000000" w:usb2="00000012"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CESI仿宋-GB2312">
    <w:altName w:val="微软雅黑"/>
    <w:panose1 w:val="00000000000000000000"/>
    <w:charset w:val="86"/>
    <w:family w:val="auto"/>
    <w:pitch w:val="default"/>
    <w:sig w:usb0="00000000" w:usb1="00000000" w:usb2="00000010"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en-US"/>
      </w:rPr>
      <w:t>4</w:t>
    </w:r>
    <w: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56FF"/>
    <w:rsid w:val="00025AED"/>
    <w:rsid w:val="00051A44"/>
    <w:rsid w:val="00065282"/>
    <w:rsid w:val="00081CBD"/>
    <w:rsid w:val="000976DE"/>
    <w:rsid w:val="0015566B"/>
    <w:rsid w:val="00161F1C"/>
    <w:rsid w:val="00172A27"/>
    <w:rsid w:val="001809DD"/>
    <w:rsid w:val="001D3F42"/>
    <w:rsid w:val="001E45FA"/>
    <w:rsid w:val="001E6534"/>
    <w:rsid w:val="001F3CCE"/>
    <w:rsid w:val="001F7503"/>
    <w:rsid w:val="00211261"/>
    <w:rsid w:val="00232530"/>
    <w:rsid w:val="0023606F"/>
    <w:rsid w:val="00240BAF"/>
    <w:rsid w:val="00253624"/>
    <w:rsid w:val="002C2EDA"/>
    <w:rsid w:val="002D7F8A"/>
    <w:rsid w:val="002E0D1D"/>
    <w:rsid w:val="003203A3"/>
    <w:rsid w:val="00352295"/>
    <w:rsid w:val="00365CBE"/>
    <w:rsid w:val="00376385"/>
    <w:rsid w:val="00380BC2"/>
    <w:rsid w:val="00382E1F"/>
    <w:rsid w:val="003A7CDE"/>
    <w:rsid w:val="003A7D30"/>
    <w:rsid w:val="003C388C"/>
    <w:rsid w:val="003E61BF"/>
    <w:rsid w:val="004104AC"/>
    <w:rsid w:val="00413A85"/>
    <w:rsid w:val="00440CB3"/>
    <w:rsid w:val="00445E86"/>
    <w:rsid w:val="00465E5E"/>
    <w:rsid w:val="00474E04"/>
    <w:rsid w:val="004A2D01"/>
    <w:rsid w:val="004A60A9"/>
    <w:rsid w:val="004A66D5"/>
    <w:rsid w:val="004B00EF"/>
    <w:rsid w:val="004B51FD"/>
    <w:rsid w:val="004D0C5A"/>
    <w:rsid w:val="004D6F43"/>
    <w:rsid w:val="004E1396"/>
    <w:rsid w:val="004E3259"/>
    <w:rsid w:val="005245BE"/>
    <w:rsid w:val="005544BD"/>
    <w:rsid w:val="00563EBC"/>
    <w:rsid w:val="00572ABA"/>
    <w:rsid w:val="0058431B"/>
    <w:rsid w:val="005F7B92"/>
    <w:rsid w:val="00614D5B"/>
    <w:rsid w:val="006601D3"/>
    <w:rsid w:val="006B422C"/>
    <w:rsid w:val="006E0C7B"/>
    <w:rsid w:val="006E1171"/>
    <w:rsid w:val="006F0971"/>
    <w:rsid w:val="0072334C"/>
    <w:rsid w:val="00725B38"/>
    <w:rsid w:val="00732F56"/>
    <w:rsid w:val="007553CD"/>
    <w:rsid w:val="007607C6"/>
    <w:rsid w:val="00824C73"/>
    <w:rsid w:val="0084371C"/>
    <w:rsid w:val="008925D0"/>
    <w:rsid w:val="00895BEA"/>
    <w:rsid w:val="008A3497"/>
    <w:rsid w:val="008A718C"/>
    <w:rsid w:val="008B4316"/>
    <w:rsid w:val="008E1F6F"/>
    <w:rsid w:val="00917A54"/>
    <w:rsid w:val="00960D38"/>
    <w:rsid w:val="00965904"/>
    <w:rsid w:val="009B568C"/>
    <w:rsid w:val="009B7EFE"/>
    <w:rsid w:val="009F2545"/>
    <w:rsid w:val="009F5ACE"/>
    <w:rsid w:val="00A43553"/>
    <w:rsid w:val="00AA1AF9"/>
    <w:rsid w:val="00AA298F"/>
    <w:rsid w:val="00AC5391"/>
    <w:rsid w:val="00B333A4"/>
    <w:rsid w:val="00B45C15"/>
    <w:rsid w:val="00B61205"/>
    <w:rsid w:val="00B62E7B"/>
    <w:rsid w:val="00B75CFF"/>
    <w:rsid w:val="00B92C57"/>
    <w:rsid w:val="00BA5F40"/>
    <w:rsid w:val="00BF2B8C"/>
    <w:rsid w:val="00BF4F8C"/>
    <w:rsid w:val="00C20DD6"/>
    <w:rsid w:val="00C26074"/>
    <w:rsid w:val="00C315EA"/>
    <w:rsid w:val="00C72ACE"/>
    <w:rsid w:val="00C76BC7"/>
    <w:rsid w:val="00C83B0A"/>
    <w:rsid w:val="00C97F5C"/>
    <w:rsid w:val="00CA1ACE"/>
    <w:rsid w:val="00CC72A9"/>
    <w:rsid w:val="00CE1E0C"/>
    <w:rsid w:val="00CE277E"/>
    <w:rsid w:val="00CF442E"/>
    <w:rsid w:val="00D01F0E"/>
    <w:rsid w:val="00D22024"/>
    <w:rsid w:val="00D3462F"/>
    <w:rsid w:val="00D56867"/>
    <w:rsid w:val="00D61476"/>
    <w:rsid w:val="00D8267F"/>
    <w:rsid w:val="00D87B4F"/>
    <w:rsid w:val="00DD2C11"/>
    <w:rsid w:val="00DD5C43"/>
    <w:rsid w:val="00DE2A74"/>
    <w:rsid w:val="00DE5F11"/>
    <w:rsid w:val="00E02A7F"/>
    <w:rsid w:val="00E07880"/>
    <w:rsid w:val="00E31131"/>
    <w:rsid w:val="00E312C7"/>
    <w:rsid w:val="00E379D2"/>
    <w:rsid w:val="00E82621"/>
    <w:rsid w:val="00ED5B7A"/>
    <w:rsid w:val="00ED72FD"/>
    <w:rsid w:val="00EF4319"/>
    <w:rsid w:val="00F24F6D"/>
    <w:rsid w:val="00F2603F"/>
    <w:rsid w:val="00F43F54"/>
    <w:rsid w:val="00F50137"/>
    <w:rsid w:val="00F525A6"/>
    <w:rsid w:val="00F56DBA"/>
    <w:rsid w:val="00F64407"/>
    <w:rsid w:val="00F75CDC"/>
    <w:rsid w:val="00F7641A"/>
    <w:rsid w:val="00F77C9A"/>
    <w:rsid w:val="00FB576C"/>
    <w:rsid w:val="00FC3215"/>
    <w:rsid w:val="00FD2AA6"/>
    <w:rsid w:val="00FD66D5"/>
    <w:rsid w:val="00FE7E8A"/>
    <w:rsid w:val="20907F8E"/>
    <w:rsid w:val="35FE5922"/>
    <w:rsid w:val="3BB570C5"/>
    <w:rsid w:val="4500345C"/>
    <w:rsid w:val="5EFF776B"/>
    <w:rsid w:val="C5DF346F"/>
    <w:rsid w:val="CDFAEC4C"/>
    <w:rsid w:val="DF47DA63"/>
    <w:rsid w:val="EA5BBA0B"/>
    <w:rsid w:val="EFEB7276"/>
    <w:rsid w:val="FDFA9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lang w:val="zh-CN"/>
    </w:rPr>
  </w:style>
  <w:style w:type="paragraph" w:styleId="3">
    <w:name w:val="footer"/>
    <w:basedOn w:val="1"/>
    <w:link w:val="11"/>
    <w:unhideWhenUsed/>
    <w:qFormat/>
    <w:uiPriority w:val="99"/>
    <w:pPr>
      <w:tabs>
        <w:tab w:val="center" w:pos="4153"/>
        <w:tab w:val="right" w:pos="8306"/>
      </w:tabs>
      <w:snapToGrid w:val="0"/>
      <w:jc w:val="left"/>
    </w:pPr>
    <w:rPr>
      <w:sz w:val="18"/>
      <w:szCs w:val="18"/>
      <w:lang w:val="zh-CN"/>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lang w:val="zh-CN"/>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character" w:styleId="10">
    <w:name w:val="page number"/>
    <w:basedOn w:val="8"/>
    <w:qFormat/>
    <w:uiPriority w:val="0"/>
  </w:style>
  <w:style w:type="character" w:customStyle="1" w:styleId="11">
    <w:name w:val="页脚 Char"/>
    <w:link w:val="3"/>
    <w:qFormat/>
    <w:uiPriority w:val="99"/>
    <w:rPr>
      <w:kern w:val="2"/>
      <w:sz w:val="18"/>
      <w:szCs w:val="18"/>
    </w:rPr>
  </w:style>
  <w:style w:type="character" w:customStyle="1" w:styleId="12">
    <w:name w:val="页眉 Char"/>
    <w:link w:val="4"/>
    <w:semiHidden/>
    <w:qFormat/>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character" w:customStyle="1" w:styleId="14">
    <w:name w:val="批注框文本 Char"/>
    <w:link w:val="2"/>
    <w:semiHidden/>
    <w:qFormat/>
    <w:uiPriority w:val="99"/>
    <w:rPr>
      <w:kern w:val="2"/>
      <w:sz w:val="18"/>
      <w:szCs w:val="18"/>
    </w:rPr>
  </w:style>
  <w:style w:type="character" w:customStyle="1" w:styleId="15">
    <w:name w:val="方案正文 Char"/>
    <w:link w:val="16"/>
    <w:qFormat/>
    <w:locked/>
    <w:uiPriority w:val="0"/>
    <w:rPr>
      <w:rFonts w:ascii="仿宋_GB2312" w:hAnsi="宋体" w:eastAsia="仿宋_GB2312"/>
      <w:sz w:val="28"/>
      <w:szCs w:val="28"/>
      <w:lang w:val="zh-CN" w:eastAsia="zh-CN"/>
    </w:rPr>
  </w:style>
  <w:style w:type="paragraph" w:customStyle="1" w:styleId="16">
    <w:name w:val="方案正文"/>
    <w:basedOn w:val="1"/>
    <w:link w:val="15"/>
    <w:qFormat/>
    <w:uiPriority w:val="0"/>
    <w:pPr>
      <w:spacing w:line="360" w:lineRule="auto"/>
      <w:ind w:firstLine="560" w:firstLineChars="200"/>
    </w:pPr>
    <w:rPr>
      <w:rFonts w:ascii="仿宋_GB2312" w:hAnsi="宋体" w:eastAsia="仿宋_GB2312"/>
      <w:kern w:val="0"/>
      <w:sz w:val="28"/>
      <w:szCs w:val="28"/>
      <w:lang w:val="zh-CN"/>
    </w:rPr>
  </w:style>
  <w:style w:type="paragraph" w:customStyle="1" w:styleId="17">
    <w:name w:val="Table Paragraph"/>
    <w:basedOn w:val="1"/>
    <w:qFormat/>
    <w:uiPriority w:val="99"/>
    <w:rPr>
      <w:rFonts w:eastAsia="仿宋_GB2312"/>
      <w:sz w:val="32"/>
    </w:rPr>
  </w:style>
  <w:style w:type="table" w:customStyle="1" w:styleId="18">
    <w:name w:val="Table Normal"/>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4</Pages>
  <Words>297</Words>
  <Characters>1693</Characters>
  <Lines>14</Lines>
  <Paragraphs>3</Paragraphs>
  <TotalTime>0</TotalTime>
  <ScaleCrop>false</ScaleCrop>
  <LinksUpToDate>false</LinksUpToDate>
  <CharactersWithSpaces>1987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2022-08-11T02:55:00Z</dcterms:created>
  <dc:creator>Legend User</dc:creator>
  <cp:lastModifiedBy>刘赞</cp:lastModifiedBy>
  <cp:lastPrinted>2019-12-06T07:53:00Z</cp:lastPrinted>
  <dcterms:modified xsi:type="dcterms:W3CDTF">2023-05-10T08:50:19Z</dcterms:modified>
  <dc:title>××产品质量监督抽查实施细则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103B1FFBE07B441E870DF3D2F50B5DB6</vt:lpwstr>
  </property>
</Properties>
</file>